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5D06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Times New Roman" w:hAnsi="Times New Roman" w:eastAsia="方正小标宋_GBK" w:cs="Times New Roman"/>
          <w:b w:val="0"/>
          <w:bCs w:val="0"/>
          <w:sz w:val="36"/>
          <w:szCs w:val="36"/>
          <w:lang w:val="en-US" w:eastAsia="zh-CN"/>
        </w:rPr>
      </w:pPr>
    </w:p>
    <w:p w14:paraId="6C8F5FDD">
      <w:pPr>
        <w:pStyle w:val="5"/>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巫溪县财政局国库收付中心</w:t>
      </w:r>
    </w:p>
    <w:p w14:paraId="459E94F5">
      <w:pPr>
        <w:pStyle w:val="5"/>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hint="default" w:ascii="Times New Roman" w:hAnsi="Times New Roman" w:eastAsia="方正小标宋_GBK" w:cs="Times New Roman"/>
          <w:b w:val="0"/>
          <w:bCs w:val="0"/>
          <w:sz w:val="44"/>
          <w:szCs w:val="44"/>
          <w:shd w:val="clear" w:color="auto" w:fill="FFFFFF"/>
        </w:rPr>
        <w:t>年度决算公开说明</w:t>
      </w:r>
    </w:p>
    <w:p w14:paraId="43B733B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p>
    <w:p w14:paraId="02A9F32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default" w:ascii="Times New Roman" w:hAnsi="Times New Roman" w:eastAsia="方正黑体_GBK" w:cs="Times New Roman"/>
          <w:sz w:val="32"/>
          <w:szCs w:val="32"/>
          <w:shd w:val="clear" w:color="auto" w:fill="FFFFFF"/>
        </w:rPr>
      </w:pPr>
      <w:r>
        <w:rPr>
          <w:rStyle w:val="8"/>
          <w:rFonts w:hint="default" w:ascii="Times New Roman" w:hAnsi="Times New Roman" w:eastAsia="方正黑体_GBK" w:cs="Times New Roman"/>
          <w:sz w:val="32"/>
          <w:szCs w:val="32"/>
          <w:shd w:val="clear" w:color="auto" w:fill="FFFFFF"/>
        </w:rPr>
        <w:t>一、</w:t>
      </w:r>
      <w:r>
        <w:rPr>
          <w:rStyle w:val="8"/>
          <w:rFonts w:hint="default" w:ascii="Times New Roman" w:hAnsi="Times New Roman" w:eastAsia="方正黑体_GBK" w:cs="Times New Roman"/>
          <w:sz w:val="32"/>
          <w:szCs w:val="32"/>
          <w:shd w:val="clear" w:color="auto" w:fill="FFFFFF"/>
          <w:lang w:eastAsia="zh-CN"/>
        </w:rPr>
        <w:t>部门</w:t>
      </w:r>
      <w:r>
        <w:rPr>
          <w:rStyle w:val="8"/>
          <w:rFonts w:hint="default" w:ascii="Times New Roman" w:hAnsi="Times New Roman" w:eastAsia="方正黑体_GBK" w:cs="Times New Roman"/>
          <w:sz w:val="32"/>
          <w:szCs w:val="32"/>
          <w:shd w:val="clear" w:color="auto" w:fill="FFFFFF"/>
        </w:rPr>
        <w:t>基本情况</w:t>
      </w:r>
      <w:bookmarkStart w:id="0" w:name="_GoBack"/>
      <w:bookmarkEnd w:id="0"/>
    </w:p>
    <w:p w14:paraId="116AF343">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ind w:firstLine="420"/>
        <w:textAlignment w:val="auto"/>
        <w:rPr>
          <w:rFonts w:hint="default" w:ascii="Times New Roman" w:hAnsi="Times New Roman" w:eastAsia="方正楷体_GBK" w:cs="Times New Roman"/>
          <w:sz w:val="32"/>
          <w:szCs w:val="32"/>
        </w:rPr>
      </w:pPr>
      <w:r>
        <w:rPr>
          <w:rStyle w:val="8"/>
          <w:rFonts w:hint="default" w:ascii="Times New Roman" w:hAnsi="Times New Roman" w:eastAsia="方正楷体_GBK" w:cs="Times New Roman"/>
          <w:sz w:val="32"/>
          <w:szCs w:val="32"/>
          <w:shd w:val="clear" w:color="auto" w:fill="FFFFFF"/>
        </w:rPr>
        <w:t>（一）职能职责</w:t>
      </w:r>
    </w:p>
    <w:p w14:paraId="083AC857">
      <w:pPr>
        <w:pStyle w:val="12"/>
        <w:keepNext w:val="0"/>
        <w:keepLines w:val="0"/>
        <w:pageBreakBefore w:val="0"/>
        <w:widowControl/>
        <w:tabs>
          <w:tab w:val="center" w:pos="4153"/>
          <w:tab w:val="left" w:pos="7275"/>
        </w:tabs>
        <w:kinsoku/>
        <w:wordWrap/>
        <w:overflowPunct/>
        <w:topLinePunct w:val="0"/>
        <w:autoSpaceDN/>
        <w:bidi w:val="0"/>
        <w:adjustRightInd/>
        <w:spacing w:before="0" w:beforeAutospacing="0" w:after="0" w:afterAutospacing="0" w:line="578"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执行国家金库管理制度、财政总预算会计制度；执行国库集中收付制度；汇总编制全县财政总决算，汇总全县行政事业单位部门决算，指导各预算单位推进决算公开工作；负责县级行政事业单位工资统发；承担非税收入会计核算工作；组织财政预算执行分析及预测；负责县级财政资金调度、拨付和会计核算；定期与人民银行国库部门、代理银行、预算单位核对账务；负责统一管理全县预算单位财政账户，审核批准行政事业单位银行账户；承担国库现金管理有关工作。</w:t>
      </w:r>
    </w:p>
    <w:p w14:paraId="3D316781">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ind w:firstLine="42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14:paraId="7B6B34B1">
      <w:pPr>
        <w:keepNext w:val="0"/>
        <w:keepLines w:val="0"/>
        <w:pageBreakBefore w:val="0"/>
        <w:widowControl/>
        <w:kinsoku/>
        <w:wordWrap/>
        <w:overflowPunct/>
        <w:topLinePunct w:val="0"/>
        <w:autoSpaceDN/>
        <w:bidi w:val="0"/>
        <w:adjustRightInd/>
        <w:spacing w:before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lang w:val="en-US" w:eastAsia="zh-CN"/>
        </w:rPr>
        <w:t>巫溪县财政局国库收付中心为巫溪县财政局下属参公事业单位，内设综合科、非税收入征管科、会计科、信息科、资金支付科、监督审核科五个部门。</w:t>
      </w:r>
    </w:p>
    <w:p w14:paraId="30CAF7D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w:t>
      </w:r>
      <w:r>
        <w:rPr>
          <w:rStyle w:val="8"/>
          <w:rFonts w:hint="default" w:ascii="Times New Roman" w:hAnsi="Times New Roman" w:eastAsia="黑体" w:cs="Times New Roman"/>
          <w:sz w:val="32"/>
          <w:szCs w:val="32"/>
          <w:shd w:val="clear" w:color="auto" w:fill="FFFFFF"/>
          <w:lang w:eastAsia="zh-CN"/>
        </w:rPr>
        <w:t>部门</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14:paraId="63235C05">
      <w:pPr>
        <w:pStyle w:val="9"/>
        <w:keepNext w:val="0"/>
        <w:keepLines w:val="0"/>
        <w:pageBreakBefore w:val="0"/>
        <w:widowControl/>
        <w:kinsoku/>
        <w:wordWrap/>
        <w:overflowPunct/>
        <w:topLinePunct w:val="0"/>
        <w:autoSpaceDE w:val="0"/>
        <w:autoSpaceDN/>
        <w:bidi w:val="0"/>
        <w:adjustRightInd/>
        <w:spacing w:beforeAutospacing="0"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0640E83E">
      <w:pPr>
        <w:pStyle w:val="5"/>
        <w:keepNext w:val="0"/>
        <w:keepLines w:val="0"/>
        <w:pageBreakBefore w:val="0"/>
        <w:widowControl/>
        <w:shd w:val="clear" w:color="auto" w:fill="FFFFFF"/>
        <w:kinsoku/>
        <w:wordWrap/>
        <w:overflowPunct/>
        <w:topLinePunct w:val="0"/>
        <w:autoSpaceDN/>
        <w:bidi w:val="0"/>
        <w:adjustRightInd/>
        <w:spacing w:beforeAutospacing="0" w:after="0" w:afterAutospacing="0" w:line="578" w:lineRule="exact"/>
        <w:ind w:firstLine="643" w:firstLineChars="200"/>
        <w:textAlignment w:val="auto"/>
        <w:rPr>
          <w:rFonts w:hint="default" w:ascii="Times New Roman" w:hAnsi="Times New Roman" w:eastAsia="方正仿宋_GBK" w:cs="Times New Roman"/>
          <w:sz w:val="32"/>
          <w:szCs w:val="32"/>
          <w:lang w:val="en-US" w:eastAsia="zh-CN"/>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度收入总计599.89万元，支出总计</w:t>
      </w:r>
      <w:r>
        <w:rPr>
          <w:rFonts w:hint="default" w:ascii="Times New Roman" w:hAnsi="Times New Roman" w:eastAsia="方正仿宋_GBK" w:cs="Times New Roman"/>
          <w:sz w:val="32"/>
          <w:szCs w:val="32"/>
        </w:rPr>
        <w:t>599.89</w:t>
      </w:r>
      <w:r>
        <w:rPr>
          <w:rFonts w:hint="default" w:ascii="Times New Roman" w:hAnsi="Times New Roman" w:eastAsia="方正仿宋_GBK" w:cs="Times New Roman"/>
          <w:sz w:val="32"/>
          <w:szCs w:val="32"/>
          <w:shd w:val="clear" w:color="auto" w:fill="FFFFFF"/>
        </w:rPr>
        <w:t>万元。收、支与2023年度相比，增加599.89万元，增长100.0%，主要原因是</w:t>
      </w:r>
      <w:r>
        <w:rPr>
          <w:rFonts w:hint="default" w:ascii="Times New Roman" w:hAnsi="Times New Roman" w:eastAsia="方正仿宋_GBK" w:cs="Times New Roman"/>
          <w:sz w:val="32"/>
          <w:szCs w:val="32"/>
          <w:shd w:val="clear" w:color="auto" w:fill="FFFFFF"/>
          <w:lang w:val="en-US" w:eastAsia="zh-CN"/>
        </w:rPr>
        <w:t>本单位2024年5月起开始独立核算。</w:t>
      </w:r>
    </w:p>
    <w:p w14:paraId="4C1B11E4">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度收入合计599.89万元，与2023年度相比，增加599.89万元，增长100.0%，主要原因是</w:t>
      </w:r>
      <w:r>
        <w:rPr>
          <w:rFonts w:hint="default" w:ascii="Times New Roman" w:hAnsi="Times New Roman" w:eastAsia="方正仿宋_GBK" w:cs="Times New Roman"/>
          <w:sz w:val="32"/>
          <w:szCs w:val="32"/>
          <w:shd w:val="clear" w:color="auto" w:fill="FFFFFF"/>
          <w:lang w:val="en-US" w:eastAsia="zh-CN"/>
        </w:rPr>
        <w:t>本单位2024年5月起开始独立核算。</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599.89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2498905">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599.89</w:t>
      </w:r>
      <w:r>
        <w:rPr>
          <w:rFonts w:hint="default" w:ascii="Times New Roman" w:hAnsi="Times New Roman" w:eastAsia="方正仿宋_GBK" w:cs="Times New Roman"/>
          <w:sz w:val="32"/>
          <w:szCs w:val="32"/>
          <w:shd w:val="clear" w:color="auto" w:fill="FFFFFF"/>
        </w:rPr>
        <w:t>万元，与2023年度相比，增加599.89万元，增长100.0%，主要原因是</w:t>
      </w:r>
      <w:r>
        <w:rPr>
          <w:rFonts w:hint="default" w:ascii="Times New Roman" w:hAnsi="Times New Roman" w:eastAsia="方正仿宋_GBK" w:cs="Times New Roman"/>
          <w:sz w:val="32"/>
          <w:szCs w:val="32"/>
          <w:shd w:val="clear" w:color="auto" w:fill="FFFFFF"/>
          <w:lang w:val="en-US" w:eastAsia="zh-CN"/>
        </w:rPr>
        <w:t>本单位2024年5月起开始独立核算。</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599.89</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F60EEE5">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48E0C1D4">
      <w:pPr>
        <w:pStyle w:val="9"/>
        <w:keepNext w:val="0"/>
        <w:keepLines w:val="0"/>
        <w:pageBreakBefore w:val="0"/>
        <w:widowControl/>
        <w:kinsoku/>
        <w:wordWrap/>
        <w:overflowPunct/>
        <w:topLinePunct w:val="0"/>
        <w:autoSpaceDE w:val="0"/>
        <w:autoSpaceDN/>
        <w:bidi w:val="0"/>
        <w:adjustRightInd/>
        <w:spacing w:beforeAutospacing="0" w:line="578"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（二）财政拨款收入支出决算总体情况说明</w:t>
      </w:r>
    </w:p>
    <w:p w14:paraId="5D7D22FC">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度财政拨款收、支总计599.89万元。与202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年相比，财政拨款收、支总计各增加599.89万元，增长100.0%。主要原因是</w:t>
      </w:r>
      <w:r>
        <w:rPr>
          <w:rFonts w:hint="default" w:ascii="Times New Roman" w:hAnsi="Times New Roman" w:eastAsia="方正仿宋_GBK" w:cs="Times New Roman"/>
          <w:sz w:val="32"/>
          <w:szCs w:val="32"/>
          <w:shd w:val="clear" w:color="auto" w:fill="FFFFFF"/>
          <w:lang w:val="en-US" w:eastAsia="zh-CN"/>
        </w:rPr>
        <w:t>本单位2024年5月起开始独立核算。</w:t>
      </w:r>
    </w:p>
    <w:p w14:paraId="112EBCE3">
      <w:pPr>
        <w:pStyle w:val="9"/>
        <w:keepNext w:val="0"/>
        <w:keepLines w:val="0"/>
        <w:pageBreakBefore w:val="0"/>
        <w:widowControl/>
        <w:kinsoku/>
        <w:wordWrap/>
        <w:overflowPunct/>
        <w:topLinePunct w:val="0"/>
        <w:autoSpaceDE w:val="0"/>
        <w:autoSpaceDN/>
        <w:bidi w:val="0"/>
        <w:adjustRightInd/>
        <w:spacing w:beforeAutospacing="0"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6BBA9A2B">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599.89</w:t>
      </w:r>
      <w:r>
        <w:rPr>
          <w:rFonts w:hint="default" w:ascii="Times New Roman" w:hAnsi="Times New Roman" w:eastAsia="方正仿宋_GBK" w:cs="Times New Roman"/>
          <w:sz w:val="32"/>
          <w:szCs w:val="32"/>
          <w:shd w:val="clear" w:color="auto" w:fill="FFFFFF"/>
        </w:rPr>
        <w:t>万元，与2023年度相比，增加599.89万元，增长100.0%。主要原因是</w:t>
      </w:r>
      <w:r>
        <w:rPr>
          <w:rFonts w:hint="default" w:ascii="Times New Roman" w:hAnsi="Times New Roman" w:eastAsia="方正仿宋_GBK" w:cs="Times New Roman"/>
          <w:sz w:val="32"/>
          <w:szCs w:val="32"/>
          <w:shd w:val="clear" w:color="auto" w:fill="FFFFFF"/>
          <w:lang w:val="en-US" w:eastAsia="zh-CN"/>
        </w:rPr>
        <w:t>本单位2024年5月起开始独立核算。</w:t>
      </w:r>
      <w:r>
        <w:rPr>
          <w:rFonts w:hint="default" w:ascii="Times New Roman" w:hAnsi="Times New Roman" w:eastAsia="方正仿宋_GBK" w:cs="Times New Roman"/>
          <w:sz w:val="32"/>
          <w:szCs w:val="32"/>
          <w:shd w:val="clear" w:color="auto" w:fill="FFFFFF"/>
        </w:rPr>
        <w:t>较年初预算数增加599.89万元，增长100.0%。主要原因是</w:t>
      </w:r>
      <w:r>
        <w:rPr>
          <w:rFonts w:hint="default" w:ascii="Times New Roman" w:hAnsi="Times New Roman" w:eastAsia="方正仿宋_GBK" w:cs="Times New Roman"/>
          <w:sz w:val="32"/>
          <w:szCs w:val="32"/>
          <w:shd w:val="clear" w:color="auto" w:fill="FFFFFF"/>
          <w:lang w:val="en-US" w:eastAsia="zh-CN"/>
        </w:rPr>
        <w:t>本单位2024年5月起开始独立核算。</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54F63E5C">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599.89</w:t>
      </w:r>
      <w:r>
        <w:rPr>
          <w:rFonts w:hint="default" w:ascii="Times New Roman" w:hAnsi="Times New Roman" w:eastAsia="方正仿宋_GBK" w:cs="Times New Roman"/>
          <w:sz w:val="32"/>
          <w:szCs w:val="32"/>
          <w:shd w:val="clear" w:color="auto" w:fill="FFFFFF"/>
        </w:rPr>
        <w:t>万元，与2023年度相比，增加599.89万元，增长100.0%。主要原因是</w:t>
      </w:r>
      <w:r>
        <w:rPr>
          <w:rFonts w:hint="default" w:ascii="Times New Roman" w:hAnsi="Times New Roman" w:eastAsia="方正仿宋_GBK" w:cs="Times New Roman"/>
          <w:sz w:val="32"/>
          <w:szCs w:val="32"/>
          <w:shd w:val="clear" w:color="auto" w:fill="FFFFFF"/>
          <w:lang w:val="en-US" w:eastAsia="zh-CN"/>
        </w:rPr>
        <w:t>本单位2024年5月起开始独立核算。</w:t>
      </w:r>
      <w:r>
        <w:rPr>
          <w:rFonts w:hint="default" w:ascii="Times New Roman" w:hAnsi="Times New Roman" w:eastAsia="方正仿宋_GBK" w:cs="Times New Roman"/>
          <w:sz w:val="32"/>
          <w:szCs w:val="32"/>
          <w:shd w:val="clear" w:color="auto" w:fill="FFFFFF"/>
        </w:rPr>
        <w:t>较年初预算数增加599.89万元，增长100.0%。主要原因是</w:t>
      </w:r>
      <w:r>
        <w:rPr>
          <w:rFonts w:hint="default" w:ascii="Times New Roman" w:hAnsi="Times New Roman" w:eastAsia="方正仿宋_GBK" w:cs="Times New Roman"/>
          <w:sz w:val="32"/>
          <w:szCs w:val="32"/>
          <w:shd w:val="clear" w:color="auto" w:fill="FFFFFF"/>
          <w:lang w:val="en-US" w:eastAsia="zh-CN"/>
        </w:rPr>
        <w:t>本单位2024年5月起开始独立核算。</w:t>
      </w:r>
    </w:p>
    <w:p w14:paraId="62B4BB93">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本单位2024年5月起开始独立核算。</w:t>
      </w:r>
    </w:p>
    <w:p w14:paraId="24B593AF">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3D325C22">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401.27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66.89</w:t>
      </w:r>
      <w:r>
        <w:rPr>
          <w:rFonts w:hint="default" w:ascii="Times New Roman" w:hAnsi="Times New Roman" w:eastAsia="方正仿宋_GBK" w:cs="Times New Roman"/>
          <w:sz w:val="32"/>
          <w:szCs w:val="32"/>
          <w:shd w:val="clear" w:color="auto" w:fill="FFFFFF"/>
        </w:rPr>
        <w:t>%，较年初预算数增加401.27万元，增长100.0%，主要原因是</w:t>
      </w:r>
      <w:r>
        <w:rPr>
          <w:rFonts w:hint="default" w:ascii="Times New Roman" w:hAnsi="Times New Roman" w:eastAsia="方正仿宋_GBK" w:cs="Times New Roman"/>
          <w:sz w:val="32"/>
          <w:szCs w:val="32"/>
          <w:shd w:val="clear" w:color="auto" w:fill="FFFFFF"/>
          <w:lang w:val="en-US" w:eastAsia="zh-CN"/>
        </w:rPr>
        <w:t>本单位2024年5月起开始独立核算，无年初预算。</w:t>
      </w:r>
    </w:p>
    <w:p w14:paraId="795A525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99.57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16.60</w:t>
      </w:r>
      <w:r>
        <w:rPr>
          <w:rFonts w:hint="default" w:ascii="Times New Roman" w:hAnsi="Times New Roman" w:eastAsia="方正仿宋_GBK" w:cs="Times New Roman"/>
          <w:sz w:val="32"/>
          <w:szCs w:val="32"/>
          <w:shd w:val="clear" w:color="auto" w:fill="FFFFFF"/>
        </w:rPr>
        <w:t>%，较年初预算数增加99.57万元，增长100.0%，主要原因是</w:t>
      </w:r>
      <w:r>
        <w:rPr>
          <w:rFonts w:hint="default" w:ascii="Times New Roman" w:hAnsi="Times New Roman" w:eastAsia="方正仿宋_GBK" w:cs="Times New Roman"/>
          <w:sz w:val="32"/>
          <w:szCs w:val="32"/>
          <w:shd w:val="clear" w:color="auto" w:fill="FFFFFF"/>
          <w:lang w:val="en-US" w:eastAsia="zh-CN"/>
        </w:rPr>
        <w:t>本单位2024年5月起开始独立核算，无年初预算。</w:t>
      </w:r>
    </w:p>
    <w:p w14:paraId="28FE713F">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41.72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6.96</w:t>
      </w:r>
      <w:r>
        <w:rPr>
          <w:rFonts w:hint="default" w:ascii="Times New Roman" w:hAnsi="Times New Roman" w:eastAsia="方正仿宋_GBK" w:cs="Times New Roman"/>
          <w:sz w:val="32"/>
          <w:szCs w:val="32"/>
          <w:shd w:val="clear" w:color="auto" w:fill="FFFFFF"/>
        </w:rPr>
        <w:t>%，较年初预算数增加41.72万元，增长100.0%，主要原因是</w:t>
      </w:r>
      <w:r>
        <w:rPr>
          <w:rFonts w:hint="default" w:ascii="Times New Roman" w:hAnsi="Times New Roman" w:eastAsia="方正仿宋_GBK" w:cs="Times New Roman"/>
          <w:sz w:val="32"/>
          <w:szCs w:val="32"/>
          <w:shd w:val="clear" w:color="auto" w:fill="FFFFFF"/>
          <w:lang w:val="en-US" w:eastAsia="zh-CN"/>
        </w:rPr>
        <w:t>本单位2024年5月起开始独立核算，无年初预算。</w:t>
      </w:r>
    </w:p>
    <w:p w14:paraId="1A35C751">
      <w:pPr>
        <w:keepNext w:val="0"/>
        <w:keepLines w:val="0"/>
        <w:pageBreakBefore w:val="0"/>
        <w:widowControl/>
        <w:kinsoku/>
        <w:wordWrap/>
        <w:overflowPunct/>
        <w:topLinePunct w:val="0"/>
        <w:autoSpaceDN/>
        <w:bidi w:val="0"/>
        <w:adjustRightInd/>
        <w:spacing w:beforeAutospacing="0" w:line="578"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住房保障支出57.33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9.56</w:t>
      </w:r>
      <w:r>
        <w:rPr>
          <w:rFonts w:hint="default" w:ascii="Times New Roman" w:hAnsi="Times New Roman" w:eastAsia="方正仿宋_GBK" w:cs="Times New Roman"/>
          <w:sz w:val="32"/>
          <w:szCs w:val="32"/>
          <w:shd w:val="clear" w:color="auto" w:fill="FFFFFF"/>
        </w:rPr>
        <w:t>%，较年初预算数增加57.33万元，增长100.0%，主要原因是</w:t>
      </w:r>
      <w:r>
        <w:rPr>
          <w:rFonts w:hint="default" w:ascii="Times New Roman" w:hAnsi="Times New Roman" w:eastAsia="方正仿宋_GBK" w:cs="Times New Roman"/>
          <w:sz w:val="32"/>
          <w:szCs w:val="32"/>
          <w:shd w:val="clear" w:color="auto" w:fill="FFFFFF"/>
          <w:lang w:val="en-US" w:eastAsia="zh-CN"/>
        </w:rPr>
        <w:t>本单位2024年5月起开始独立核算，无年初预算。</w:t>
      </w:r>
    </w:p>
    <w:p w14:paraId="4CFADFFD">
      <w:pPr>
        <w:pStyle w:val="9"/>
        <w:keepNext w:val="0"/>
        <w:keepLines w:val="0"/>
        <w:pageBreakBefore w:val="0"/>
        <w:widowControl/>
        <w:kinsoku/>
        <w:wordWrap/>
        <w:overflowPunct/>
        <w:topLinePunct w:val="0"/>
        <w:autoSpaceDE w:val="0"/>
        <w:autoSpaceDN/>
        <w:bidi w:val="0"/>
        <w:adjustRightInd/>
        <w:spacing w:beforeAutospacing="0" w:line="578"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（四）一般公共预算财政拨款基本支出决算情况说明</w:t>
      </w:r>
    </w:p>
    <w:p w14:paraId="2E7CA8C0">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599.89</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568.42</w:t>
      </w:r>
      <w:r>
        <w:rPr>
          <w:rFonts w:hint="default" w:ascii="Times New Roman" w:hAnsi="Times New Roman" w:eastAsia="方正仿宋_GBK" w:cs="Times New Roman"/>
          <w:sz w:val="32"/>
          <w:szCs w:val="32"/>
          <w:shd w:val="clear" w:color="auto" w:fill="FFFFFF"/>
        </w:rPr>
        <w:t>万元，与2023年度相比，增加568.42万元，增长100.0%，主要原因是</w:t>
      </w:r>
      <w:r>
        <w:rPr>
          <w:rFonts w:hint="default" w:ascii="Times New Roman" w:hAnsi="Times New Roman" w:eastAsia="方正仿宋_GBK" w:cs="Times New Roman"/>
          <w:sz w:val="32"/>
          <w:szCs w:val="32"/>
          <w:shd w:val="clear" w:color="auto" w:fill="FFFFFF"/>
          <w:lang w:val="en-US" w:eastAsia="zh-CN"/>
        </w:rPr>
        <w:t>本单位2024年5月起开始独立核算。</w:t>
      </w:r>
      <w:r>
        <w:rPr>
          <w:rFonts w:hint="default" w:ascii="Times New Roman" w:hAnsi="Times New Roman" w:eastAsia="方正仿宋_GBK" w:cs="Times New Roman"/>
          <w:color w:val="auto"/>
          <w:sz w:val="32"/>
          <w:szCs w:val="32"/>
          <w:highlight w:val="none"/>
          <w:shd w:val="clear" w:color="auto" w:fill="FFFFFF"/>
        </w:rPr>
        <w:t>人员经费用途主要包括</w:t>
      </w:r>
      <w:r>
        <w:rPr>
          <w:rFonts w:hint="default" w:ascii="Times New Roman" w:hAnsi="Times New Roman" w:eastAsia="方正仿宋_GBK" w:cs="Times New Roman"/>
          <w:color w:val="auto"/>
          <w:sz w:val="32"/>
          <w:szCs w:val="32"/>
          <w:highlight w:val="none"/>
          <w:shd w:val="clear" w:color="auto" w:fill="FFFFFF"/>
          <w:lang w:val="en-US" w:eastAsia="zh-CN"/>
        </w:rPr>
        <w:t>基本工资、津贴补贴、奖金、绩效工资、社会保障缴费、住房公积金、离休费、抚恤金、离退人员补助</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31.47</w:t>
      </w:r>
      <w:r>
        <w:rPr>
          <w:rFonts w:hint="default" w:ascii="Times New Roman" w:hAnsi="Times New Roman" w:eastAsia="方正仿宋_GBK" w:cs="Times New Roman"/>
          <w:sz w:val="32"/>
          <w:szCs w:val="32"/>
          <w:shd w:val="clear" w:color="auto" w:fill="FFFFFF"/>
        </w:rPr>
        <w:t>万元，与2023年度相比，增加31.47万元，增长100.0%，主要原因是</w:t>
      </w:r>
      <w:r>
        <w:rPr>
          <w:rFonts w:hint="default" w:ascii="Times New Roman" w:hAnsi="Times New Roman" w:eastAsia="方正仿宋_GBK" w:cs="Times New Roman"/>
          <w:sz w:val="32"/>
          <w:szCs w:val="32"/>
          <w:shd w:val="clear" w:color="auto" w:fill="FFFFFF"/>
          <w:lang w:val="en-US" w:eastAsia="zh-CN"/>
        </w:rPr>
        <w:t>本单位2024年5月起开始独立核算。</w:t>
      </w:r>
      <w:r>
        <w:rPr>
          <w:rFonts w:hint="default" w:ascii="Times New Roman" w:hAnsi="Times New Roman" w:eastAsia="方正仿宋_GBK" w:cs="Times New Roman"/>
          <w:color w:val="auto"/>
          <w:sz w:val="32"/>
          <w:szCs w:val="32"/>
          <w:highlight w:val="none"/>
          <w:shd w:val="clear" w:color="auto" w:fill="FFFFFF"/>
        </w:rPr>
        <w:t>公用经费用途主要包括</w:t>
      </w:r>
      <w:r>
        <w:rPr>
          <w:rFonts w:hint="default" w:ascii="Times New Roman" w:hAnsi="Times New Roman" w:eastAsia="方正仿宋_GBK" w:cs="Times New Roman"/>
          <w:color w:val="auto"/>
          <w:sz w:val="32"/>
          <w:szCs w:val="32"/>
          <w:highlight w:val="none"/>
          <w:shd w:val="clear" w:color="auto" w:fill="FFFFFF"/>
          <w:lang w:val="en-US" w:eastAsia="zh-CN"/>
        </w:rPr>
        <w:t>办公费、印刷费、水费、电费、邮电费、差旅费、劳务费、交通费等。</w:t>
      </w:r>
    </w:p>
    <w:p w14:paraId="095C168E">
      <w:pPr>
        <w:pStyle w:val="9"/>
        <w:keepNext w:val="0"/>
        <w:keepLines w:val="0"/>
        <w:pageBreakBefore w:val="0"/>
        <w:widowControl/>
        <w:kinsoku/>
        <w:wordWrap/>
        <w:overflowPunct/>
        <w:topLinePunct w:val="0"/>
        <w:autoSpaceDE w:val="0"/>
        <w:autoSpaceDN/>
        <w:bidi w:val="0"/>
        <w:adjustRightInd/>
        <w:spacing w:beforeAutospacing="0" w:line="578"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（五）政府性基金预算收支决算情况说明</w:t>
      </w:r>
    </w:p>
    <w:p w14:paraId="4E1C1336">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sz w:val="32"/>
          <w:szCs w:val="32"/>
          <w:shd w:val="clear" w:color="auto" w:fill="auto"/>
        </w:rPr>
      </w:pPr>
      <w:r>
        <w:rPr>
          <w:rStyle w:val="8"/>
          <w:rFonts w:hint="default" w:ascii="Times New Roman" w:hAnsi="Times New Roman" w:eastAsia="方正仿宋_GBK" w:cs="Times New Roman"/>
          <w:b w:val="0"/>
          <w:bCs/>
          <w:sz w:val="32"/>
          <w:szCs w:val="32"/>
          <w:shd w:val="clear" w:color="auto" w:fill="auto"/>
        </w:rPr>
        <w:t>本</w:t>
      </w:r>
      <w:r>
        <w:rPr>
          <w:rStyle w:val="8"/>
          <w:rFonts w:hint="default" w:ascii="Times New Roman" w:hAnsi="Times New Roman" w:eastAsia="方正仿宋_GBK" w:cs="Times New Roman"/>
          <w:b w:val="0"/>
          <w:bCs/>
          <w:sz w:val="32"/>
          <w:szCs w:val="32"/>
          <w:shd w:val="clear" w:color="auto" w:fill="auto"/>
          <w:lang w:val="en-US" w:eastAsia="zh-CN"/>
        </w:rPr>
        <w:t>单位</w:t>
      </w:r>
      <w:r>
        <w:rPr>
          <w:rStyle w:val="8"/>
          <w:rFonts w:hint="default" w:ascii="Times New Roman" w:hAnsi="Times New Roman" w:eastAsia="方正仿宋_GBK" w:cs="Times New Roman"/>
          <w:b w:val="0"/>
          <w:bCs/>
          <w:sz w:val="32"/>
          <w:szCs w:val="32"/>
          <w:shd w:val="clear" w:color="auto" w:fill="auto"/>
          <w:lang w:eastAsia="zh-CN"/>
        </w:rPr>
        <w:t>2024年</w:t>
      </w:r>
      <w:r>
        <w:rPr>
          <w:rStyle w:val="8"/>
          <w:rFonts w:hint="default" w:ascii="Times New Roman" w:hAnsi="Times New Roman" w:eastAsia="方正仿宋_GBK" w:cs="Times New Roman"/>
          <w:b w:val="0"/>
          <w:bCs/>
          <w:sz w:val="32"/>
          <w:szCs w:val="32"/>
          <w:shd w:val="clear" w:color="auto" w:fill="auto"/>
        </w:rPr>
        <w:t>度无政府性基金预算财政拨款收支。</w:t>
      </w:r>
    </w:p>
    <w:p w14:paraId="2E470048">
      <w:pPr>
        <w:pStyle w:val="9"/>
        <w:keepNext w:val="0"/>
        <w:keepLines w:val="0"/>
        <w:pageBreakBefore w:val="0"/>
        <w:widowControl/>
        <w:kinsoku/>
        <w:wordWrap/>
        <w:overflowPunct/>
        <w:topLinePunct w:val="0"/>
        <w:autoSpaceDE w:val="0"/>
        <w:autoSpaceDN/>
        <w:bidi w:val="0"/>
        <w:adjustRightInd/>
        <w:spacing w:beforeAutospacing="0" w:line="578"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（六）国有资本经营预算财政拨款支出决算情况说明</w:t>
      </w:r>
    </w:p>
    <w:p w14:paraId="363E2F8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auto"/>
        </w:rPr>
      </w:pPr>
      <w:r>
        <w:rPr>
          <w:rStyle w:val="8"/>
          <w:rFonts w:hint="default" w:ascii="Times New Roman" w:hAnsi="Times New Roman" w:eastAsia="方正仿宋_GBK" w:cs="Times New Roman"/>
          <w:b w:val="0"/>
          <w:bCs/>
          <w:color w:val="auto"/>
          <w:sz w:val="32"/>
          <w:szCs w:val="32"/>
          <w:highlight w:val="none"/>
          <w:shd w:val="clear" w:color="auto" w:fill="auto"/>
        </w:rPr>
        <w:t>本</w:t>
      </w:r>
      <w:r>
        <w:rPr>
          <w:rStyle w:val="8"/>
          <w:rFonts w:hint="default" w:ascii="Times New Roman" w:hAnsi="Times New Roman" w:eastAsia="方正仿宋_GBK" w:cs="Times New Roman"/>
          <w:b w:val="0"/>
          <w:bCs/>
          <w:color w:val="auto"/>
          <w:sz w:val="32"/>
          <w:szCs w:val="32"/>
          <w:highlight w:val="none"/>
          <w:shd w:val="clear" w:color="auto" w:fill="auto"/>
          <w:lang w:val="en-US" w:eastAsia="zh-CN"/>
        </w:rPr>
        <w:t>单位</w:t>
      </w:r>
      <w:r>
        <w:rPr>
          <w:rStyle w:val="8"/>
          <w:rFonts w:hint="default" w:ascii="Times New Roman" w:hAnsi="Times New Roman" w:eastAsia="方正仿宋_GBK" w:cs="Times New Roman"/>
          <w:b w:val="0"/>
          <w:bCs/>
          <w:color w:val="auto"/>
          <w:sz w:val="32"/>
          <w:szCs w:val="32"/>
          <w:highlight w:val="none"/>
          <w:shd w:val="clear" w:color="auto" w:fill="auto"/>
          <w:lang w:eastAsia="zh-CN"/>
        </w:rPr>
        <w:t>2024年</w:t>
      </w:r>
      <w:r>
        <w:rPr>
          <w:rStyle w:val="8"/>
          <w:rFonts w:hint="default" w:ascii="Times New Roman" w:hAnsi="Times New Roman" w:eastAsia="方正仿宋_GBK" w:cs="Times New Roman"/>
          <w:b w:val="0"/>
          <w:bCs/>
          <w:color w:val="auto"/>
          <w:sz w:val="32"/>
          <w:szCs w:val="32"/>
          <w:highlight w:val="none"/>
          <w:shd w:val="clear" w:color="auto" w:fill="auto"/>
        </w:rPr>
        <w:t>度无政府性基金预算财政拨款收支。</w:t>
      </w:r>
    </w:p>
    <w:p w14:paraId="2274A33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default" w:ascii="Times New Roman" w:hAnsi="Times New Roman" w:eastAsia="方正黑体_GBK" w:cs="Times New Roman"/>
          <w:sz w:val="32"/>
          <w:szCs w:val="32"/>
          <w:shd w:val="clear" w:color="auto" w:fill="auto"/>
        </w:rPr>
      </w:pPr>
      <w:r>
        <w:rPr>
          <w:rStyle w:val="8"/>
          <w:rFonts w:hint="default" w:ascii="Times New Roman" w:hAnsi="Times New Roman" w:eastAsia="方正黑体_GBK" w:cs="Times New Roman"/>
          <w:sz w:val="32"/>
          <w:szCs w:val="32"/>
          <w:shd w:val="clear" w:color="auto" w:fill="auto"/>
        </w:rPr>
        <w:t>三、</w:t>
      </w:r>
      <w:r>
        <w:rPr>
          <w:rStyle w:val="8"/>
          <w:rFonts w:hint="default" w:ascii="Times New Roman" w:hAnsi="Times New Roman" w:eastAsia="方正黑体_GBK" w:cs="Times New Roman"/>
          <w:sz w:val="32"/>
          <w:szCs w:val="32"/>
          <w:shd w:val="clear" w:color="auto" w:fill="auto"/>
          <w:lang w:eastAsia="zh-CN"/>
        </w:rPr>
        <w:t>财政拨款</w:t>
      </w:r>
      <w:r>
        <w:rPr>
          <w:rStyle w:val="8"/>
          <w:rFonts w:hint="default" w:ascii="Times New Roman" w:hAnsi="Times New Roman" w:eastAsia="方正黑体_GBK" w:cs="Times New Roman"/>
          <w:sz w:val="32"/>
          <w:szCs w:val="32"/>
          <w:shd w:val="clear" w:color="auto" w:fill="auto"/>
        </w:rPr>
        <w:t>“三公”经费情况说明</w:t>
      </w:r>
    </w:p>
    <w:p w14:paraId="08FD82BC">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auto"/>
        </w:rPr>
      </w:pPr>
      <w:r>
        <w:rPr>
          <w:rStyle w:val="8"/>
          <w:rFonts w:hint="default" w:ascii="Times New Roman" w:hAnsi="Times New Roman" w:eastAsia="方正仿宋_GBK" w:cs="Times New Roman"/>
          <w:b w:val="0"/>
          <w:bCs/>
          <w:color w:val="auto"/>
          <w:sz w:val="32"/>
          <w:szCs w:val="32"/>
          <w:highlight w:val="none"/>
          <w:shd w:val="clear" w:color="auto" w:fill="auto"/>
        </w:rPr>
        <w:t>本</w:t>
      </w:r>
      <w:r>
        <w:rPr>
          <w:rStyle w:val="8"/>
          <w:rFonts w:hint="default" w:ascii="Times New Roman" w:hAnsi="Times New Roman" w:eastAsia="方正仿宋_GBK" w:cs="Times New Roman"/>
          <w:b w:val="0"/>
          <w:bCs/>
          <w:color w:val="auto"/>
          <w:sz w:val="32"/>
          <w:szCs w:val="32"/>
          <w:highlight w:val="none"/>
          <w:shd w:val="clear" w:color="auto" w:fill="auto"/>
          <w:lang w:val="en-US" w:eastAsia="zh-CN"/>
        </w:rPr>
        <w:t>单位</w:t>
      </w:r>
      <w:r>
        <w:rPr>
          <w:rStyle w:val="8"/>
          <w:rFonts w:hint="default" w:ascii="Times New Roman" w:hAnsi="Times New Roman" w:eastAsia="方正仿宋_GBK" w:cs="Times New Roman"/>
          <w:b w:val="0"/>
          <w:bCs/>
          <w:color w:val="auto"/>
          <w:sz w:val="32"/>
          <w:szCs w:val="32"/>
          <w:highlight w:val="none"/>
          <w:shd w:val="clear" w:color="auto" w:fill="auto"/>
          <w:lang w:eastAsia="zh-CN"/>
        </w:rPr>
        <w:t>2024年</w:t>
      </w:r>
      <w:r>
        <w:rPr>
          <w:rStyle w:val="8"/>
          <w:rFonts w:hint="default" w:ascii="Times New Roman" w:hAnsi="Times New Roman" w:eastAsia="方正仿宋_GBK" w:cs="Times New Roman"/>
          <w:b w:val="0"/>
          <w:bCs/>
          <w:color w:val="auto"/>
          <w:sz w:val="32"/>
          <w:szCs w:val="32"/>
          <w:highlight w:val="none"/>
          <w:shd w:val="clear" w:color="auto" w:fill="auto"/>
        </w:rPr>
        <w:t>度无国有资本经营预算财政拨款支出。</w:t>
      </w:r>
    </w:p>
    <w:p w14:paraId="21B3EB04">
      <w:pPr>
        <w:pStyle w:val="9"/>
        <w:keepNext w:val="0"/>
        <w:keepLines w:val="0"/>
        <w:pageBreakBefore w:val="0"/>
        <w:widowControl/>
        <w:kinsoku/>
        <w:wordWrap/>
        <w:overflowPunct/>
        <w:topLinePunct w:val="0"/>
        <w:autoSpaceDE w:val="0"/>
        <w:autoSpaceDN/>
        <w:bidi w:val="0"/>
        <w:adjustRightInd/>
        <w:spacing w:beforeAutospacing="0"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47C6B544">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度“三公”经费支出共计</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万元，较年初预算数无增减，主要原因是</w:t>
      </w:r>
      <w:r>
        <w:rPr>
          <w:rFonts w:hint="default" w:ascii="Times New Roman" w:hAnsi="Times New Roman" w:eastAsia="方正仿宋_GBK" w:cs="Times New Roman"/>
          <w:color w:val="auto"/>
          <w:sz w:val="32"/>
          <w:szCs w:val="32"/>
          <w:shd w:val="clear" w:color="auto" w:fill="FFFFFF"/>
          <w:lang w:val="en-US" w:eastAsia="zh-CN"/>
        </w:rPr>
        <w:t>本单位年中开始独立核算，三公经费仍由局机关本级进行统一核算。</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本单位上年度未进行独立核算。</w:t>
      </w:r>
    </w:p>
    <w:p w14:paraId="0BD132D4">
      <w:pPr>
        <w:pStyle w:val="9"/>
        <w:keepNext w:val="0"/>
        <w:keepLines w:val="0"/>
        <w:pageBreakBefore w:val="0"/>
        <w:widowControl/>
        <w:kinsoku/>
        <w:wordWrap/>
        <w:overflowPunct/>
        <w:topLinePunct w:val="0"/>
        <w:autoSpaceDE w:val="0"/>
        <w:autoSpaceDN/>
        <w:bidi w:val="0"/>
        <w:adjustRightInd/>
        <w:spacing w:beforeAutospacing="0"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4BFD048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780391F3">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4E4277F4">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2CA46911">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color w:val="FF0000"/>
          <w:sz w:val="32"/>
          <w:szCs w:val="32"/>
          <w:shd w:val="clear" w:color="auto" w:fill="FFFFFF"/>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5EFA92EE">
      <w:pPr>
        <w:pStyle w:val="9"/>
        <w:keepNext w:val="0"/>
        <w:keepLines w:val="0"/>
        <w:pageBreakBefore w:val="0"/>
        <w:widowControl/>
        <w:kinsoku/>
        <w:wordWrap/>
        <w:overflowPunct/>
        <w:topLinePunct w:val="0"/>
        <w:autoSpaceDE w:val="0"/>
        <w:autoSpaceDN/>
        <w:bidi w:val="0"/>
        <w:adjustRightInd/>
        <w:spacing w:beforeAutospacing="0"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093EA418">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本部门人均接待费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7B59479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default" w:ascii="Times New Roman" w:hAnsi="Times New Roman" w:eastAsia="方正黑体_GBK" w:cs="Times New Roman"/>
          <w:sz w:val="32"/>
          <w:szCs w:val="32"/>
          <w:shd w:val="clear" w:color="auto" w:fill="FFFFFF"/>
        </w:rPr>
      </w:pPr>
      <w:r>
        <w:rPr>
          <w:rStyle w:val="8"/>
          <w:rFonts w:hint="default" w:ascii="Times New Roman" w:hAnsi="Times New Roman" w:eastAsia="方正黑体_GBK" w:cs="Times New Roman"/>
          <w:sz w:val="32"/>
          <w:szCs w:val="32"/>
          <w:shd w:val="clear" w:color="auto" w:fill="FFFFFF"/>
        </w:rPr>
        <w:t>四、其他需要说明的事项</w:t>
      </w:r>
    </w:p>
    <w:p w14:paraId="01270128">
      <w:pPr>
        <w:pStyle w:val="9"/>
        <w:keepNext w:val="0"/>
        <w:keepLines w:val="0"/>
        <w:pageBreakBefore w:val="0"/>
        <w:widowControl/>
        <w:kinsoku/>
        <w:wordWrap/>
        <w:overflowPunct/>
        <w:topLinePunct w:val="0"/>
        <w:autoSpaceDE w:val="0"/>
        <w:autoSpaceDN/>
        <w:bidi w:val="0"/>
        <w:adjustRightInd/>
        <w:spacing w:beforeAutospacing="0" w:line="578"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（一）财政拨款会议费和培训费情况说明</w:t>
      </w:r>
    </w:p>
    <w:p w14:paraId="696B9EE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w:t>
      </w:r>
      <w:r>
        <w:rPr>
          <w:rFonts w:hint="default" w:ascii="Times New Roman" w:hAnsi="Times New Roman" w:eastAsia="方正仿宋_GBK" w:cs="Times New Roman"/>
          <w:sz w:val="32"/>
          <w:szCs w:val="32"/>
          <w:shd w:val="clear" w:color="auto" w:fill="FFFFFF"/>
          <w:lang w:eastAsia="zh-CN"/>
        </w:rPr>
        <w:t>。</w:t>
      </w:r>
    </w:p>
    <w:p w14:paraId="43F3D1A7">
      <w:pPr>
        <w:pStyle w:val="9"/>
        <w:keepNext w:val="0"/>
        <w:keepLines w:val="0"/>
        <w:pageBreakBefore w:val="0"/>
        <w:widowControl/>
        <w:kinsoku/>
        <w:wordWrap/>
        <w:overflowPunct/>
        <w:topLinePunct w:val="0"/>
        <w:autoSpaceDE w:val="0"/>
        <w:autoSpaceDN/>
        <w:bidi w:val="0"/>
        <w:adjustRightInd/>
        <w:spacing w:beforeAutospacing="0" w:line="578"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（二）机关运行经费情况说明</w:t>
      </w:r>
    </w:p>
    <w:p w14:paraId="703D0178">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度本部门机关运行经费支出</w:t>
      </w:r>
      <w:r>
        <w:rPr>
          <w:rFonts w:hint="default" w:ascii="Times New Roman" w:hAnsi="Times New Roman" w:eastAsia="方正仿宋_GBK" w:cs="Times New Roman"/>
          <w:sz w:val="32"/>
          <w:szCs w:val="32"/>
        </w:rPr>
        <w:t>31.47</w:t>
      </w:r>
      <w:r>
        <w:rPr>
          <w:rFonts w:hint="default" w:ascii="Times New Roman" w:hAnsi="Times New Roman" w:eastAsia="方正仿宋_GBK" w:cs="Times New Roman"/>
          <w:sz w:val="32"/>
          <w:szCs w:val="32"/>
          <w:shd w:val="clear" w:color="auto" w:fill="FFFFFF"/>
        </w:rPr>
        <w:t>万元，机关运行经费主要用于</w:t>
      </w:r>
      <w:r>
        <w:rPr>
          <w:rFonts w:hint="default" w:ascii="Times New Roman" w:hAnsi="Times New Roman" w:eastAsia="方正仿宋_GBK" w:cs="Times New Roman"/>
          <w:color w:val="auto"/>
          <w:sz w:val="32"/>
          <w:szCs w:val="32"/>
          <w:highlight w:val="none"/>
          <w:shd w:val="clear" w:color="auto" w:fill="FFFFFF"/>
        </w:rPr>
        <w:t>开支</w:t>
      </w:r>
      <w:r>
        <w:rPr>
          <w:rFonts w:hint="default" w:ascii="Times New Roman" w:hAnsi="Times New Roman" w:eastAsia="方正仿宋_GBK" w:cs="Times New Roman"/>
          <w:color w:val="auto"/>
          <w:sz w:val="32"/>
          <w:szCs w:val="32"/>
          <w:highlight w:val="none"/>
          <w:shd w:val="clear" w:color="auto" w:fill="FFFFFF"/>
        </w:rPr>
        <w:t>开支</w:t>
      </w:r>
      <w:r>
        <w:rPr>
          <w:rFonts w:hint="default" w:ascii="Times New Roman" w:hAnsi="Times New Roman" w:eastAsia="方正仿宋_GBK" w:cs="Times New Roman"/>
          <w:color w:val="auto"/>
          <w:kern w:val="0"/>
          <w:sz w:val="32"/>
          <w:szCs w:val="32"/>
          <w:highlight w:val="none"/>
          <w:shd w:val="clear" w:color="auto" w:fill="FFFFFF"/>
          <w:lang w:val="en-US" w:eastAsia="zh-CN" w:bidi="ar"/>
        </w:rPr>
        <w:t>办公费、印刷费、水电费、邮电费、差旅费、会议费、培训费、交通费等。</w:t>
      </w:r>
      <w:r>
        <w:rPr>
          <w:rFonts w:hint="default" w:ascii="Times New Roman" w:hAnsi="Times New Roman" w:eastAsia="方正仿宋_GBK" w:cs="Times New Roman"/>
          <w:sz w:val="32"/>
          <w:szCs w:val="32"/>
          <w:shd w:val="clear" w:color="auto" w:fill="FFFFFF"/>
        </w:rPr>
        <w:t>机关运行经费较上年支出数增加31.47万元，增长100.0%，主要原因是</w:t>
      </w:r>
      <w:r>
        <w:rPr>
          <w:rFonts w:hint="default" w:ascii="Times New Roman" w:hAnsi="Times New Roman" w:eastAsia="方正仿宋_GBK" w:cs="Times New Roman"/>
          <w:sz w:val="32"/>
          <w:szCs w:val="32"/>
          <w:shd w:val="clear" w:color="auto" w:fill="FFFFFF"/>
          <w:lang w:val="en-US" w:eastAsia="zh-CN"/>
        </w:rPr>
        <w:t>本单位2024年5月起开始独立核算。</w:t>
      </w:r>
    </w:p>
    <w:p w14:paraId="14B17AD5">
      <w:pPr>
        <w:pStyle w:val="9"/>
        <w:keepNext w:val="0"/>
        <w:keepLines w:val="0"/>
        <w:pageBreakBefore w:val="0"/>
        <w:widowControl/>
        <w:kinsoku/>
        <w:wordWrap/>
        <w:overflowPunct/>
        <w:topLinePunct w:val="0"/>
        <w:autoSpaceDE w:val="0"/>
        <w:autoSpaceDN/>
        <w:bidi w:val="0"/>
        <w:adjustRightInd/>
        <w:spacing w:beforeAutospacing="0" w:line="578"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（三）国有资产占用情况说明</w:t>
      </w:r>
    </w:p>
    <w:p w14:paraId="7B1055B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12月31日，本部门共有车辆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258E940E">
      <w:pPr>
        <w:pStyle w:val="9"/>
        <w:keepNext w:val="0"/>
        <w:keepLines w:val="0"/>
        <w:pageBreakBefore w:val="0"/>
        <w:widowControl/>
        <w:kinsoku/>
        <w:wordWrap/>
        <w:overflowPunct/>
        <w:topLinePunct w:val="0"/>
        <w:autoSpaceDE w:val="0"/>
        <w:autoSpaceDN/>
        <w:bidi w:val="0"/>
        <w:adjustRightInd/>
        <w:spacing w:beforeAutospacing="0" w:line="578"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（四）政府采购支出情况说明</w:t>
      </w:r>
    </w:p>
    <w:p w14:paraId="60E4350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度我单位未发生政府采购事项，无相关经费支出。</w:t>
      </w:r>
    </w:p>
    <w:p w14:paraId="06B5452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default" w:ascii="Times New Roman" w:hAnsi="Times New Roman" w:eastAsia="方正黑体_GBK" w:cs="Times New Roman"/>
          <w:sz w:val="32"/>
          <w:szCs w:val="32"/>
          <w:shd w:val="clear" w:color="auto" w:fill="FFFFFF"/>
          <w:lang w:val="en-US" w:eastAsia="zh-CN" w:bidi="ar-SA"/>
        </w:rPr>
      </w:pPr>
      <w:r>
        <w:rPr>
          <w:rStyle w:val="8"/>
          <w:rFonts w:hint="default" w:ascii="Times New Roman" w:hAnsi="Times New Roman" w:eastAsia="方正黑体_GBK" w:cs="Times New Roman"/>
          <w:sz w:val="32"/>
          <w:szCs w:val="32"/>
          <w:shd w:val="clear" w:color="auto" w:fill="FFFFFF"/>
          <w:lang w:val="en-US" w:eastAsia="zh-CN" w:bidi="ar-SA"/>
        </w:rPr>
        <w:t>五、2024年度预算绩效管理情况说明</w:t>
      </w:r>
    </w:p>
    <w:p w14:paraId="66487960">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default" w:ascii="Times New Roman" w:hAnsi="Times New Roman" w:eastAsia="方正楷体_GBK" w:cs="Times New Roman"/>
          <w:b/>
          <w:bCs/>
          <w:kern w:val="0"/>
          <w:sz w:val="32"/>
          <w:szCs w:val="32"/>
          <w:shd w:val="clear" w:fill="FFFFFF"/>
        </w:rPr>
      </w:pPr>
      <w:r>
        <w:rPr>
          <w:rFonts w:hint="default" w:ascii="Times New Roman" w:hAnsi="Times New Roman" w:eastAsia="方正楷体_GBK" w:cs="Times New Roman"/>
          <w:b/>
          <w:bCs/>
          <w:kern w:val="0"/>
          <w:sz w:val="32"/>
          <w:szCs w:val="32"/>
          <w:shd w:val="clear" w:fill="FFFFFF"/>
        </w:rPr>
        <w:t>（一）单位自评情况</w:t>
      </w:r>
    </w:p>
    <w:p w14:paraId="4B06D1CB">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320" w:firstLineChars="1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lang w:val="en-US" w:eastAsia="zh-CN"/>
        </w:rPr>
        <w:t>根据预算绩效管理要求，我单位由巫溪县财政局对部门整体开展了绩效自评，本年无项目，未开展绩效自评。</w:t>
      </w:r>
    </w:p>
    <w:p w14:paraId="73EA86B2">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default" w:ascii="Times New Roman" w:hAnsi="Times New Roman" w:eastAsia="方正楷体_GBK" w:cs="Times New Roman"/>
          <w:b/>
          <w:bCs/>
          <w:kern w:val="0"/>
          <w:sz w:val="32"/>
          <w:szCs w:val="32"/>
          <w:shd w:val="clear" w:fill="FFFFFF"/>
        </w:rPr>
      </w:pPr>
      <w:r>
        <w:rPr>
          <w:rFonts w:hint="default" w:ascii="Times New Roman" w:hAnsi="Times New Roman" w:eastAsia="方正楷体_GBK" w:cs="Times New Roman"/>
          <w:b/>
          <w:bCs/>
          <w:kern w:val="0"/>
          <w:sz w:val="32"/>
          <w:szCs w:val="32"/>
          <w:shd w:val="clear" w:fill="FFFFFF"/>
        </w:rPr>
        <w:t>（二）部门绩效评价情况</w:t>
      </w:r>
    </w:p>
    <w:p w14:paraId="6BF700D3">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val="en-US" w:eastAsia="zh-CN"/>
        </w:rPr>
        <w:t>本单位未组织开展绩效评价。</w:t>
      </w:r>
    </w:p>
    <w:p w14:paraId="28B50E7E">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3" w:firstLineChars="200"/>
        <w:textAlignment w:val="auto"/>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bCs/>
          <w:kern w:val="0"/>
          <w:sz w:val="32"/>
          <w:szCs w:val="32"/>
          <w:shd w:val="clear" w:fill="FFFFFF"/>
          <w:lang w:val="en-US" w:eastAsia="zh-CN" w:bidi="ar"/>
        </w:rPr>
        <w:t>（三）财政绩效评价情况</w:t>
      </w:r>
    </w:p>
    <w:p w14:paraId="5A42ED8E">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lang w:val="en-US" w:eastAsia="zh-CN"/>
        </w:rPr>
        <w:t>县财政局未委托第三方对我单位开展绩效评价。</w:t>
      </w:r>
      <w:r>
        <w:rPr>
          <w:rStyle w:val="11"/>
          <w:rFonts w:hint="default" w:ascii="Times New Roman" w:hAnsi="Times New Roman" w:eastAsia="方正仿宋_GBK" w:cs="Times New Roman"/>
          <w:b/>
          <w:bCs/>
          <w:sz w:val="32"/>
          <w:szCs w:val="32"/>
          <w:shd w:val="clear" w:fill="FFFFFF"/>
        </w:rPr>
        <w:t xml:space="preserve"> </w:t>
      </w:r>
      <w:r>
        <w:rPr>
          <w:rStyle w:val="11"/>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黑体" w:cs="Times New Roman"/>
          <w:sz w:val="32"/>
          <w:szCs w:val="32"/>
          <w:shd w:val="clear" w:color="auto" w:fill="FFFFFF"/>
          <w:lang w:val="en-US" w:eastAsia="zh-CN" w:bidi="ar-SA"/>
        </w:rPr>
        <w:t xml:space="preserve"> </w:t>
      </w:r>
      <w:r>
        <w:rPr>
          <w:rStyle w:val="8"/>
          <w:rFonts w:hint="default" w:ascii="Times New Roman" w:hAnsi="Times New Roman" w:eastAsia="方正黑体_GBK" w:cs="Times New Roman"/>
          <w:sz w:val="32"/>
          <w:szCs w:val="32"/>
          <w:shd w:val="clear" w:color="auto" w:fill="FFFFFF"/>
          <w:lang w:val="en-US" w:eastAsia="zh-CN" w:bidi="ar-SA"/>
        </w:rPr>
        <w:t>六、专业名词解释</w:t>
      </w:r>
    </w:p>
    <w:p w14:paraId="2E3223AA">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7758BCD5">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0CADD96F">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060F407E">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7CD10EC">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F9ECE43">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11724511">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336FB5D9">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1121940B">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A38AD9A">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4611609D">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46D5086F">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92F1FD1">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20FC116">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14014736">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3E9DBA5A">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3F3020A1">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93D905F">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黑体_GBK" w:cs="Times New Roman"/>
          <w:kern w:val="0"/>
          <w:sz w:val="32"/>
          <w:szCs w:val="32"/>
        </w:rPr>
      </w:pPr>
      <w:r>
        <w:rPr>
          <w:rStyle w:val="8"/>
          <w:rFonts w:hint="default" w:ascii="Times New Roman" w:hAnsi="Times New Roman" w:eastAsia="方正黑体_GBK" w:cs="Times New Roman"/>
          <w:sz w:val="32"/>
          <w:szCs w:val="32"/>
          <w:shd w:val="clear" w:color="auto" w:fill="FFFFFF"/>
          <w:lang w:val="en-US" w:eastAsia="zh-CN" w:bidi="ar-SA"/>
        </w:rPr>
        <w:t>七、决算公开联系方式及信息反馈渠道</w:t>
      </w:r>
    </w:p>
    <w:p w14:paraId="08868450">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14:paraId="6FAAA617">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shd w:val="clear" w:fill="FFFFFF"/>
        </w:rPr>
        <w:t xml:space="preserve"> 023-</w:t>
      </w:r>
      <w:r>
        <w:rPr>
          <w:rFonts w:hint="default" w:ascii="Times New Roman" w:hAnsi="Times New Roman" w:eastAsia="方正仿宋_GBK" w:cs="Times New Roman"/>
          <w:color w:val="auto"/>
          <w:kern w:val="0"/>
          <w:sz w:val="32"/>
          <w:szCs w:val="32"/>
          <w:shd w:val="clear" w:fill="FFFFFF"/>
          <w:lang w:val="en-US" w:eastAsia="zh-CN"/>
        </w:rPr>
        <w:t>51522281</w:t>
      </w:r>
    </w:p>
    <w:p w14:paraId="2F8403F1">
      <w:pPr>
        <w:pStyle w:val="9"/>
        <w:keepNext w:val="0"/>
        <w:keepLines w:val="0"/>
        <w:pageBreakBefore w:val="0"/>
        <w:widowControl/>
        <w:kinsoku/>
        <w:wordWrap/>
        <w:overflowPunct/>
        <w:topLinePunct w:val="0"/>
        <w:autoSpaceDE w:val="0"/>
        <w:autoSpaceDN/>
        <w:bidi w:val="0"/>
        <w:adjustRightInd/>
        <w:spacing w:beforeAutospacing="0" w:line="578" w:lineRule="exact"/>
        <w:ind w:firstLine="640"/>
        <w:jc w:val="both"/>
        <w:textAlignment w:val="auto"/>
        <w:rPr>
          <w:rStyle w:val="8"/>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18D25C45">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6B75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0586EA5C">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14:paraId="58E9E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5DED396A">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巫溪县财政局国库收付中心</w:t>
            </w:r>
          </w:p>
        </w:tc>
        <w:tc>
          <w:tcPr>
            <w:tcW w:w="4344" w:type="dxa"/>
            <w:tcBorders>
              <w:top w:val="nil"/>
              <w:left w:val="nil"/>
              <w:bottom w:val="nil"/>
              <w:right w:val="nil"/>
            </w:tcBorders>
            <w:shd w:val="clear" w:color="auto" w:fill="auto"/>
            <w:vAlign w:val="bottom"/>
          </w:tcPr>
          <w:p w14:paraId="12AE11DA">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14:paraId="2B614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2CF8F91A">
            <w:pPr>
              <w:rPr>
                <w:rFonts w:hint="default" w:ascii="Times New Roman" w:hAnsi="Times New Roman" w:eastAsia="宋体" w:cs="Times New Roman"/>
                <w:i w:val="0"/>
                <w:iCs w:val="0"/>
                <w:color w:val="000000"/>
                <w:sz w:val="20"/>
                <w:szCs w:val="20"/>
                <w:u w:val="none"/>
              </w:rPr>
            </w:pPr>
          </w:p>
        </w:tc>
        <w:tc>
          <w:tcPr>
            <w:tcW w:w="4344" w:type="dxa"/>
            <w:tcBorders>
              <w:top w:val="nil"/>
              <w:left w:val="nil"/>
              <w:bottom w:val="nil"/>
              <w:right w:val="nil"/>
            </w:tcBorders>
            <w:shd w:val="clear" w:color="auto" w:fill="auto"/>
            <w:vAlign w:val="bottom"/>
          </w:tcPr>
          <w:p w14:paraId="42B09C57">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7145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EDC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16CAE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14:paraId="1234E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9DD3F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71A6D4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14540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0770DB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7E1511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49C458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14:paraId="67640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A8CA1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1821082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2092E5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75D266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652B0B0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02ABF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14:paraId="12FD2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BA792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58865B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32ECA5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599.89 </w:t>
            </w:r>
          </w:p>
        </w:tc>
        <w:tc>
          <w:tcPr>
            <w:tcW w:w="4433" w:type="dxa"/>
            <w:tcBorders>
              <w:top w:val="nil"/>
              <w:left w:val="nil"/>
              <w:bottom w:val="single" w:color="000000" w:sz="4" w:space="0"/>
              <w:right w:val="single" w:color="000000" w:sz="4" w:space="0"/>
            </w:tcBorders>
            <w:shd w:val="clear" w:color="auto" w:fill="auto"/>
            <w:vAlign w:val="center"/>
          </w:tcPr>
          <w:p w14:paraId="73ADD6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3C206E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92AC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401.27 </w:t>
            </w:r>
          </w:p>
        </w:tc>
      </w:tr>
      <w:tr w14:paraId="23C6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FDE12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5B2714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4B747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3DA7C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3F60B2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4B8C0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14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31FAC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78FAC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52222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55793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5DDC0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EE309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F8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52B7F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05BF15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41F750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89961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7D1D64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5CA0F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4D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216AE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708025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4A20C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74811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4F63E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273DD5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2BD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6E4BB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14F21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22D6B8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3F080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01BC51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144B3F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3A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1C08F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7DFA4C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4E8746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F2F91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65BDE4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ACA7D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6C5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9ADB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79C511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31C68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65872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33392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5ADCE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99.57 </w:t>
            </w:r>
          </w:p>
        </w:tc>
      </w:tr>
      <w:tr w14:paraId="15ADE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DEF4711">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5C11D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21388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F0C77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02175A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13F881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41.72 </w:t>
            </w:r>
          </w:p>
        </w:tc>
      </w:tr>
      <w:tr w14:paraId="458C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B3691B6">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52733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926B2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33A2C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2EAE97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4DA027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5A9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B6FCE8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4785D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E80D4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12D00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03DF5C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4ECDE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12E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F3E3B28">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D5D9D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ECE9A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FEA0C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049F34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066B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E2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DC8406B">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0799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226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B3698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049426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C2C6B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19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EBF358C">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CF7CD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1F776FA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DC6EF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6DD170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C2D6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E6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58B594">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4EC22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7683F6F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8AC82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0CBCE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C895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3B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A643834">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A0B61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6B63D5C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B1238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5BCC81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CAC8E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C3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75B92E2">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415F9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5D8036E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C94DC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7D8F9A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46EBA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D4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5355E39">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E367D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314DD89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16050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50752F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1C5A3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DB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8588F89">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A0119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7B7F39E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ED6C4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0F61BF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50D2A0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57.33 </w:t>
            </w:r>
          </w:p>
        </w:tc>
      </w:tr>
      <w:tr w14:paraId="55B53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C118F79">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F1AAF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7C6835C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21DFF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1B218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7FF1A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756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359DF9">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D8922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2F3EE3A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1FA9E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0738A1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5C727B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0B6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6902EC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DCDFE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502D389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C79A6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6906CC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05038F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6B0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ADA6795">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EDAB9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39DC2B9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789C3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448962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1070E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2C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543A61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46A2B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2B41820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C0291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6F0B6B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4DFE5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9E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58C05C">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1050D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5441F96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02C78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7F6BE4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10C382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6A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334EC2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DC07E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7DD46E5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26A4B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39B4F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59FF3E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856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6BD4E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05D5C2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04E61F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599.89 </w:t>
            </w:r>
          </w:p>
        </w:tc>
        <w:tc>
          <w:tcPr>
            <w:tcW w:w="4433" w:type="dxa"/>
            <w:tcBorders>
              <w:top w:val="nil"/>
              <w:left w:val="nil"/>
              <w:bottom w:val="single" w:color="000000" w:sz="4" w:space="0"/>
              <w:right w:val="single" w:color="000000" w:sz="4" w:space="0"/>
            </w:tcBorders>
            <w:shd w:val="clear" w:color="auto" w:fill="auto"/>
            <w:vAlign w:val="center"/>
          </w:tcPr>
          <w:p w14:paraId="209EB2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73B10F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4EBF44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599.89 </w:t>
            </w:r>
          </w:p>
        </w:tc>
      </w:tr>
      <w:tr w14:paraId="386E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DC201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4FE27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61943A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32EA1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211F17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4F4529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8E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38458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45B25B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10C5E6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0E3D1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0EEA58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4DDC6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4C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DA7E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306201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DD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599.89 </w:t>
            </w:r>
          </w:p>
        </w:tc>
        <w:tc>
          <w:tcPr>
            <w:tcW w:w="4433" w:type="dxa"/>
            <w:tcBorders>
              <w:top w:val="nil"/>
              <w:left w:val="nil"/>
              <w:bottom w:val="single" w:color="000000" w:sz="4" w:space="0"/>
              <w:right w:val="single" w:color="000000" w:sz="4" w:space="0"/>
            </w:tcBorders>
            <w:shd w:val="clear" w:color="auto" w:fill="auto"/>
            <w:vAlign w:val="center"/>
          </w:tcPr>
          <w:p w14:paraId="6EE8A8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3E932C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86F85C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599.89</w:t>
            </w:r>
          </w:p>
        </w:tc>
      </w:tr>
    </w:tbl>
    <w:p w14:paraId="14B4F340">
      <w:pPr>
        <w:pStyle w:val="9"/>
        <w:numPr>
          <w:ilvl w:val="0"/>
          <w:numId w:val="0"/>
        </w:numPr>
        <w:autoSpaceDE w:val="0"/>
        <w:rPr>
          <w:rFonts w:hint="default" w:ascii="Times New Roman" w:hAnsi="Times New Roman" w:eastAsia="宋体" w:cs="Times New Roman"/>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A1A4301">
      <w:pPr>
        <w:pStyle w:val="9"/>
        <w:numPr>
          <w:ilvl w:val="0"/>
          <w:numId w:val="0"/>
        </w:numPr>
        <w:autoSpaceDE w:val="0"/>
        <w:rPr>
          <w:rFonts w:hint="default" w:ascii="Times New Roman" w:hAnsi="Times New Roman" w:eastAsia="宋体" w:cs="Times New Roman"/>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4554B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BE53523">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14:paraId="530DA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7648057">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1"/>
                <w:szCs w:val="21"/>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巫溪县财政局国库收付中心</w:t>
            </w:r>
          </w:p>
        </w:tc>
        <w:tc>
          <w:tcPr>
            <w:tcW w:w="2408" w:type="dxa"/>
            <w:tcBorders>
              <w:top w:val="nil"/>
              <w:left w:val="nil"/>
              <w:right w:val="nil"/>
            </w:tcBorders>
            <w:shd w:val="clear" w:color="auto" w:fill="auto"/>
            <w:vAlign w:val="bottom"/>
          </w:tcPr>
          <w:p w14:paraId="6D433344">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14:paraId="35E3D37A">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3054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76D3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2A11CE2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30D480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0A3537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71E50E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29A231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E27B62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F41AFE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1B3582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14:paraId="3B742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7B783">
            <w:pPr>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1BEB8CC">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E6CFBE">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CE8060">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C64A27">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94086FB">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905C33">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4C8D6D">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6E3CBBE">
            <w:pPr>
              <w:jc w:val="center"/>
              <w:rPr>
                <w:rFonts w:hint="default" w:ascii="Times New Roman" w:hAnsi="Times New Roman" w:eastAsia="宋体" w:cs="Times New Roman"/>
                <w:i w:val="0"/>
                <w:iCs w:val="0"/>
                <w:color w:val="000000"/>
                <w:sz w:val="22"/>
                <w:szCs w:val="22"/>
                <w:u w:val="none"/>
              </w:rPr>
            </w:pPr>
          </w:p>
        </w:tc>
      </w:tr>
      <w:tr w14:paraId="4435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94B3A">
            <w:pPr>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10270C8">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86C510">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1CCE60C">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F11470">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5E1748">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BE5784">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CE86EBF">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26B0661">
            <w:pPr>
              <w:jc w:val="center"/>
              <w:rPr>
                <w:rFonts w:hint="default" w:ascii="Times New Roman" w:hAnsi="Times New Roman" w:eastAsia="宋体" w:cs="Times New Roman"/>
                <w:i w:val="0"/>
                <w:iCs w:val="0"/>
                <w:color w:val="000000"/>
                <w:sz w:val="22"/>
                <w:szCs w:val="22"/>
                <w:u w:val="none"/>
              </w:rPr>
            </w:pPr>
          </w:p>
        </w:tc>
      </w:tr>
      <w:tr w14:paraId="0ADD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25E78">
            <w:pPr>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8FE004F">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FEECDA">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09975C">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65FDE5">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68FDB4">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2501F4E">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FAA12A">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EB99E92">
            <w:pPr>
              <w:jc w:val="center"/>
              <w:rPr>
                <w:rFonts w:hint="default" w:ascii="Times New Roman" w:hAnsi="Times New Roman" w:eastAsia="宋体" w:cs="Times New Roman"/>
                <w:i w:val="0"/>
                <w:iCs w:val="0"/>
                <w:color w:val="000000"/>
                <w:sz w:val="22"/>
                <w:szCs w:val="22"/>
                <w:u w:val="none"/>
              </w:rPr>
            </w:pPr>
          </w:p>
        </w:tc>
      </w:tr>
      <w:tr w14:paraId="628B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1544593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6BEBB6A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66DB723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1722C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10EA06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373C2F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7396F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52420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2A8266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CD069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194F2A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14:paraId="1D998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7783E202">
            <w:pPr>
              <w:jc w:val="center"/>
              <w:rPr>
                <w:rFonts w:hint="default" w:ascii="Times New Roman" w:hAnsi="Times New Roman" w:eastAsia="宋体" w:cs="Times New Roman"/>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2EB5E589">
            <w:pPr>
              <w:jc w:val="center"/>
              <w:rPr>
                <w:rFonts w:hint="default" w:ascii="Times New Roman" w:hAnsi="Times New Roman" w:eastAsia="宋体" w:cs="Times New Roman"/>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07778BDF">
            <w:pPr>
              <w:jc w:val="center"/>
              <w:rPr>
                <w:rFonts w:hint="default" w:ascii="Times New Roman" w:hAnsi="Times New Roman" w:eastAsia="宋体" w:cs="Times New Roman"/>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76F7C5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5ECFB5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599.89 </w:t>
            </w:r>
          </w:p>
        </w:tc>
        <w:tc>
          <w:tcPr>
            <w:tcW w:w="2403" w:type="dxa"/>
            <w:tcBorders>
              <w:top w:val="nil"/>
              <w:left w:val="nil"/>
              <w:bottom w:val="single" w:color="000000" w:sz="4" w:space="0"/>
              <w:right w:val="single" w:color="000000" w:sz="4" w:space="0"/>
            </w:tcBorders>
            <w:shd w:val="clear" w:color="auto" w:fill="auto"/>
            <w:vAlign w:val="center"/>
          </w:tcPr>
          <w:p w14:paraId="0BB49B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599.89 </w:t>
            </w:r>
          </w:p>
        </w:tc>
        <w:tc>
          <w:tcPr>
            <w:tcW w:w="2403" w:type="dxa"/>
            <w:tcBorders>
              <w:top w:val="nil"/>
              <w:left w:val="nil"/>
              <w:bottom w:val="single" w:color="000000" w:sz="4" w:space="0"/>
              <w:right w:val="single" w:color="000000" w:sz="4" w:space="0"/>
            </w:tcBorders>
            <w:shd w:val="clear" w:color="auto" w:fill="auto"/>
            <w:vAlign w:val="center"/>
          </w:tcPr>
          <w:p w14:paraId="7D3BEB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CD9C8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0DA4A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F8BF9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847B6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8448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4FF6D5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42ED72D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79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09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C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B2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1C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1C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21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F34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84C1BD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20106</w:t>
            </w:r>
          </w:p>
        </w:tc>
        <w:tc>
          <w:tcPr>
            <w:tcW w:w="4166" w:type="dxa"/>
            <w:tcBorders>
              <w:top w:val="nil"/>
              <w:left w:val="nil"/>
              <w:bottom w:val="single" w:color="000000" w:sz="4" w:space="0"/>
              <w:right w:val="single" w:color="000000" w:sz="4" w:space="0"/>
            </w:tcBorders>
            <w:shd w:val="clear" w:color="auto" w:fill="auto"/>
            <w:vAlign w:val="center"/>
          </w:tcPr>
          <w:p w14:paraId="7B27FEF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财政事务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61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D9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17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4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58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53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A2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F26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7D3CA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2010601</w:t>
            </w:r>
          </w:p>
        </w:tc>
        <w:tc>
          <w:tcPr>
            <w:tcW w:w="4166" w:type="dxa"/>
            <w:tcBorders>
              <w:top w:val="nil"/>
              <w:left w:val="nil"/>
              <w:bottom w:val="single" w:color="000000" w:sz="4" w:space="0"/>
              <w:right w:val="single" w:color="000000" w:sz="4" w:space="0"/>
            </w:tcBorders>
            <w:shd w:val="clear" w:color="auto" w:fill="auto"/>
            <w:vAlign w:val="center"/>
          </w:tcPr>
          <w:p w14:paraId="2CB2A09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57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75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8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F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83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2C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5F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5F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2714D3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464E632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25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31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52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35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6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4F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4D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C0D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011A6A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08C7AD7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63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E0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02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8A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5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79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02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92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FA7AF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4B47290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40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3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EA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0D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82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AE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E7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22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5E280E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7DFD978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11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3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83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9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AE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BD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8E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689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C2E5E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7CFC378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13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2D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8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D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0B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12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6A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A9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F4CB5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566D1F5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E8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4B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1A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E9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65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55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7D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FF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B4B85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48BDCB7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5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F1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0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EC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11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F3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24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360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212D9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5F30EE0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42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F7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1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6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4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83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31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EDF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51BA5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2606A43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70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F9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2D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42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C7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4A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FB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6E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86229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7DFCA77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BC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BF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3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71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6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1C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1C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E27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97AC95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6F1CBA5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7E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3C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95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24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4B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00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7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BC11E53">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624E7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2F6122C9">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14:paraId="28BF7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3B432D46">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巫溪县财政局国库收付中心 </w:t>
            </w:r>
          </w:p>
        </w:tc>
        <w:tc>
          <w:tcPr>
            <w:tcW w:w="2741" w:type="dxa"/>
            <w:tcBorders>
              <w:top w:val="nil"/>
              <w:left w:val="nil"/>
              <w:bottom w:val="nil"/>
              <w:right w:val="nil"/>
            </w:tcBorders>
            <w:shd w:val="clear" w:color="auto" w:fill="auto"/>
            <w:vAlign w:val="bottom"/>
          </w:tcPr>
          <w:p w14:paraId="59ED49A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14:paraId="015F1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0564682A">
            <w:pPr>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14:paraId="0B9E5997">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7027C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1B82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3488312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8FE434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3F1553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B5A61E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10880B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2AD0E9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4CCFF6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14:paraId="26EFC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DCC14">
            <w:pPr>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4E1BBACD">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269119">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22068C9">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AF09BE">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235932">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DB259C">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84C738F">
            <w:pPr>
              <w:jc w:val="center"/>
              <w:rPr>
                <w:rFonts w:hint="default" w:ascii="Times New Roman" w:hAnsi="Times New Roman" w:eastAsia="宋体" w:cs="Times New Roman"/>
                <w:i w:val="0"/>
                <w:iCs w:val="0"/>
                <w:color w:val="000000"/>
                <w:sz w:val="22"/>
                <w:szCs w:val="22"/>
                <w:u w:val="none"/>
              </w:rPr>
            </w:pPr>
          </w:p>
        </w:tc>
      </w:tr>
      <w:tr w14:paraId="1A882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6314C">
            <w:pPr>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051B912">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547452">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4EA5C60">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64C91A">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2D093D1">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A76642">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DA42C53">
            <w:pPr>
              <w:jc w:val="center"/>
              <w:rPr>
                <w:rFonts w:hint="default" w:ascii="Times New Roman" w:hAnsi="Times New Roman" w:eastAsia="宋体" w:cs="Times New Roman"/>
                <w:i w:val="0"/>
                <w:iCs w:val="0"/>
                <w:color w:val="000000"/>
                <w:sz w:val="22"/>
                <w:szCs w:val="22"/>
                <w:u w:val="none"/>
              </w:rPr>
            </w:pPr>
          </w:p>
        </w:tc>
      </w:tr>
      <w:tr w14:paraId="522C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BD764">
            <w:pPr>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845F79E">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14B4F7F">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AD1B9B2">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0650405">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1E884A">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2FE82A">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2CC510D">
            <w:pPr>
              <w:jc w:val="center"/>
              <w:rPr>
                <w:rFonts w:hint="default" w:ascii="Times New Roman" w:hAnsi="Times New Roman" w:eastAsia="宋体" w:cs="Times New Roman"/>
                <w:i w:val="0"/>
                <w:iCs w:val="0"/>
                <w:color w:val="000000"/>
                <w:sz w:val="22"/>
                <w:szCs w:val="22"/>
                <w:u w:val="none"/>
              </w:rPr>
            </w:pPr>
          </w:p>
        </w:tc>
      </w:tr>
      <w:tr w14:paraId="0BAF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2A1153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69C1A80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6941F07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3EF915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0BC134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78646A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7B3ABB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61BB20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5CBAF9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7820C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14:paraId="007B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3256D44D">
            <w:pPr>
              <w:jc w:val="center"/>
              <w:rPr>
                <w:rFonts w:hint="default" w:ascii="Times New Roman" w:hAnsi="Times New Roman" w:eastAsia="宋体" w:cs="Times New Roman"/>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6CB38588">
            <w:pPr>
              <w:jc w:val="center"/>
              <w:rPr>
                <w:rFonts w:hint="default" w:ascii="Times New Roman" w:hAnsi="Times New Roman" w:eastAsia="宋体" w:cs="Times New Roman"/>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496DF513">
            <w:pPr>
              <w:jc w:val="center"/>
              <w:rPr>
                <w:rFonts w:hint="default" w:ascii="Times New Roman" w:hAnsi="Times New Roman" w:eastAsia="宋体" w:cs="Times New Roman"/>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74A78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16CD81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599.89 </w:t>
            </w:r>
          </w:p>
        </w:tc>
        <w:tc>
          <w:tcPr>
            <w:tcW w:w="2737" w:type="dxa"/>
            <w:tcBorders>
              <w:top w:val="nil"/>
              <w:left w:val="nil"/>
              <w:bottom w:val="single" w:color="000000" w:sz="4" w:space="0"/>
              <w:right w:val="single" w:color="000000" w:sz="4" w:space="0"/>
            </w:tcBorders>
            <w:shd w:val="clear" w:color="auto" w:fill="auto"/>
            <w:vAlign w:val="center"/>
          </w:tcPr>
          <w:p w14:paraId="28A2BE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599.89 </w:t>
            </w:r>
          </w:p>
        </w:tc>
        <w:tc>
          <w:tcPr>
            <w:tcW w:w="2737" w:type="dxa"/>
            <w:tcBorders>
              <w:top w:val="nil"/>
              <w:left w:val="nil"/>
              <w:bottom w:val="single" w:color="000000" w:sz="4" w:space="0"/>
              <w:right w:val="single" w:color="000000" w:sz="4" w:space="0"/>
            </w:tcBorders>
            <w:shd w:val="clear" w:color="auto" w:fill="auto"/>
            <w:vAlign w:val="center"/>
          </w:tcPr>
          <w:p w14:paraId="6A9C1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D9C38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913B9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CBAF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61B7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F88EC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34BA241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7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78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E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16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1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E0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8D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EBCFC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20106</w:t>
            </w:r>
          </w:p>
        </w:tc>
        <w:tc>
          <w:tcPr>
            <w:tcW w:w="4316" w:type="dxa"/>
            <w:tcBorders>
              <w:top w:val="nil"/>
              <w:left w:val="nil"/>
              <w:bottom w:val="single" w:color="000000" w:sz="4" w:space="0"/>
              <w:right w:val="single" w:color="000000" w:sz="4" w:space="0"/>
            </w:tcBorders>
            <w:shd w:val="clear" w:color="auto" w:fill="auto"/>
            <w:vAlign w:val="center"/>
          </w:tcPr>
          <w:p w14:paraId="723F79D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财政事务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0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E9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C7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5D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05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44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94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32E05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2010601</w:t>
            </w:r>
          </w:p>
        </w:tc>
        <w:tc>
          <w:tcPr>
            <w:tcW w:w="4316" w:type="dxa"/>
            <w:tcBorders>
              <w:top w:val="nil"/>
              <w:left w:val="nil"/>
              <w:bottom w:val="single" w:color="000000" w:sz="4" w:space="0"/>
              <w:right w:val="single" w:color="000000" w:sz="4" w:space="0"/>
            </w:tcBorders>
            <w:shd w:val="clear" w:color="auto" w:fill="auto"/>
            <w:vAlign w:val="center"/>
          </w:tcPr>
          <w:p w14:paraId="5F2AD83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9F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43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B2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9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DF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F6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368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BE6EF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211F8C4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D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12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0B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C7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A9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7F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A5A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1FE758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5D31D39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AB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74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CB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38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30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BC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124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EA2DDD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53EB8A9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F6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62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5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9B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0C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9B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B06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3D9877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336BDB9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07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9A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63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88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AB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7A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962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B8D859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38B2996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1F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62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86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F3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01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E2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EE7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BFDD6C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53BD5D2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18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8F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C0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15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60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D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184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AC9EF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3C4EB61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62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9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F4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2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9E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9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1F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41A20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3FFE39B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02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9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4D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D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48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25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15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631C0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0738C09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24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68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D0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87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7F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E0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57D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AA708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2291007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0C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52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7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29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9B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DE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6CC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D6E92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6C6E9CE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4D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DD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C0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17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8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D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DD27072">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CCF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FD17E66">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14:paraId="4162A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9901DF0">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巫溪县财政局国库收付中心</w:t>
            </w:r>
          </w:p>
        </w:tc>
        <w:tc>
          <w:tcPr>
            <w:tcW w:w="2874" w:type="dxa"/>
            <w:tcBorders>
              <w:top w:val="nil"/>
              <w:left w:val="nil"/>
              <w:bottom w:val="nil"/>
              <w:right w:val="nil"/>
            </w:tcBorders>
            <w:shd w:val="clear" w:color="auto" w:fill="auto"/>
            <w:vAlign w:val="bottom"/>
          </w:tcPr>
          <w:p w14:paraId="1D14977F">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14:paraId="55A0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AE12FCC">
            <w:pPr>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14:paraId="4D8774A8">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2081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1A47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91855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14:paraId="01A92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1A2C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BD7D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A9DC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A3A1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AF9C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8C79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EE46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AE57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BF01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14:paraId="6633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68A68">
            <w:pPr>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57344">
            <w:pPr>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34330">
            <w:pPr>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C28C5">
            <w:pPr>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96673">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FD669">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DC7C5">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5A596">
            <w:pPr>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EDB34">
            <w:pPr>
              <w:jc w:val="center"/>
              <w:rPr>
                <w:rFonts w:hint="default" w:ascii="Times New Roman" w:hAnsi="Times New Roman" w:eastAsia="宋体" w:cs="Times New Roman"/>
                <w:i w:val="0"/>
                <w:iCs w:val="0"/>
                <w:color w:val="000000"/>
                <w:sz w:val="22"/>
                <w:szCs w:val="22"/>
                <w:u w:val="none"/>
              </w:rPr>
            </w:pPr>
          </w:p>
        </w:tc>
      </w:tr>
      <w:tr w14:paraId="013D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67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101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F8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78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E32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F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11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C9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21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14:paraId="5BDA4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DD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5B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05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599.89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3C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31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CE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401.27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B7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401.27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E4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97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7B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30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EA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7E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B7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AD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45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B9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F4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F5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8A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72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B8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11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49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3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C0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15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D9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B0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BE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C910">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EB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77EFC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D8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F7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A3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89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BE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F1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B33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B64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96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EF3A1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00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A0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4A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0F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6D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52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51C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ACA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BC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9B5C8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02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AF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59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61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43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13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4E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012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F4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A825E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9D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E6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84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B1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E3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FE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264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0C23">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9A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169A3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19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30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20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C7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BC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FC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8C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53AF">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62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8BCD2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D9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F3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D2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4C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4B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77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46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55DD">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CE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785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7F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65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A6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A5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FF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47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06F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41AD">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85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264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D3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EB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E8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C5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65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BA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D7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143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7A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9D6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28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E9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00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60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72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C7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17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A8C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AD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F9E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8C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F1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65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89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8B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5A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9B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D24F">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B4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B52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64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3F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FD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7C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25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54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16B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788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2A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032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FB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48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F3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8B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76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66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D8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554B">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C7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49B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9C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68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50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06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41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04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4CC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674B">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09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F26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16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72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9A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7E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0A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23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F5E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613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55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B4E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75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04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97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E0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63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45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EE3E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E00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DC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8C8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9A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4C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E5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EA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17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CF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FE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A3B9">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5D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5F9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FD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1C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77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0B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7B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F4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0C7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FC87">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A2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293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8B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1F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63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9D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17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C4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979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8B27">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B0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A7C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CC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4B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1C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E0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81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DA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F2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1EE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DA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1CB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7C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09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A0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52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ED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A4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973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232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9E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6ED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44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54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15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E8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58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71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DF3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1A80">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BB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65C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76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5C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86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6D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D0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F6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597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B15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93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672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6D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00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A6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2C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6E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16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1B5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2D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F4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73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599.89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10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B6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F4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599.89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C1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599.89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0D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F2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B4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85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1E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CE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D6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BE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6B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58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EB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0A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BE6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7C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47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A7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A5A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63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5CC8A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7BF69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1E17B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4EFDF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35CA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82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E0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4D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C2B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25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C72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E16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EE1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E44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11BE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33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09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4F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4AC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24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676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879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700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57A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E60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DA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E7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AA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599.89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2C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8B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CB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599.89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8C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599.89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59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AA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5389234F">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C4D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1510911">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14:paraId="040C6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B463A02">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巫溪县财政局国库收付中心</w:t>
            </w:r>
          </w:p>
        </w:tc>
        <w:tc>
          <w:tcPr>
            <w:tcW w:w="1156" w:type="dxa"/>
            <w:tcBorders>
              <w:top w:val="nil"/>
              <w:left w:val="nil"/>
              <w:bottom w:val="nil"/>
              <w:right w:val="nil"/>
            </w:tcBorders>
            <w:shd w:val="clear" w:color="auto" w:fill="auto"/>
            <w:vAlign w:val="bottom"/>
          </w:tcPr>
          <w:p w14:paraId="2BCD706F">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14:paraId="53B1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B0511C5">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5ED9BC46">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03E03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78D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75EBF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D9547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7C4C6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727AA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3D7BE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1C07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AFDD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45CF48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7F1D8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512C0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8E944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EEDC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97B23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637C8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695BF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0963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52843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790A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15C7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2EF2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7010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A39A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23CEE2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80E638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73B2B9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730DCF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78E2C1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CE6126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4B6E40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03D5AF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1CB4B7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7A3E57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4F6C20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3E2F3A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B8C78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97D6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63447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B874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7DC63B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692184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90447E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CB831D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CBF7DD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46E428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F45D12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F92D8C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A34EB2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C5602D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ACD7E6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3D402D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3F1741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B7A3D7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14:paraId="76F8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D6F72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C141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7C6FA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F057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0F93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3A42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41BCB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DA899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251D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0C495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57886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163A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C8AC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F596A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F4B1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34C0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5092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63EF7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20710D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ECE10F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C6FEE9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8B005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16258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AD7E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09CA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FDC1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599.89 </w:t>
            </w:r>
          </w:p>
        </w:tc>
        <w:tc>
          <w:tcPr>
            <w:tcW w:w="1666" w:type="dxa"/>
            <w:tcBorders>
              <w:top w:val="nil"/>
              <w:left w:val="nil"/>
              <w:bottom w:val="single" w:color="000000" w:sz="4" w:space="0"/>
              <w:right w:val="single" w:color="000000" w:sz="4" w:space="0"/>
            </w:tcBorders>
            <w:shd w:val="clear" w:color="auto" w:fill="auto"/>
            <w:vAlign w:val="center"/>
          </w:tcPr>
          <w:p w14:paraId="658223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599.89 </w:t>
            </w:r>
          </w:p>
        </w:tc>
        <w:tc>
          <w:tcPr>
            <w:tcW w:w="1684" w:type="dxa"/>
            <w:tcBorders>
              <w:top w:val="nil"/>
              <w:left w:val="nil"/>
              <w:bottom w:val="single" w:color="000000" w:sz="4" w:space="0"/>
              <w:right w:val="single" w:color="000000" w:sz="4" w:space="0"/>
            </w:tcBorders>
            <w:shd w:val="clear" w:color="auto" w:fill="auto"/>
            <w:vAlign w:val="center"/>
          </w:tcPr>
          <w:p w14:paraId="013291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F12E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599.89 </w:t>
            </w:r>
          </w:p>
        </w:tc>
        <w:tc>
          <w:tcPr>
            <w:tcW w:w="1700" w:type="dxa"/>
            <w:tcBorders>
              <w:top w:val="nil"/>
              <w:left w:val="nil"/>
              <w:bottom w:val="single" w:color="000000" w:sz="4" w:space="0"/>
              <w:right w:val="single" w:color="000000" w:sz="4" w:space="0"/>
            </w:tcBorders>
            <w:shd w:val="clear" w:color="auto" w:fill="auto"/>
            <w:vAlign w:val="center"/>
          </w:tcPr>
          <w:p w14:paraId="63E318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599.89 </w:t>
            </w:r>
          </w:p>
        </w:tc>
        <w:tc>
          <w:tcPr>
            <w:tcW w:w="1733" w:type="dxa"/>
            <w:tcBorders>
              <w:top w:val="nil"/>
              <w:left w:val="nil"/>
              <w:bottom w:val="single" w:color="000000" w:sz="4" w:space="0"/>
              <w:right w:val="single" w:color="000000" w:sz="4" w:space="0"/>
            </w:tcBorders>
            <w:shd w:val="clear" w:color="auto" w:fill="auto"/>
            <w:vAlign w:val="center"/>
          </w:tcPr>
          <w:p w14:paraId="172515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3138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598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14F9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2661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B15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269C2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0D17B67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4F2B6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6F70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F9D5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6D0A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401.27 </w:t>
            </w:r>
          </w:p>
        </w:tc>
        <w:tc>
          <w:tcPr>
            <w:tcW w:w="1666" w:type="dxa"/>
            <w:tcBorders>
              <w:top w:val="nil"/>
              <w:left w:val="nil"/>
              <w:bottom w:val="single" w:color="000000" w:sz="4" w:space="0"/>
              <w:right w:val="single" w:color="000000" w:sz="4" w:space="0"/>
            </w:tcBorders>
            <w:shd w:val="clear" w:color="auto" w:fill="auto"/>
            <w:vAlign w:val="center"/>
          </w:tcPr>
          <w:p w14:paraId="5F3D1F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401.27 </w:t>
            </w:r>
          </w:p>
        </w:tc>
        <w:tc>
          <w:tcPr>
            <w:tcW w:w="1684" w:type="dxa"/>
            <w:tcBorders>
              <w:top w:val="nil"/>
              <w:left w:val="nil"/>
              <w:bottom w:val="single" w:color="000000" w:sz="4" w:space="0"/>
              <w:right w:val="single" w:color="000000" w:sz="4" w:space="0"/>
            </w:tcBorders>
            <w:shd w:val="clear" w:color="auto" w:fill="auto"/>
            <w:vAlign w:val="center"/>
          </w:tcPr>
          <w:p w14:paraId="0A53F3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73EF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401.27 </w:t>
            </w:r>
          </w:p>
        </w:tc>
        <w:tc>
          <w:tcPr>
            <w:tcW w:w="1700" w:type="dxa"/>
            <w:tcBorders>
              <w:top w:val="nil"/>
              <w:left w:val="nil"/>
              <w:bottom w:val="single" w:color="000000" w:sz="4" w:space="0"/>
              <w:right w:val="single" w:color="000000" w:sz="4" w:space="0"/>
            </w:tcBorders>
            <w:shd w:val="clear" w:color="auto" w:fill="auto"/>
            <w:vAlign w:val="center"/>
          </w:tcPr>
          <w:p w14:paraId="262968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401.27 </w:t>
            </w:r>
          </w:p>
        </w:tc>
        <w:tc>
          <w:tcPr>
            <w:tcW w:w="1733" w:type="dxa"/>
            <w:tcBorders>
              <w:top w:val="nil"/>
              <w:left w:val="nil"/>
              <w:bottom w:val="single" w:color="000000" w:sz="4" w:space="0"/>
              <w:right w:val="single" w:color="000000" w:sz="4" w:space="0"/>
            </w:tcBorders>
            <w:shd w:val="clear" w:color="auto" w:fill="auto"/>
            <w:vAlign w:val="center"/>
          </w:tcPr>
          <w:p w14:paraId="73163B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57CD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0F2E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F90C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3473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D18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380A6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20106</w:t>
            </w:r>
          </w:p>
        </w:tc>
        <w:tc>
          <w:tcPr>
            <w:tcW w:w="1816" w:type="dxa"/>
            <w:tcBorders>
              <w:top w:val="nil"/>
              <w:left w:val="nil"/>
              <w:bottom w:val="single" w:color="000000" w:sz="4" w:space="0"/>
              <w:right w:val="single" w:color="000000" w:sz="4" w:space="0"/>
            </w:tcBorders>
            <w:shd w:val="clear" w:color="auto" w:fill="auto"/>
            <w:vAlign w:val="center"/>
          </w:tcPr>
          <w:p w14:paraId="19BFF3C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财政事务</w:t>
            </w:r>
          </w:p>
        </w:tc>
        <w:tc>
          <w:tcPr>
            <w:tcW w:w="1528" w:type="dxa"/>
            <w:tcBorders>
              <w:top w:val="nil"/>
              <w:left w:val="nil"/>
              <w:bottom w:val="single" w:color="000000" w:sz="4" w:space="0"/>
              <w:right w:val="single" w:color="000000" w:sz="4" w:space="0"/>
            </w:tcBorders>
            <w:shd w:val="clear" w:color="auto" w:fill="auto"/>
            <w:vAlign w:val="center"/>
          </w:tcPr>
          <w:p w14:paraId="1FBC88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6A46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3D1B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D1F4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401.27 </w:t>
            </w:r>
          </w:p>
        </w:tc>
        <w:tc>
          <w:tcPr>
            <w:tcW w:w="1666" w:type="dxa"/>
            <w:tcBorders>
              <w:top w:val="nil"/>
              <w:left w:val="nil"/>
              <w:bottom w:val="single" w:color="000000" w:sz="4" w:space="0"/>
              <w:right w:val="single" w:color="000000" w:sz="4" w:space="0"/>
            </w:tcBorders>
            <w:shd w:val="clear" w:color="auto" w:fill="auto"/>
            <w:vAlign w:val="center"/>
          </w:tcPr>
          <w:p w14:paraId="5CF8A1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401.27 </w:t>
            </w:r>
          </w:p>
        </w:tc>
        <w:tc>
          <w:tcPr>
            <w:tcW w:w="1684" w:type="dxa"/>
            <w:tcBorders>
              <w:top w:val="nil"/>
              <w:left w:val="nil"/>
              <w:bottom w:val="single" w:color="000000" w:sz="4" w:space="0"/>
              <w:right w:val="single" w:color="000000" w:sz="4" w:space="0"/>
            </w:tcBorders>
            <w:shd w:val="clear" w:color="auto" w:fill="auto"/>
            <w:vAlign w:val="center"/>
          </w:tcPr>
          <w:p w14:paraId="67EDBB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D50D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401.27 </w:t>
            </w:r>
          </w:p>
        </w:tc>
        <w:tc>
          <w:tcPr>
            <w:tcW w:w="1700" w:type="dxa"/>
            <w:tcBorders>
              <w:top w:val="nil"/>
              <w:left w:val="nil"/>
              <w:bottom w:val="single" w:color="000000" w:sz="4" w:space="0"/>
              <w:right w:val="single" w:color="000000" w:sz="4" w:space="0"/>
            </w:tcBorders>
            <w:shd w:val="clear" w:color="auto" w:fill="auto"/>
            <w:vAlign w:val="center"/>
          </w:tcPr>
          <w:p w14:paraId="73D664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401.27 </w:t>
            </w:r>
          </w:p>
        </w:tc>
        <w:tc>
          <w:tcPr>
            <w:tcW w:w="1733" w:type="dxa"/>
            <w:tcBorders>
              <w:top w:val="nil"/>
              <w:left w:val="nil"/>
              <w:bottom w:val="single" w:color="000000" w:sz="4" w:space="0"/>
              <w:right w:val="single" w:color="000000" w:sz="4" w:space="0"/>
            </w:tcBorders>
            <w:shd w:val="clear" w:color="auto" w:fill="auto"/>
            <w:vAlign w:val="center"/>
          </w:tcPr>
          <w:p w14:paraId="54BA8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D6E0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9D07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18F3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E122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7397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2E7FB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2010601</w:t>
            </w:r>
          </w:p>
        </w:tc>
        <w:tc>
          <w:tcPr>
            <w:tcW w:w="1816" w:type="dxa"/>
            <w:tcBorders>
              <w:top w:val="nil"/>
              <w:left w:val="nil"/>
              <w:bottom w:val="single" w:color="000000" w:sz="4" w:space="0"/>
              <w:right w:val="single" w:color="000000" w:sz="4" w:space="0"/>
            </w:tcBorders>
            <w:shd w:val="clear" w:color="auto" w:fill="auto"/>
            <w:vAlign w:val="center"/>
          </w:tcPr>
          <w:p w14:paraId="345FEF7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020647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C8A4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7198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D533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401.27 </w:t>
            </w:r>
          </w:p>
        </w:tc>
        <w:tc>
          <w:tcPr>
            <w:tcW w:w="1666" w:type="dxa"/>
            <w:tcBorders>
              <w:top w:val="nil"/>
              <w:left w:val="nil"/>
              <w:bottom w:val="single" w:color="000000" w:sz="4" w:space="0"/>
              <w:right w:val="single" w:color="000000" w:sz="4" w:space="0"/>
            </w:tcBorders>
            <w:shd w:val="clear" w:color="auto" w:fill="auto"/>
            <w:vAlign w:val="center"/>
          </w:tcPr>
          <w:p w14:paraId="124DF4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401.27 </w:t>
            </w:r>
          </w:p>
        </w:tc>
        <w:tc>
          <w:tcPr>
            <w:tcW w:w="1684" w:type="dxa"/>
            <w:tcBorders>
              <w:top w:val="nil"/>
              <w:left w:val="nil"/>
              <w:bottom w:val="single" w:color="000000" w:sz="4" w:space="0"/>
              <w:right w:val="single" w:color="000000" w:sz="4" w:space="0"/>
            </w:tcBorders>
            <w:shd w:val="clear" w:color="auto" w:fill="auto"/>
            <w:vAlign w:val="center"/>
          </w:tcPr>
          <w:p w14:paraId="466BD4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AB19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401.27 </w:t>
            </w:r>
          </w:p>
        </w:tc>
        <w:tc>
          <w:tcPr>
            <w:tcW w:w="1700" w:type="dxa"/>
            <w:tcBorders>
              <w:top w:val="nil"/>
              <w:left w:val="nil"/>
              <w:bottom w:val="single" w:color="000000" w:sz="4" w:space="0"/>
              <w:right w:val="single" w:color="000000" w:sz="4" w:space="0"/>
            </w:tcBorders>
            <w:shd w:val="clear" w:color="auto" w:fill="auto"/>
            <w:vAlign w:val="center"/>
          </w:tcPr>
          <w:p w14:paraId="35EE64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401.27 </w:t>
            </w:r>
          </w:p>
        </w:tc>
        <w:tc>
          <w:tcPr>
            <w:tcW w:w="1733" w:type="dxa"/>
            <w:tcBorders>
              <w:top w:val="nil"/>
              <w:left w:val="nil"/>
              <w:bottom w:val="single" w:color="000000" w:sz="4" w:space="0"/>
              <w:right w:val="single" w:color="000000" w:sz="4" w:space="0"/>
            </w:tcBorders>
            <w:shd w:val="clear" w:color="auto" w:fill="auto"/>
            <w:vAlign w:val="center"/>
          </w:tcPr>
          <w:p w14:paraId="6276FE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E75C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404F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8B23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1BD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369B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C3D2C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E0F208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99D53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A195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6EB4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4A4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99.57 </w:t>
            </w:r>
          </w:p>
        </w:tc>
        <w:tc>
          <w:tcPr>
            <w:tcW w:w="1666" w:type="dxa"/>
            <w:tcBorders>
              <w:top w:val="nil"/>
              <w:left w:val="nil"/>
              <w:bottom w:val="single" w:color="000000" w:sz="4" w:space="0"/>
              <w:right w:val="single" w:color="000000" w:sz="4" w:space="0"/>
            </w:tcBorders>
            <w:shd w:val="clear" w:color="auto" w:fill="auto"/>
            <w:vAlign w:val="center"/>
          </w:tcPr>
          <w:p w14:paraId="189776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99.57 </w:t>
            </w:r>
          </w:p>
        </w:tc>
        <w:tc>
          <w:tcPr>
            <w:tcW w:w="1684" w:type="dxa"/>
            <w:tcBorders>
              <w:top w:val="nil"/>
              <w:left w:val="nil"/>
              <w:bottom w:val="single" w:color="000000" w:sz="4" w:space="0"/>
              <w:right w:val="single" w:color="000000" w:sz="4" w:space="0"/>
            </w:tcBorders>
            <w:shd w:val="clear" w:color="auto" w:fill="auto"/>
            <w:vAlign w:val="center"/>
          </w:tcPr>
          <w:p w14:paraId="63BDF3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6E97D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99.57 </w:t>
            </w:r>
          </w:p>
        </w:tc>
        <w:tc>
          <w:tcPr>
            <w:tcW w:w="1700" w:type="dxa"/>
            <w:tcBorders>
              <w:top w:val="nil"/>
              <w:left w:val="nil"/>
              <w:bottom w:val="single" w:color="000000" w:sz="4" w:space="0"/>
              <w:right w:val="single" w:color="000000" w:sz="4" w:space="0"/>
            </w:tcBorders>
            <w:shd w:val="clear" w:color="auto" w:fill="auto"/>
            <w:vAlign w:val="center"/>
          </w:tcPr>
          <w:p w14:paraId="756FE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99.57 </w:t>
            </w:r>
          </w:p>
        </w:tc>
        <w:tc>
          <w:tcPr>
            <w:tcW w:w="1733" w:type="dxa"/>
            <w:tcBorders>
              <w:top w:val="nil"/>
              <w:left w:val="nil"/>
              <w:bottom w:val="single" w:color="000000" w:sz="4" w:space="0"/>
              <w:right w:val="single" w:color="000000" w:sz="4" w:space="0"/>
            </w:tcBorders>
            <w:shd w:val="clear" w:color="auto" w:fill="auto"/>
            <w:vAlign w:val="center"/>
          </w:tcPr>
          <w:p w14:paraId="67AFA0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343DD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0983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7AA5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AFBB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86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E3EE3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1B3BBAD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AEF0E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AD9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D551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C6A5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99.57 </w:t>
            </w:r>
          </w:p>
        </w:tc>
        <w:tc>
          <w:tcPr>
            <w:tcW w:w="1666" w:type="dxa"/>
            <w:tcBorders>
              <w:top w:val="nil"/>
              <w:left w:val="nil"/>
              <w:bottom w:val="single" w:color="000000" w:sz="4" w:space="0"/>
              <w:right w:val="single" w:color="000000" w:sz="4" w:space="0"/>
            </w:tcBorders>
            <w:shd w:val="clear" w:color="auto" w:fill="auto"/>
            <w:vAlign w:val="center"/>
          </w:tcPr>
          <w:p w14:paraId="6F3B89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99.57 </w:t>
            </w:r>
          </w:p>
        </w:tc>
        <w:tc>
          <w:tcPr>
            <w:tcW w:w="1684" w:type="dxa"/>
            <w:tcBorders>
              <w:top w:val="nil"/>
              <w:left w:val="nil"/>
              <w:bottom w:val="single" w:color="000000" w:sz="4" w:space="0"/>
              <w:right w:val="single" w:color="000000" w:sz="4" w:space="0"/>
            </w:tcBorders>
            <w:shd w:val="clear" w:color="auto" w:fill="auto"/>
            <w:vAlign w:val="center"/>
          </w:tcPr>
          <w:p w14:paraId="2636D9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8C46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99.57 </w:t>
            </w:r>
          </w:p>
        </w:tc>
        <w:tc>
          <w:tcPr>
            <w:tcW w:w="1700" w:type="dxa"/>
            <w:tcBorders>
              <w:top w:val="nil"/>
              <w:left w:val="nil"/>
              <w:bottom w:val="single" w:color="000000" w:sz="4" w:space="0"/>
              <w:right w:val="single" w:color="000000" w:sz="4" w:space="0"/>
            </w:tcBorders>
            <w:shd w:val="clear" w:color="auto" w:fill="auto"/>
            <w:vAlign w:val="center"/>
          </w:tcPr>
          <w:p w14:paraId="6D011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99.57 </w:t>
            </w:r>
          </w:p>
        </w:tc>
        <w:tc>
          <w:tcPr>
            <w:tcW w:w="1733" w:type="dxa"/>
            <w:tcBorders>
              <w:top w:val="nil"/>
              <w:left w:val="nil"/>
              <w:bottom w:val="single" w:color="000000" w:sz="4" w:space="0"/>
              <w:right w:val="single" w:color="000000" w:sz="4" w:space="0"/>
            </w:tcBorders>
            <w:shd w:val="clear" w:color="auto" w:fill="auto"/>
            <w:vAlign w:val="center"/>
          </w:tcPr>
          <w:p w14:paraId="3AC597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79EB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C09F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6C6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E9D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CA8C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A3497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022C4AF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4B353B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C11D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341F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ADB5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0.61 </w:t>
            </w:r>
          </w:p>
        </w:tc>
        <w:tc>
          <w:tcPr>
            <w:tcW w:w="1666" w:type="dxa"/>
            <w:tcBorders>
              <w:top w:val="nil"/>
              <w:left w:val="nil"/>
              <w:bottom w:val="single" w:color="000000" w:sz="4" w:space="0"/>
              <w:right w:val="single" w:color="000000" w:sz="4" w:space="0"/>
            </w:tcBorders>
            <w:shd w:val="clear" w:color="auto" w:fill="auto"/>
            <w:vAlign w:val="center"/>
          </w:tcPr>
          <w:p w14:paraId="40A41A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0.61 </w:t>
            </w:r>
          </w:p>
        </w:tc>
        <w:tc>
          <w:tcPr>
            <w:tcW w:w="1684" w:type="dxa"/>
            <w:tcBorders>
              <w:top w:val="nil"/>
              <w:left w:val="nil"/>
              <w:bottom w:val="single" w:color="000000" w:sz="4" w:space="0"/>
              <w:right w:val="single" w:color="000000" w:sz="4" w:space="0"/>
            </w:tcBorders>
            <w:shd w:val="clear" w:color="auto" w:fill="auto"/>
            <w:vAlign w:val="center"/>
          </w:tcPr>
          <w:p w14:paraId="4D4C29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832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0.61 </w:t>
            </w:r>
          </w:p>
        </w:tc>
        <w:tc>
          <w:tcPr>
            <w:tcW w:w="1700" w:type="dxa"/>
            <w:tcBorders>
              <w:top w:val="nil"/>
              <w:left w:val="nil"/>
              <w:bottom w:val="single" w:color="000000" w:sz="4" w:space="0"/>
              <w:right w:val="single" w:color="000000" w:sz="4" w:space="0"/>
            </w:tcBorders>
            <w:shd w:val="clear" w:color="auto" w:fill="auto"/>
            <w:vAlign w:val="center"/>
          </w:tcPr>
          <w:p w14:paraId="6DE25B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0.61 </w:t>
            </w:r>
          </w:p>
        </w:tc>
        <w:tc>
          <w:tcPr>
            <w:tcW w:w="1733" w:type="dxa"/>
            <w:tcBorders>
              <w:top w:val="nil"/>
              <w:left w:val="nil"/>
              <w:bottom w:val="single" w:color="000000" w:sz="4" w:space="0"/>
              <w:right w:val="single" w:color="000000" w:sz="4" w:space="0"/>
            </w:tcBorders>
            <w:shd w:val="clear" w:color="auto" w:fill="auto"/>
            <w:vAlign w:val="center"/>
          </w:tcPr>
          <w:p w14:paraId="72CC25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53A7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F66F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9022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AA1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63B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2D3E7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A5569B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567F3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008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00F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FBF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65.04 </w:t>
            </w:r>
          </w:p>
        </w:tc>
        <w:tc>
          <w:tcPr>
            <w:tcW w:w="1666" w:type="dxa"/>
            <w:tcBorders>
              <w:top w:val="nil"/>
              <w:left w:val="nil"/>
              <w:bottom w:val="single" w:color="000000" w:sz="4" w:space="0"/>
              <w:right w:val="single" w:color="000000" w:sz="4" w:space="0"/>
            </w:tcBorders>
            <w:shd w:val="clear" w:color="auto" w:fill="auto"/>
            <w:vAlign w:val="center"/>
          </w:tcPr>
          <w:p w14:paraId="13093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65.04 </w:t>
            </w:r>
          </w:p>
        </w:tc>
        <w:tc>
          <w:tcPr>
            <w:tcW w:w="1684" w:type="dxa"/>
            <w:tcBorders>
              <w:top w:val="nil"/>
              <w:left w:val="nil"/>
              <w:bottom w:val="single" w:color="000000" w:sz="4" w:space="0"/>
              <w:right w:val="single" w:color="000000" w:sz="4" w:space="0"/>
            </w:tcBorders>
            <w:shd w:val="clear" w:color="auto" w:fill="auto"/>
            <w:vAlign w:val="center"/>
          </w:tcPr>
          <w:p w14:paraId="7F3667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A73AA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65.04 </w:t>
            </w:r>
          </w:p>
        </w:tc>
        <w:tc>
          <w:tcPr>
            <w:tcW w:w="1700" w:type="dxa"/>
            <w:tcBorders>
              <w:top w:val="nil"/>
              <w:left w:val="nil"/>
              <w:bottom w:val="single" w:color="000000" w:sz="4" w:space="0"/>
              <w:right w:val="single" w:color="000000" w:sz="4" w:space="0"/>
            </w:tcBorders>
            <w:shd w:val="clear" w:color="auto" w:fill="auto"/>
            <w:vAlign w:val="center"/>
          </w:tcPr>
          <w:p w14:paraId="3E6720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65.04 </w:t>
            </w:r>
          </w:p>
        </w:tc>
        <w:tc>
          <w:tcPr>
            <w:tcW w:w="1733" w:type="dxa"/>
            <w:tcBorders>
              <w:top w:val="nil"/>
              <w:left w:val="nil"/>
              <w:bottom w:val="single" w:color="000000" w:sz="4" w:space="0"/>
              <w:right w:val="single" w:color="000000" w:sz="4" w:space="0"/>
            </w:tcBorders>
            <w:shd w:val="clear" w:color="auto" w:fill="auto"/>
            <w:vAlign w:val="center"/>
          </w:tcPr>
          <w:p w14:paraId="7ED155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41B5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8DD7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97FE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040B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A6B6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C4038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D38A7D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66C0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90CB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10AD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2EB8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33.92 </w:t>
            </w:r>
          </w:p>
        </w:tc>
        <w:tc>
          <w:tcPr>
            <w:tcW w:w="1666" w:type="dxa"/>
            <w:tcBorders>
              <w:top w:val="nil"/>
              <w:left w:val="nil"/>
              <w:bottom w:val="single" w:color="000000" w:sz="4" w:space="0"/>
              <w:right w:val="single" w:color="000000" w:sz="4" w:space="0"/>
            </w:tcBorders>
            <w:shd w:val="clear" w:color="auto" w:fill="auto"/>
            <w:vAlign w:val="center"/>
          </w:tcPr>
          <w:p w14:paraId="2BD69A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33.92 </w:t>
            </w:r>
          </w:p>
        </w:tc>
        <w:tc>
          <w:tcPr>
            <w:tcW w:w="1684" w:type="dxa"/>
            <w:tcBorders>
              <w:top w:val="nil"/>
              <w:left w:val="nil"/>
              <w:bottom w:val="single" w:color="000000" w:sz="4" w:space="0"/>
              <w:right w:val="single" w:color="000000" w:sz="4" w:space="0"/>
            </w:tcBorders>
            <w:shd w:val="clear" w:color="auto" w:fill="auto"/>
            <w:vAlign w:val="center"/>
          </w:tcPr>
          <w:p w14:paraId="713BA9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95E3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33.92 </w:t>
            </w:r>
          </w:p>
        </w:tc>
        <w:tc>
          <w:tcPr>
            <w:tcW w:w="1700" w:type="dxa"/>
            <w:tcBorders>
              <w:top w:val="nil"/>
              <w:left w:val="nil"/>
              <w:bottom w:val="single" w:color="000000" w:sz="4" w:space="0"/>
              <w:right w:val="single" w:color="000000" w:sz="4" w:space="0"/>
            </w:tcBorders>
            <w:shd w:val="clear" w:color="auto" w:fill="auto"/>
            <w:vAlign w:val="center"/>
          </w:tcPr>
          <w:p w14:paraId="785A8A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33.92 </w:t>
            </w:r>
          </w:p>
        </w:tc>
        <w:tc>
          <w:tcPr>
            <w:tcW w:w="1733" w:type="dxa"/>
            <w:tcBorders>
              <w:top w:val="nil"/>
              <w:left w:val="nil"/>
              <w:bottom w:val="single" w:color="000000" w:sz="4" w:space="0"/>
              <w:right w:val="single" w:color="000000" w:sz="4" w:space="0"/>
            </w:tcBorders>
            <w:shd w:val="clear" w:color="auto" w:fill="auto"/>
            <w:vAlign w:val="center"/>
          </w:tcPr>
          <w:p w14:paraId="25E6D6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B28F7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9492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9CBD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EA36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6D0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756ED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3DC2693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66B38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816E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9509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751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41.72 </w:t>
            </w:r>
          </w:p>
        </w:tc>
        <w:tc>
          <w:tcPr>
            <w:tcW w:w="1666" w:type="dxa"/>
            <w:tcBorders>
              <w:top w:val="nil"/>
              <w:left w:val="nil"/>
              <w:bottom w:val="single" w:color="000000" w:sz="4" w:space="0"/>
              <w:right w:val="single" w:color="000000" w:sz="4" w:space="0"/>
            </w:tcBorders>
            <w:shd w:val="clear" w:color="auto" w:fill="auto"/>
            <w:vAlign w:val="center"/>
          </w:tcPr>
          <w:p w14:paraId="4D8080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41.72 </w:t>
            </w:r>
          </w:p>
        </w:tc>
        <w:tc>
          <w:tcPr>
            <w:tcW w:w="1684" w:type="dxa"/>
            <w:tcBorders>
              <w:top w:val="nil"/>
              <w:left w:val="nil"/>
              <w:bottom w:val="single" w:color="000000" w:sz="4" w:space="0"/>
              <w:right w:val="single" w:color="000000" w:sz="4" w:space="0"/>
            </w:tcBorders>
            <w:shd w:val="clear" w:color="auto" w:fill="auto"/>
            <w:vAlign w:val="center"/>
          </w:tcPr>
          <w:p w14:paraId="2CD38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7969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41.72 </w:t>
            </w:r>
          </w:p>
        </w:tc>
        <w:tc>
          <w:tcPr>
            <w:tcW w:w="1700" w:type="dxa"/>
            <w:tcBorders>
              <w:top w:val="nil"/>
              <w:left w:val="nil"/>
              <w:bottom w:val="single" w:color="000000" w:sz="4" w:space="0"/>
              <w:right w:val="single" w:color="000000" w:sz="4" w:space="0"/>
            </w:tcBorders>
            <w:shd w:val="clear" w:color="auto" w:fill="auto"/>
            <w:vAlign w:val="center"/>
          </w:tcPr>
          <w:p w14:paraId="0E28A9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41.72 </w:t>
            </w:r>
          </w:p>
        </w:tc>
        <w:tc>
          <w:tcPr>
            <w:tcW w:w="1733" w:type="dxa"/>
            <w:tcBorders>
              <w:top w:val="nil"/>
              <w:left w:val="nil"/>
              <w:bottom w:val="single" w:color="000000" w:sz="4" w:space="0"/>
              <w:right w:val="single" w:color="000000" w:sz="4" w:space="0"/>
            </w:tcBorders>
            <w:shd w:val="clear" w:color="auto" w:fill="auto"/>
            <w:vAlign w:val="center"/>
          </w:tcPr>
          <w:p w14:paraId="556E84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6CBC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2779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AFFD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A299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8F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FD1C6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1DAB501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335D0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589D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E1F1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4BB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41.72 </w:t>
            </w:r>
          </w:p>
        </w:tc>
        <w:tc>
          <w:tcPr>
            <w:tcW w:w="1666" w:type="dxa"/>
            <w:tcBorders>
              <w:top w:val="nil"/>
              <w:left w:val="nil"/>
              <w:bottom w:val="single" w:color="000000" w:sz="4" w:space="0"/>
              <w:right w:val="single" w:color="000000" w:sz="4" w:space="0"/>
            </w:tcBorders>
            <w:shd w:val="clear" w:color="auto" w:fill="auto"/>
            <w:vAlign w:val="center"/>
          </w:tcPr>
          <w:p w14:paraId="295F75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41.72 </w:t>
            </w:r>
          </w:p>
        </w:tc>
        <w:tc>
          <w:tcPr>
            <w:tcW w:w="1684" w:type="dxa"/>
            <w:tcBorders>
              <w:top w:val="nil"/>
              <w:left w:val="nil"/>
              <w:bottom w:val="single" w:color="000000" w:sz="4" w:space="0"/>
              <w:right w:val="single" w:color="000000" w:sz="4" w:space="0"/>
            </w:tcBorders>
            <w:shd w:val="clear" w:color="auto" w:fill="auto"/>
            <w:vAlign w:val="center"/>
          </w:tcPr>
          <w:p w14:paraId="338557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482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41.72 </w:t>
            </w:r>
          </w:p>
        </w:tc>
        <w:tc>
          <w:tcPr>
            <w:tcW w:w="1700" w:type="dxa"/>
            <w:tcBorders>
              <w:top w:val="nil"/>
              <w:left w:val="nil"/>
              <w:bottom w:val="single" w:color="000000" w:sz="4" w:space="0"/>
              <w:right w:val="single" w:color="000000" w:sz="4" w:space="0"/>
            </w:tcBorders>
            <w:shd w:val="clear" w:color="auto" w:fill="auto"/>
            <w:vAlign w:val="center"/>
          </w:tcPr>
          <w:p w14:paraId="28564F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41.72 </w:t>
            </w:r>
          </w:p>
        </w:tc>
        <w:tc>
          <w:tcPr>
            <w:tcW w:w="1733" w:type="dxa"/>
            <w:tcBorders>
              <w:top w:val="nil"/>
              <w:left w:val="nil"/>
              <w:bottom w:val="single" w:color="000000" w:sz="4" w:space="0"/>
              <w:right w:val="single" w:color="000000" w:sz="4" w:space="0"/>
            </w:tcBorders>
            <w:shd w:val="clear" w:color="auto" w:fill="auto"/>
            <w:vAlign w:val="center"/>
          </w:tcPr>
          <w:p w14:paraId="2F889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1524D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4400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C37B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8B5C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939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F5982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6EEAC73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4C008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6B99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EF60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DA47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41.72 </w:t>
            </w:r>
          </w:p>
        </w:tc>
        <w:tc>
          <w:tcPr>
            <w:tcW w:w="1666" w:type="dxa"/>
            <w:tcBorders>
              <w:top w:val="nil"/>
              <w:left w:val="nil"/>
              <w:bottom w:val="single" w:color="000000" w:sz="4" w:space="0"/>
              <w:right w:val="single" w:color="000000" w:sz="4" w:space="0"/>
            </w:tcBorders>
            <w:shd w:val="clear" w:color="auto" w:fill="auto"/>
            <w:vAlign w:val="center"/>
          </w:tcPr>
          <w:p w14:paraId="061E31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41.72 </w:t>
            </w:r>
          </w:p>
        </w:tc>
        <w:tc>
          <w:tcPr>
            <w:tcW w:w="1684" w:type="dxa"/>
            <w:tcBorders>
              <w:top w:val="nil"/>
              <w:left w:val="nil"/>
              <w:bottom w:val="single" w:color="000000" w:sz="4" w:space="0"/>
              <w:right w:val="single" w:color="000000" w:sz="4" w:space="0"/>
            </w:tcBorders>
            <w:shd w:val="clear" w:color="auto" w:fill="auto"/>
            <w:vAlign w:val="center"/>
          </w:tcPr>
          <w:p w14:paraId="412EC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9A5A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41.72 </w:t>
            </w:r>
          </w:p>
        </w:tc>
        <w:tc>
          <w:tcPr>
            <w:tcW w:w="1700" w:type="dxa"/>
            <w:tcBorders>
              <w:top w:val="nil"/>
              <w:left w:val="nil"/>
              <w:bottom w:val="single" w:color="000000" w:sz="4" w:space="0"/>
              <w:right w:val="single" w:color="000000" w:sz="4" w:space="0"/>
            </w:tcBorders>
            <w:shd w:val="clear" w:color="auto" w:fill="auto"/>
            <w:vAlign w:val="center"/>
          </w:tcPr>
          <w:p w14:paraId="3EE173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41.72 </w:t>
            </w:r>
          </w:p>
        </w:tc>
        <w:tc>
          <w:tcPr>
            <w:tcW w:w="1733" w:type="dxa"/>
            <w:tcBorders>
              <w:top w:val="nil"/>
              <w:left w:val="nil"/>
              <w:bottom w:val="single" w:color="000000" w:sz="4" w:space="0"/>
              <w:right w:val="single" w:color="000000" w:sz="4" w:space="0"/>
            </w:tcBorders>
            <w:shd w:val="clear" w:color="auto" w:fill="auto"/>
            <w:vAlign w:val="center"/>
          </w:tcPr>
          <w:p w14:paraId="4ABEF3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4202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EBC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D9CE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42A4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46C2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04EEE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5E8B457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4D7E09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359C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78E8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ACB6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57.33 </w:t>
            </w:r>
          </w:p>
        </w:tc>
        <w:tc>
          <w:tcPr>
            <w:tcW w:w="1666" w:type="dxa"/>
            <w:tcBorders>
              <w:top w:val="nil"/>
              <w:left w:val="nil"/>
              <w:bottom w:val="single" w:color="000000" w:sz="4" w:space="0"/>
              <w:right w:val="single" w:color="000000" w:sz="4" w:space="0"/>
            </w:tcBorders>
            <w:shd w:val="clear" w:color="auto" w:fill="auto"/>
            <w:vAlign w:val="center"/>
          </w:tcPr>
          <w:p w14:paraId="7B349B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57.33 </w:t>
            </w:r>
          </w:p>
        </w:tc>
        <w:tc>
          <w:tcPr>
            <w:tcW w:w="1684" w:type="dxa"/>
            <w:tcBorders>
              <w:top w:val="nil"/>
              <w:left w:val="nil"/>
              <w:bottom w:val="single" w:color="000000" w:sz="4" w:space="0"/>
              <w:right w:val="single" w:color="000000" w:sz="4" w:space="0"/>
            </w:tcBorders>
            <w:shd w:val="clear" w:color="auto" w:fill="auto"/>
            <w:vAlign w:val="center"/>
          </w:tcPr>
          <w:p w14:paraId="33E38A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C03D4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57.33 </w:t>
            </w:r>
          </w:p>
        </w:tc>
        <w:tc>
          <w:tcPr>
            <w:tcW w:w="1700" w:type="dxa"/>
            <w:tcBorders>
              <w:top w:val="nil"/>
              <w:left w:val="nil"/>
              <w:bottom w:val="single" w:color="000000" w:sz="4" w:space="0"/>
              <w:right w:val="single" w:color="000000" w:sz="4" w:space="0"/>
            </w:tcBorders>
            <w:shd w:val="clear" w:color="auto" w:fill="auto"/>
            <w:vAlign w:val="center"/>
          </w:tcPr>
          <w:p w14:paraId="74BF8B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57.33 </w:t>
            </w:r>
          </w:p>
        </w:tc>
        <w:tc>
          <w:tcPr>
            <w:tcW w:w="1733" w:type="dxa"/>
            <w:tcBorders>
              <w:top w:val="nil"/>
              <w:left w:val="nil"/>
              <w:bottom w:val="single" w:color="000000" w:sz="4" w:space="0"/>
              <w:right w:val="single" w:color="000000" w:sz="4" w:space="0"/>
            </w:tcBorders>
            <w:shd w:val="clear" w:color="auto" w:fill="auto"/>
            <w:vAlign w:val="center"/>
          </w:tcPr>
          <w:p w14:paraId="2F11FC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03B6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F1B5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BEAD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877D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A0C9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F8EA7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705B819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4DBBF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091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9832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14B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57.33 </w:t>
            </w:r>
          </w:p>
        </w:tc>
        <w:tc>
          <w:tcPr>
            <w:tcW w:w="1666" w:type="dxa"/>
            <w:tcBorders>
              <w:top w:val="nil"/>
              <w:left w:val="nil"/>
              <w:bottom w:val="single" w:color="000000" w:sz="4" w:space="0"/>
              <w:right w:val="single" w:color="000000" w:sz="4" w:space="0"/>
            </w:tcBorders>
            <w:shd w:val="clear" w:color="auto" w:fill="auto"/>
            <w:vAlign w:val="center"/>
          </w:tcPr>
          <w:p w14:paraId="29191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57.33 </w:t>
            </w:r>
          </w:p>
        </w:tc>
        <w:tc>
          <w:tcPr>
            <w:tcW w:w="1684" w:type="dxa"/>
            <w:tcBorders>
              <w:top w:val="nil"/>
              <w:left w:val="nil"/>
              <w:bottom w:val="single" w:color="000000" w:sz="4" w:space="0"/>
              <w:right w:val="single" w:color="000000" w:sz="4" w:space="0"/>
            </w:tcBorders>
            <w:shd w:val="clear" w:color="auto" w:fill="auto"/>
            <w:vAlign w:val="center"/>
          </w:tcPr>
          <w:p w14:paraId="41787C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2577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57.33 </w:t>
            </w:r>
          </w:p>
        </w:tc>
        <w:tc>
          <w:tcPr>
            <w:tcW w:w="1700" w:type="dxa"/>
            <w:tcBorders>
              <w:top w:val="nil"/>
              <w:left w:val="nil"/>
              <w:bottom w:val="single" w:color="000000" w:sz="4" w:space="0"/>
              <w:right w:val="single" w:color="000000" w:sz="4" w:space="0"/>
            </w:tcBorders>
            <w:shd w:val="clear" w:color="auto" w:fill="auto"/>
            <w:vAlign w:val="center"/>
          </w:tcPr>
          <w:p w14:paraId="1A7B94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57.33 </w:t>
            </w:r>
          </w:p>
        </w:tc>
        <w:tc>
          <w:tcPr>
            <w:tcW w:w="1733" w:type="dxa"/>
            <w:tcBorders>
              <w:top w:val="nil"/>
              <w:left w:val="nil"/>
              <w:bottom w:val="single" w:color="000000" w:sz="4" w:space="0"/>
              <w:right w:val="single" w:color="000000" w:sz="4" w:space="0"/>
            </w:tcBorders>
            <w:shd w:val="clear" w:color="auto" w:fill="auto"/>
            <w:vAlign w:val="center"/>
          </w:tcPr>
          <w:p w14:paraId="61EDC5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AD20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F22C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1CB0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D687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FE45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19FF9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66342C4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3EB004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A91C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E15E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C17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57.33 </w:t>
            </w:r>
          </w:p>
        </w:tc>
        <w:tc>
          <w:tcPr>
            <w:tcW w:w="1666" w:type="dxa"/>
            <w:tcBorders>
              <w:top w:val="nil"/>
              <w:left w:val="nil"/>
              <w:bottom w:val="single" w:color="000000" w:sz="4" w:space="0"/>
              <w:right w:val="single" w:color="000000" w:sz="4" w:space="0"/>
            </w:tcBorders>
            <w:shd w:val="clear" w:color="auto" w:fill="auto"/>
            <w:vAlign w:val="center"/>
          </w:tcPr>
          <w:p w14:paraId="572A4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57.33 </w:t>
            </w:r>
          </w:p>
        </w:tc>
        <w:tc>
          <w:tcPr>
            <w:tcW w:w="1684" w:type="dxa"/>
            <w:tcBorders>
              <w:top w:val="nil"/>
              <w:left w:val="nil"/>
              <w:bottom w:val="single" w:color="000000" w:sz="4" w:space="0"/>
              <w:right w:val="single" w:color="000000" w:sz="4" w:space="0"/>
            </w:tcBorders>
            <w:shd w:val="clear" w:color="auto" w:fill="auto"/>
            <w:vAlign w:val="center"/>
          </w:tcPr>
          <w:p w14:paraId="73BD9A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E1EBB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57.33 </w:t>
            </w:r>
          </w:p>
        </w:tc>
        <w:tc>
          <w:tcPr>
            <w:tcW w:w="1700" w:type="dxa"/>
            <w:tcBorders>
              <w:top w:val="nil"/>
              <w:left w:val="nil"/>
              <w:bottom w:val="single" w:color="000000" w:sz="4" w:space="0"/>
              <w:right w:val="single" w:color="000000" w:sz="4" w:space="0"/>
            </w:tcBorders>
            <w:shd w:val="clear" w:color="auto" w:fill="auto"/>
            <w:vAlign w:val="center"/>
          </w:tcPr>
          <w:p w14:paraId="1CDF9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57.33 </w:t>
            </w:r>
          </w:p>
        </w:tc>
        <w:tc>
          <w:tcPr>
            <w:tcW w:w="1733" w:type="dxa"/>
            <w:tcBorders>
              <w:top w:val="nil"/>
              <w:left w:val="nil"/>
              <w:bottom w:val="single" w:color="000000" w:sz="4" w:space="0"/>
              <w:right w:val="single" w:color="000000" w:sz="4" w:space="0"/>
            </w:tcBorders>
            <w:shd w:val="clear" w:color="auto" w:fill="auto"/>
            <w:vAlign w:val="center"/>
          </w:tcPr>
          <w:p w14:paraId="2F77A3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0476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59C3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5344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B25D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C9F3D79">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7C6D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C07B984">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14:paraId="1165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E6B89E9">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巫溪县财政局国库收付中心</w:t>
            </w:r>
          </w:p>
        </w:tc>
        <w:tc>
          <w:tcPr>
            <w:tcW w:w="2682" w:type="dxa"/>
            <w:tcBorders>
              <w:top w:val="nil"/>
              <w:left w:val="nil"/>
              <w:bottom w:val="nil"/>
              <w:right w:val="nil"/>
            </w:tcBorders>
            <w:shd w:val="clear" w:color="auto" w:fill="auto"/>
            <w:vAlign w:val="bottom"/>
          </w:tcPr>
          <w:p w14:paraId="614010F0">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14:paraId="49D8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F3F4A99">
            <w:pPr>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14:paraId="2389F0E9">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42B71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B75D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884547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14:paraId="6526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0B2909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C3F7AE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FCD3C1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7F2F50A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4113A3F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F8E9D3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D8C512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5C7CDC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16E27D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1DF4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43CF7E80">
            <w:pPr>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17AA1C4">
            <w:pPr>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A0DDF0D">
            <w:pPr>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4F6354D">
            <w:pPr>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09605F6">
            <w:pPr>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785912AE">
            <w:pPr>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50B88FD">
            <w:pPr>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3155DB6">
            <w:pPr>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2EBCAA62">
            <w:pPr>
              <w:jc w:val="center"/>
              <w:rPr>
                <w:rFonts w:hint="default" w:ascii="Times New Roman" w:hAnsi="Times New Roman" w:eastAsia="宋体" w:cs="Times New Roman"/>
                <w:i w:val="0"/>
                <w:iCs w:val="0"/>
                <w:color w:val="000000"/>
                <w:sz w:val="22"/>
                <w:szCs w:val="22"/>
                <w:u w:val="none"/>
              </w:rPr>
            </w:pPr>
          </w:p>
        </w:tc>
      </w:tr>
      <w:tr w14:paraId="45B72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F42E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342064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CCB84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567.81 </w:t>
            </w:r>
          </w:p>
        </w:tc>
        <w:tc>
          <w:tcPr>
            <w:tcW w:w="1234" w:type="dxa"/>
            <w:tcBorders>
              <w:top w:val="nil"/>
              <w:left w:val="nil"/>
              <w:bottom w:val="single" w:color="000000" w:sz="4" w:space="0"/>
              <w:right w:val="single" w:color="000000" w:sz="4" w:space="0"/>
            </w:tcBorders>
            <w:shd w:val="clear" w:color="auto" w:fill="auto"/>
            <w:vAlign w:val="center"/>
          </w:tcPr>
          <w:p w14:paraId="702393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17BE26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AD29C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31.47 </w:t>
            </w:r>
          </w:p>
        </w:tc>
        <w:tc>
          <w:tcPr>
            <w:tcW w:w="1133" w:type="dxa"/>
            <w:tcBorders>
              <w:top w:val="nil"/>
              <w:left w:val="nil"/>
              <w:bottom w:val="single" w:color="000000" w:sz="4" w:space="0"/>
              <w:right w:val="single" w:color="000000" w:sz="4" w:space="0"/>
            </w:tcBorders>
            <w:shd w:val="clear" w:color="auto" w:fill="auto"/>
            <w:vAlign w:val="center"/>
          </w:tcPr>
          <w:p w14:paraId="2A7D79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07F71B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2070F9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285B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AB39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61DB5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2554A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134.38 </w:t>
            </w:r>
          </w:p>
        </w:tc>
        <w:tc>
          <w:tcPr>
            <w:tcW w:w="1234" w:type="dxa"/>
            <w:tcBorders>
              <w:top w:val="nil"/>
              <w:left w:val="nil"/>
              <w:bottom w:val="single" w:color="000000" w:sz="4" w:space="0"/>
              <w:right w:val="single" w:color="000000" w:sz="4" w:space="0"/>
            </w:tcBorders>
            <w:shd w:val="clear" w:color="auto" w:fill="auto"/>
            <w:vAlign w:val="center"/>
          </w:tcPr>
          <w:p w14:paraId="75311B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74163B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2C461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CEA6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09B223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22171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B9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5D13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2E8B9E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F73E0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110.93 </w:t>
            </w:r>
          </w:p>
        </w:tc>
        <w:tc>
          <w:tcPr>
            <w:tcW w:w="1234" w:type="dxa"/>
            <w:tcBorders>
              <w:top w:val="nil"/>
              <w:left w:val="nil"/>
              <w:bottom w:val="single" w:color="000000" w:sz="4" w:space="0"/>
              <w:right w:val="single" w:color="000000" w:sz="4" w:space="0"/>
            </w:tcBorders>
            <w:shd w:val="clear" w:color="auto" w:fill="auto"/>
            <w:vAlign w:val="center"/>
          </w:tcPr>
          <w:p w14:paraId="615009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C520B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34ED0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4DFD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17BDE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74A3CC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E8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1265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300CC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062AF8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122.29 </w:t>
            </w:r>
          </w:p>
        </w:tc>
        <w:tc>
          <w:tcPr>
            <w:tcW w:w="1234" w:type="dxa"/>
            <w:tcBorders>
              <w:top w:val="nil"/>
              <w:left w:val="nil"/>
              <w:bottom w:val="single" w:color="000000" w:sz="4" w:space="0"/>
              <w:right w:val="single" w:color="000000" w:sz="4" w:space="0"/>
            </w:tcBorders>
            <w:shd w:val="clear" w:color="auto" w:fill="auto"/>
            <w:vAlign w:val="center"/>
          </w:tcPr>
          <w:p w14:paraId="56CFEB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3D1784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02B29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3944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371E5B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C4C4A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3F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0F48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8D0E6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6E39AF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10E2D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158081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73FB3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24CA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686D6D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23F10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89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48E3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22A3D9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11B51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098A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8EB0C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39C2C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2FD8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151BC2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18CE9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B8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D0FB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226AA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BE45B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65.45 </w:t>
            </w:r>
          </w:p>
        </w:tc>
        <w:tc>
          <w:tcPr>
            <w:tcW w:w="1234" w:type="dxa"/>
            <w:tcBorders>
              <w:top w:val="nil"/>
              <w:left w:val="nil"/>
              <w:bottom w:val="single" w:color="000000" w:sz="4" w:space="0"/>
              <w:right w:val="single" w:color="000000" w:sz="4" w:space="0"/>
            </w:tcBorders>
            <w:shd w:val="clear" w:color="auto" w:fill="auto"/>
            <w:vAlign w:val="center"/>
          </w:tcPr>
          <w:p w14:paraId="4A2197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585A9F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57EAE5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0655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45AE37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306B0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E0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AD6C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DE9EA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495E1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33.92 </w:t>
            </w:r>
          </w:p>
        </w:tc>
        <w:tc>
          <w:tcPr>
            <w:tcW w:w="1234" w:type="dxa"/>
            <w:tcBorders>
              <w:top w:val="nil"/>
              <w:left w:val="nil"/>
              <w:bottom w:val="single" w:color="000000" w:sz="4" w:space="0"/>
              <w:right w:val="single" w:color="000000" w:sz="4" w:space="0"/>
            </w:tcBorders>
            <w:shd w:val="clear" w:color="auto" w:fill="auto"/>
            <w:vAlign w:val="center"/>
          </w:tcPr>
          <w:p w14:paraId="192D4B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460FDD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482C7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D28B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12F4D7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17297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70B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28C8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46699C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EA61F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41.72 </w:t>
            </w:r>
          </w:p>
        </w:tc>
        <w:tc>
          <w:tcPr>
            <w:tcW w:w="1234" w:type="dxa"/>
            <w:tcBorders>
              <w:top w:val="nil"/>
              <w:left w:val="nil"/>
              <w:bottom w:val="single" w:color="000000" w:sz="4" w:space="0"/>
              <w:right w:val="single" w:color="000000" w:sz="4" w:space="0"/>
            </w:tcBorders>
            <w:shd w:val="clear" w:color="auto" w:fill="auto"/>
            <w:vAlign w:val="center"/>
          </w:tcPr>
          <w:p w14:paraId="7A2F3F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09ED4B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BB478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2016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78B745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936C3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28C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8B99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00BB32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4B68C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AD03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96345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17AD6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F1EE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5430A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E6D32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0D7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C427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567A0B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9D0CD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1.80 </w:t>
            </w:r>
          </w:p>
        </w:tc>
        <w:tc>
          <w:tcPr>
            <w:tcW w:w="1234" w:type="dxa"/>
            <w:tcBorders>
              <w:top w:val="nil"/>
              <w:left w:val="nil"/>
              <w:bottom w:val="single" w:color="000000" w:sz="4" w:space="0"/>
              <w:right w:val="single" w:color="000000" w:sz="4" w:space="0"/>
            </w:tcBorders>
            <w:shd w:val="clear" w:color="auto" w:fill="auto"/>
            <w:vAlign w:val="center"/>
          </w:tcPr>
          <w:p w14:paraId="590935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2B234E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3B43D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FEDA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7E1B9A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5D4E9E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66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CC11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75A2FD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D838C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57.33 </w:t>
            </w:r>
          </w:p>
        </w:tc>
        <w:tc>
          <w:tcPr>
            <w:tcW w:w="1234" w:type="dxa"/>
            <w:tcBorders>
              <w:top w:val="nil"/>
              <w:left w:val="nil"/>
              <w:bottom w:val="single" w:color="000000" w:sz="4" w:space="0"/>
              <w:right w:val="single" w:color="000000" w:sz="4" w:space="0"/>
            </w:tcBorders>
            <w:shd w:val="clear" w:color="auto" w:fill="auto"/>
            <w:vAlign w:val="center"/>
          </w:tcPr>
          <w:p w14:paraId="733702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41A3CD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24E15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D936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8D6B6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C3721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283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D11A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07525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AF4CF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C168E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34482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D6C27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39FF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19F4C8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646FC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48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B2E9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14D47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32A34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94085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CC25E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1BB2E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8EE3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67FBC9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2C109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A24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256D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03AAE1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14187D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0.61 </w:t>
            </w:r>
          </w:p>
        </w:tc>
        <w:tc>
          <w:tcPr>
            <w:tcW w:w="1234" w:type="dxa"/>
            <w:tcBorders>
              <w:top w:val="nil"/>
              <w:left w:val="nil"/>
              <w:bottom w:val="single" w:color="000000" w:sz="4" w:space="0"/>
              <w:right w:val="single" w:color="000000" w:sz="4" w:space="0"/>
            </w:tcBorders>
            <w:shd w:val="clear" w:color="auto" w:fill="auto"/>
            <w:vAlign w:val="center"/>
          </w:tcPr>
          <w:p w14:paraId="30DB29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4325B1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45D619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98BF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7A7ED5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52FDF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2B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D8F9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2C23CD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36DA64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B9B60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0D194D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06F58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51D2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5B0580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4C94F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20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CCAB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7A12E9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BBB9E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FE578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4C0A5C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0D7F3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A25B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6E8EB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18021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393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EFD9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02FFAB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FCBC7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2270D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1D730C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9A895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026A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249BE1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69E977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11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35B0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41AFC3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2FF5ED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2A129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641DAE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9C7D8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C6B3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4593CE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128F5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9C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A953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7B465A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5B3435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0.01 </w:t>
            </w:r>
          </w:p>
        </w:tc>
        <w:tc>
          <w:tcPr>
            <w:tcW w:w="1234" w:type="dxa"/>
            <w:tcBorders>
              <w:top w:val="nil"/>
              <w:left w:val="nil"/>
              <w:bottom w:val="single" w:color="000000" w:sz="4" w:space="0"/>
              <w:right w:val="single" w:color="000000" w:sz="4" w:space="0"/>
            </w:tcBorders>
            <w:shd w:val="clear" w:color="auto" w:fill="auto"/>
            <w:vAlign w:val="center"/>
          </w:tcPr>
          <w:p w14:paraId="6B84E7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413370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8C80F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640B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31E646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EFE32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D0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1FD7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2E5AB2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C3FD2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540B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52A74C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F6C2B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7E3E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391450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B9D29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BE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4973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5A0139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10D77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0.60 </w:t>
            </w:r>
          </w:p>
        </w:tc>
        <w:tc>
          <w:tcPr>
            <w:tcW w:w="1234" w:type="dxa"/>
            <w:tcBorders>
              <w:top w:val="nil"/>
              <w:left w:val="nil"/>
              <w:bottom w:val="single" w:color="000000" w:sz="4" w:space="0"/>
              <w:right w:val="single" w:color="000000" w:sz="4" w:space="0"/>
            </w:tcBorders>
            <w:shd w:val="clear" w:color="auto" w:fill="auto"/>
            <w:vAlign w:val="center"/>
          </w:tcPr>
          <w:p w14:paraId="51A4C3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4A821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5CCB3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99B9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31EB1F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A28BD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2A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51F8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B0D3D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489EF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4768A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24239E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DE74D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5650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99E40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C1798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E4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D989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421175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23355D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3D40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37F5F7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97295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3.91 </w:t>
            </w:r>
          </w:p>
        </w:tc>
        <w:tc>
          <w:tcPr>
            <w:tcW w:w="1133" w:type="dxa"/>
            <w:tcBorders>
              <w:top w:val="nil"/>
              <w:left w:val="nil"/>
              <w:bottom w:val="single" w:color="000000" w:sz="4" w:space="0"/>
              <w:right w:val="single" w:color="000000" w:sz="4" w:space="0"/>
            </w:tcBorders>
            <w:shd w:val="clear" w:color="auto" w:fill="auto"/>
            <w:vAlign w:val="center"/>
          </w:tcPr>
          <w:p w14:paraId="6A0CF1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6ED968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030E52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8A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884F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285CC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E78C3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F092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744557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E45D0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C2C6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138797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7BD481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FA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618E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053F7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387627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D4AE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E3D96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B7EBA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27.08 </w:t>
            </w:r>
          </w:p>
        </w:tc>
        <w:tc>
          <w:tcPr>
            <w:tcW w:w="1133" w:type="dxa"/>
            <w:tcBorders>
              <w:top w:val="nil"/>
              <w:left w:val="nil"/>
              <w:bottom w:val="single" w:color="000000" w:sz="4" w:space="0"/>
              <w:right w:val="single" w:color="000000" w:sz="4" w:space="0"/>
            </w:tcBorders>
            <w:shd w:val="clear" w:color="auto" w:fill="auto"/>
            <w:vAlign w:val="center"/>
          </w:tcPr>
          <w:p w14:paraId="53BE93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FAAB4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4E1639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9A4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87FA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72684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CBD54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05E8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2C0A65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865F7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DF71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761141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33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AFB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6A6355">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041CEE4">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4B564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9CBDE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7E4458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6BC1B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0.48 </w:t>
            </w:r>
          </w:p>
        </w:tc>
        <w:tc>
          <w:tcPr>
            <w:tcW w:w="1133" w:type="dxa"/>
            <w:tcBorders>
              <w:top w:val="nil"/>
              <w:left w:val="nil"/>
              <w:bottom w:val="single" w:color="000000" w:sz="4" w:space="0"/>
              <w:right w:val="single" w:color="000000" w:sz="4" w:space="0"/>
            </w:tcBorders>
            <w:shd w:val="clear" w:color="auto" w:fill="auto"/>
            <w:vAlign w:val="center"/>
          </w:tcPr>
          <w:p w14:paraId="275353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85EDA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C3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79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8C26EB">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77CFB7D">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B2D1E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2B680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1309DE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D8F38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2732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DA15B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EF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78E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21CB8E">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0C73424">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8964C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C2C13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565351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B7D3A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6DBC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412F07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EC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16E7B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272DA3">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A68E340">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A3702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2265F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77567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1763AD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7774DB">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9A56914">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11B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23B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080570">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4FC1726">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4CA72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F5D48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7D33E4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2EF51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0326A3">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A29DD15">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F5E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240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239C1E">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44BC4A7">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E73A5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B96FE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298D88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9943D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C107F2">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3B3E0E9">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AE6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5A6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0D1595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D4AF73">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568.42 </w:t>
            </w:r>
          </w:p>
        </w:tc>
        <w:tc>
          <w:tcPr>
            <w:tcW w:w="12067" w:type="dxa"/>
            <w:gridSpan w:val="5"/>
            <w:tcBorders>
              <w:top w:val="nil"/>
              <w:left w:val="nil"/>
              <w:bottom w:val="single" w:color="000000" w:sz="4" w:space="0"/>
              <w:right w:val="single" w:color="000000" w:sz="4" w:space="0"/>
            </w:tcBorders>
            <w:shd w:val="clear" w:color="auto" w:fill="auto"/>
            <w:vAlign w:val="center"/>
          </w:tcPr>
          <w:p w14:paraId="1ED85B1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69AAB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31.47 </w:t>
            </w:r>
          </w:p>
        </w:tc>
      </w:tr>
    </w:tbl>
    <w:p w14:paraId="47A16C69">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5B86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0A39B1D">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14:paraId="5071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41484B8">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巫溪县财政局国库收付中心</w:t>
            </w:r>
          </w:p>
        </w:tc>
        <w:tc>
          <w:tcPr>
            <w:tcW w:w="1156" w:type="dxa"/>
            <w:tcBorders>
              <w:top w:val="nil"/>
              <w:left w:val="nil"/>
              <w:bottom w:val="nil"/>
              <w:right w:val="nil"/>
            </w:tcBorders>
            <w:shd w:val="clear" w:color="auto" w:fill="auto"/>
            <w:vAlign w:val="bottom"/>
          </w:tcPr>
          <w:p w14:paraId="577E26DE">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14:paraId="4F37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3D29078">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28CECA19">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3C74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6E0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2A368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10F9B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2FF5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7540F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BF454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155DA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20A5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BFDEF9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717A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C9610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E4DAD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E3FC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3DDE2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1B05C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17AAF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FEAF2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4FC71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F6745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161F3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56854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3FFD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8158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E0AC6C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9FACA6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7F8AD1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F4673E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DF88E2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5ADF94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29EF88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4994DD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C6CCF1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0567A8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F794C0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1E4EF3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C2EE9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A6F9F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2BDF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7A78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936791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EEA3A6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BEE18F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CC658C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BE47D3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276D0F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BC90C0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F65405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8BE663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5B3BB6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4EF1AB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0F0781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83FE59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4C0108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14:paraId="1AB3B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4690F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671F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41876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4BF6E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0113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F1D3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7C42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F9B08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D7387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92E4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DC8E7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76E61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33BBE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8E26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39825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0E0AD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9764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1A07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79B890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89965A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F8FCEB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C4AE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5599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02A9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7F439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84B1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E6056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46EE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420E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4076A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D356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64FA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0B40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15BB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627D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C552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F57A8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4D7E109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7CAE39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A41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7944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AC2B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0B55E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9D7C8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AF68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CE3A1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D72B7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651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A9FA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3493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1D93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ED1BD75">
      <w:pPr>
        <w:numPr>
          <w:ilvl w:val="0"/>
          <w:numId w:val="0"/>
        </w:numPr>
        <w:rPr>
          <w:rFonts w:hint="default" w:ascii="Times New Roman" w:hAnsi="Times New Roman" w:eastAsia="宋体" w:cs="Times New Roman"/>
          <w:sz w:val="21"/>
          <w:szCs w:val="21"/>
          <w:lang w:val="en-US" w:eastAsia="zh-CN"/>
        </w:rPr>
      </w:pPr>
      <w:r>
        <w:rPr>
          <w:rFonts w:hint="default" w:ascii="Times New Roman" w:hAnsi="Times New Roman" w:eastAsia="方正仿宋_GBK" w:cs="Times New Roman"/>
          <w:sz w:val="22"/>
          <w:szCs w:val="22"/>
          <w:lang w:eastAsia="zh-CN"/>
        </w:rPr>
        <w:t>（</w:t>
      </w:r>
      <w:r>
        <w:rPr>
          <w:rFonts w:hint="default" w:ascii="Times New Roman" w:hAnsi="Times New Roman" w:eastAsia="方正仿宋_GBK" w:cs="Times New Roman"/>
          <w:sz w:val="22"/>
          <w:szCs w:val="22"/>
          <w:lang w:val="en-US" w:eastAsia="zh-CN"/>
        </w:rPr>
        <w:t>注：</w:t>
      </w:r>
      <w:r>
        <w:rPr>
          <w:rFonts w:hint="default" w:ascii="Times New Roman" w:hAnsi="Times New Roman" w:eastAsia="方正仿宋_GBK" w:cs="Times New Roman"/>
          <w:sz w:val="22"/>
          <w:szCs w:val="22"/>
        </w:rPr>
        <w:t>本年无政府性基金预算财政拨款收支，故本表无数据</w:t>
      </w:r>
      <w:r>
        <w:rPr>
          <w:rFonts w:hint="default" w:ascii="Times New Roman" w:hAnsi="Times New Roman" w:eastAsia="方正仿宋_GBK" w:cs="Times New Roman"/>
          <w:sz w:val="22"/>
          <w:szCs w:val="22"/>
          <w:lang w:eastAsia="zh-CN"/>
        </w:rPr>
        <w:t>）</w:t>
      </w:r>
      <w:r>
        <w:rPr>
          <w:rFonts w:hint="default" w:ascii="Times New Roman" w:hAnsi="Times New Roman" w:eastAsia="宋体" w:cs="Times New Roman"/>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BCD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9F1BC74">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14:paraId="5A798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72D9E894">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巫溪县财政局国库收付中心</w:t>
            </w:r>
          </w:p>
        </w:tc>
        <w:tc>
          <w:tcPr>
            <w:tcW w:w="2116" w:type="dxa"/>
            <w:tcBorders>
              <w:top w:val="nil"/>
              <w:left w:val="nil"/>
              <w:bottom w:val="nil"/>
              <w:right w:val="nil"/>
            </w:tcBorders>
            <w:shd w:val="clear" w:color="auto" w:fill="auto"/>
            <w:vAlign w:val="bottom"/>
          </w:tcPr>
          <w:p w14:paraId="2F660751">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14:paraId="4CB3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37E940B3">
            <w:pPr>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14:paraId="349AEFC8">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4B4B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FDC4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D80883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6BD4EE1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D74EB2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CDAD84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1BDD635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532C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49BFE">
            <w:pPr>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CDBF475">
            <w:pPr>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554756E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65136B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68059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99A40BB">
            <w:pPr>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592182F">
            <w:pPr>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7FB20F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9C5BC3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3CBB72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14:paraId="7583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8949D">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9EC094C">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501EC30">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354639F">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82B3DF8">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8914E29">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EC9A4C9">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27511F8">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1E2815B">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11EC953">
            <w:pPr>
              <w:jc w:val="center"/>
              <w:rPr>
                <w:rFonts w:hint="default" w:ascii="Times New Roman" w:hAnsi="Times New Roman" w:eastAsia="宋体" w:cs="Times New Roman"/>
                <w:i w:val="0"/>
                <w:iCs w:val="0"/>
                <w:color w:val="000000"/>
                <w:sz w:val="22"/>
                <w:szCs w:val="22"/>
                <w:u w:val="none"/>
              </w:rPr>
            </w:pPr>
          </w:p>
        </w:tc>
      </w:tr>
      <w:tr w14:paraId="7695E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E13AF">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CF8C046">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B44B53A">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5599C73">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2526858">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417146A">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1A01851">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6A76F3C">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CD5D50B">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755B56D">
            <w:pPr>
              <w:jc w:val="center"/>
              <w:rPr>
                <w:rFonts w:hint="default" w:ascii="Times New Roman" w:hAnsi="Times New Roman" w:eastAsia="宋体" w:cs="Times New Roman"/>
                <w:i w:val="0"/>
                <w:iCs w:val="0"/>
                <w:color w:val="000000"/>
                <w:sz w:val="22"/>
                <w:szCs w:val="22"/>
                <w:u w:val="none"/>
              </w:rPr>
            </w:pPr>
          </w:p>
        </w:tc>
      </w:tr>
      <w:tr w14:paraId="102A1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9A3847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E09EC9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0853DB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843D7E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29F469B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903051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6242C47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1F10C60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BEA6AC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E56619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7391846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82DD0E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14:paraId="5781D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17AA1C46">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F8995EF">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E5C1FAE">
            <w:pPr>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32B83B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01B781E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CEB5E1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C9472E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4726FA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4A8409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27B2BE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E0C337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AA81C7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D27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CB98240">
            <w:pPr>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AB8F946">
            <w:pPr>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F5398E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4C0513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664989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42D9E7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161420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6FCD5B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2F9042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0ED4F5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B67EFDB">
      <w:pPr>
        <w:numPr>
          <w:ilvl w:val="0"/>
          <w:numId w:val="0"/>
        </w:numPr>
        <w:rPr>
          <w:rFonts w:hint="default" w:ascii="Times New Roman" w:hAnsi="Times New Roman" w:eastAsia="宋体" w:cs="Times New Roman"/>
          <w:sz w:val="21"/>
          <w:szCs w:val="21"/>
        </w:rPr>
      </w:pPr>
      <w:r>
        <w:rPr>
          <w:rFonts w:hint="default" w:ascii="Times New Roman" w:hAnsi="Times New Roman" w:eastAsia="方正仿宋_GBK" w:cs="Times New Roman"/>
          <w:color w:val="auto"/>
          <w:sz w:val="22"/>
          <w:szCs w:val="22"/>
          <w:lang w:eastAsia="zh-CN"/>
        </w:rPr>
        <w:t>（</w:t>
      </w:r>
      <w:r>
        <w:rPr>
          <w:rFonts w:hint="default" w:ascii="Times New Roman" w:hAnsi="Times New Roman" w:eastAsia="方正仿宋_GBK" w:cs="Times New Roman"/>
          <w:color w:val="auto"/>
          <w:sz w:val="22"/>
          <w:szCs w:val="22"/>
          <w:lang w:val="en-US" w:eastAsia="zh-CN"/>
        </w:rPr>
        <w:t>注：</w:t>
      </w:r>
      <w:r>
        <w:rPr>
          <w:rFonts w:hint="default" w:ascii="Times New Roman" w:hAnsi="Times New Roman" w:eastAsia="方正仿宋_GBK" w:cs="Times New Roman"/>
          <w:color w:val="auto"/>
          <w:sz w:val="22"/>
          <w:szCs w:val="22"/>
        </w:rPr>
        <w:t>本年无国有资本经营预算财政拨款收支，故本表无数据</w:t>
      </w:r>
      <w:r>
        <w:rPr>
          <w:rFonts w:hint="default" w:ascii="Times New Roman" w:hAnsi="Times New Roman" w:eastAsia="方正仿宋_GBK" w:cs="Times New Roman"/>
          <w:color w:val="auto"/>
          <w:sz w:val="22"/>
          <w:szCs w:val="22"/>
          <w:lang w:eastAsia="zh-CN"/>
        </w:rPr>
        <w:t>）</w:t>
      </w:r>
      <w:r>
        <w:rPr>
          <w:rFonts w:hint="default" w:ascii="Times New Roman" w:hAnsi="Times New Roman" w:eastAsia="宋体" w:cs="Times New Roman"/>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369A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7A19CB86">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14:paraId="69A23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12A864F1">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巫溪县财政局国库收付中心</w:t>
            </w:r>
          </w:p>
        </w:tc>
        <w:tc>
          <w:tcPr>
            <w:tcW w:w="4134" w:type="dxa"/>
            <w:tcBorders>
              <w:top w:val="nil"/>
              <w:left w:val="nil"/>
              <w:bottom w:val="nil"/>
              <w:right w:val="nil"/>
            </w:tcBorders>
            <w:shd w:val="clear" w:color="auto" w:fill="auto"/>
            <w:vAlign w:val="bottom"/>
          </w:tcPr>
          <w:p w14:paraId="3F84C485">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14:paraId="4F75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6D245450">
            <w:pPr>
              <w:rPr>
                <w:rFonts w:hint="default" w:ascii="Times New Roman" w:hAnsi="Times New Roman" w:eastAsia="宋体" w:cs="Times New Roman"/>
                <w:i w:val="0"/>
                <w:iCs w:val="0"/>
                <w:color w:val="000000"/>
                <w:sz w:val="20"/>
                <w:szCs w:val="20"/>
                <w:u w:val="none"/>
              </w:rPr>
            </w:pPr>
          </w:p>
        </w:tc>
        <w:tc>
          <w:tcPr>
            <w:tcW w:w="4134" w:type="dxa"/>
            <w:tcBorders>
              <w:top w:val="nil"/>
              <w:left w:val="nil"/>
              <w:bottom w:val="nil"/>
              <w:right w:val="nil"/>
            </w:tcBorders>
            <w:shd w:val="clear" w:color="auto" w:fill="auto"/>
            <w:vAlign w:val="bottom"/>
          </w:tcPr>
          <w:p w14:paraId="752C0B1E">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6296C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07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6259D6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0BC51D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110315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16F0C2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3C2F3A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5732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493B7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64DC5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F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090D6E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634315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4F48E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31.47 </w:t>
            </w:r>
          </w:p>
        </w:tc>
      </w:tr>
      <w:tr w14:paraId="3D6D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6E6E3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7656B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C255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D4A43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7CDAD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5E6CD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B8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A2E89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538009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1CC2C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CAB05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2146DC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CE61B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31.47 </w:t>
            </w:r>
          </w:p>
        </w:tc>
      </w:tr>
      <w:tr w14:paraId="3FD45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09E85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73E06B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E847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59156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7C9779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E56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9DC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1062C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7949C4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1A61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FAEE0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7887D7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1A1D2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D1B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C718C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351A9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D8B3E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3ADAF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2D7CA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C410F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04E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A9D13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49A12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3C546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5EB59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66C58D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0CC77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C3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58FDB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231DDB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36324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AE661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503A67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100C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8F7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DCD46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19715B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06F68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FB4BE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55408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7F93B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C2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2F972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097F7A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8099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C059E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51FB5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F8651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1A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2A61E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0F2400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F1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1045D2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18715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D434C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2A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5015E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3CED3E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3FF01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F068A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3AAD95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705E2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48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4FC6B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2F372D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DD0B8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3F4DE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7F828D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01387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87F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33E75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3899C2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13284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F437E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58EDE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396E2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2D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BA29D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7E95D6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A0E77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CA9FB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0E773F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992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3EA0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C83DE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3EA35A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D8983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3D380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441F5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F197F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3A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CEAB5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61C2BB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6A245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B8C20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14E19E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45ADA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1F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EB83D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1333F6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C618C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6E143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51EBC9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4272C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73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DD066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20F703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1CA19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51CD2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7CEDE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1B24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94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1D268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7DC72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D869F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5B0A0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3AEF37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0524B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1E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030FB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5CF17B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CA704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85529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06773A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80647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BA8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45D3F2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63BFF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28E2BB6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14:paraId="577F3BF4">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2DF2F3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003CF7">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00159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48729E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DC4DC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604D6FE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76D69E8C">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B64B4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3B511A50">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1530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2EF1A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i w:val="0"/>
                <w:color w:val="000000"/>
                <w:kern w:val="2"/>
                <w:sz w:val="22"/>
                <w:szCs w:val="22"/>
                <w:u w:val="none"/>
                <w:lang w:val="en-US" w:eastAsia="zh-CN" w:bidi="ar-SA"/>
              </w:rPr>
            </w:pPr>
            <w:r>
              <w:rPr>
                <w:rFonts w:hint="default" w:ascii="Times New Roman" w:hAnsi="Times New Roman" w:eastAsia="宋体" w:cs="Times New Roman"/>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E6735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0F382B8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28B099B">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59B02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12D37C41">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bl>
    <w:p w14:paraId="3ECFDD06">
      <w:pPr>
        <w:rPr>
          <w:rFonts w:hint="default" w:ascii="Times New Roman" w:hAnsi="Times New Roman" w:eastAsia="宋体" w:cs="Times New Roman"/>
          <w:color w:val="000000"/>
          <w:sz w:val="21"/>
          <w:szCs w:val="21"/>
          <w:lang w:bidi="ar"/>
        </w:rPr>
      </w:pPr>
    </w:p>
    <w:p w14:paraId="3F636196">
      <w:pPr>
        <w:rPr>
          <w:rFonts w:hint="default" w:ascii="Times New Roman" w:hAnsi="Times New Roman" w:eastAsia="宋体" w:cs="Times New Roman"/>
          <w:color w:val="000000"/>
          <w:sz w:val="21"/>
          <w:szCs w:val="21"/>
          <w:lang w:bidi="ar"/>
        </w:rPr>
      </w:pPr>
    </w:p>
    <w:p w14:paraId="11BB981F">
      <w:pPr>
        <w:rPr>
          <w:rFonts w:hint="default" w:ascii="Times New Roman" w:hAnsi="Times New Roman" w:eastAsia="宋体" w:cs="Times New Roman"/>
          <w:color w:val="000000"/>
          <w:sz w:val="21"/>
          <w:szCs w:val="21"/>
          <w:lang w:bidi="ar"/>
        </w:rPr>
      </w:pPr>
    </w:p>
    <w:p w14:paraId="78BC1AF9">
      <w:pPr>
        <w:rPr>
          <w:rFonts w:hint="default" w:ascii="Times New Roman" w:hAnsi="Times New Roman" w:eastAsia="宋体" w:cs="Times New Roman"/>
          <w:color w:val="000000"/>
          <w:sz w:val="21"/>
          <w:szCs w:val="21"/>
          <w:lang w:bidi="ar"/>
        </w:rPr>
      </w:pPr>
    </w:p>
    <w:p w14:paraId="5DDE4D35">
      <w:pPr>
        <w:rPr>
          <w:rFonts w:hint="default" w:ascii="Times New Roman" w:hAnsi="Times New Roman" w:eastAsia="宋体" w:cs="Times New Roman"/>
          <w:color w:val="000000"/>
          <w:sz w:val="21"/>
          <w:szCs w:val="21"/>
          <w:lang w:bidi="ar"/>
        </w:rPr>
      </w:pPr>
    </w:p>
    <w:p w14:paraId="2C80E1DF">
      <w:pPr>
        <w:rPr>
          <w:rFonts w:hint="default" w:ascii="Times New Roman" w:hAnsi="Times New Roman" w:eastAsia="宋体" w:cs="Times New Roman"/>
          <w:color w:val="000000"/>
          <w:sz w:val="21"/>
          <w:szCs w:val="21"/>
          <w:lang w:bidi="ar"/>
        </w:rPr>
      </w:pPr>
    </w:p>
    <w:p w14:paraId="1CB3791E">
      <w:pPr>
        <w:rPr>
          <w:rFonts w:hint="default" w:ascii="Times New Roman" w:hAnsi="Times New Roman" w:eastAsia="宋体" w:cs="Times New Roman"/>
          <w:color w:val="000000"/>
          <w:sz w:val="21"/>
          <w:szCs w:val="21"/>
          <w:lang w:bidi="ar"/>
        </w:rPr>
      </w:pPr>
    </w:p>
    <w:p w14:paraId="7D650772">
      <w:pPr>
        <w:rPr>
          <w:rFonts w:hint="default" w:ascii="Times New Roman" w:hAnsi="Times New Roman" w:eastAsia="宋体" w:cs="Times New Roman"/>
          <w:color w:val="000000"/>
          <w:sz w:val="21"/>
          <w:szCs w:val="21"/>
          <w:lang w:bidi="ar"/>
        </w:rPr>
      </w:pPr>
    </w:p>
    <w:p w14:paraId="6218BB5C">
      <w:pPr>
        <w:rPr>
          <w:rFonts w:hint="default" w:ascii="Times New Roman" w:hAnsi="Times New Roman" w:eastAsia="宋体" w:cs="Times New Roman"/>
          <w:color w:val="000000"/>
          <w:sz w:val="21"/>
          <w:szCs w:val="21"/>
          <w:lang w:bidi="ar"/>
        </w:rPr>
      </w:pPr>
    </w:p>
    <w:p w14:paraId="38B9F37A">
      <w:pPr>
        <w:pStyle w:val="9"/>
        <w:autoSpaceDE w:val="0"/>
        <w:ind w:firstLine="0" w:firstLineChars="0"/>
        <w:rPr>
          <w:rFonts w:hint="default" w:ascii="Times New Roman" w:hAnsi="Times New Roman" w:eastAsia="宋体" w:cs="Times New Roman"/>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7B9E4">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4C9992">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A4C9992">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8B4C5">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7B7F6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E7B7F6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AB0F450">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AB0F450">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BFFE7">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D137ED"/>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326266"/>
    <w:rsid w:val="2B8209DE"/>
    <w:rsid w:val="2C6762A3"/>
    <w:rsid w:val="2D5F4C37"/>
    <w:rsid w:val="2FE029D7"/>
    <w:rsid w:val="2FF06E00"/>
    <w:rsid w:val="301306B6"/>
    <w:rsid w:val="30A16BBB"/>
    <w:rsid w:val="315F0B22"/>
    <w:rsid w:val="319C383F"/>
    <w:rsid w:val="31BE24D6"/>
    <w:rsid w:val="31D84415"/>
    <w:rsid w:val="32285F6F"/>
    <w:rsid w:val="32770556"/>
    <w:rsid w:val="329C0913"/>
    <w:rsid w:val="3337290D"/>
    <w:rsid w:val="342A4220"/>
    <w:rsid w:val="352930DB"/>
    <w:rsid w:val="35573069"/>
    <w:rsid w:val="358C217E"/>
    <w:rsid w:val="359E7284"/>
    <w:rsid w:val="359F188C"/>
    <w:rsid w:val="36C9128A"/>
    <w:rsid w:val="37841E99"/>
    <w:rsid w:val="379C594F"/>
    <w:rsid w:val="37BF1123"/>
    <w:rsid w:val="37C85E36"/>
    <w:rsid w:val="38BE4696"/>
    <w:rsid w:val="39B82A39"/>
    <w:rsid w:val="39F33306"/>
    <w:rsid w:val="3A3A0F35"/>
    <w:rsid w:val="3B1705E5"/>
    <w:rsid w:val="3B18334B"/>
    <w:rsid w:val="3B36794F"/>
    <w:rsid w:val="3B544954"/>
    <w:rsid w:val="3B793FF0"/>
    <w:rsid w:val="3B97076E"/>
    <w:rsid w:val="3C3E7260"/>
    <w:rsid w:val="3C5A5928"/>
    <w:rsid w:val="3C6A5B02"/>
    <w:rsid w:val="3CF87D88"/>
    <w:rsid w:val="3D2757A1"/>
    <w:rsid w:val="3D3D4FC4"/>
    <w:rsid w:val="3DDF3AB1"/>
    <w:rsid w:val="3DE60B7E"/>
    <w:rsid w:val="3E1D0952"/>
    <w:rsid w:val="3E42660A"/>
    <w:rsid w:val="3E7555B1"/>
    <w:rsid w:val="3EA72472"/>
    <w:rsid w:val="3EDE1208"/>
    <w:rsid w:val="3F0527E5"/>
    <w:rsid w:val="3F16459E"/>
    <w:rsid w:val="3F4A6687"/>
    <w:rsid w:val="4004000C"/>
    <w:rsid w:val="4109175A"/>
    <w:rsid w:val="411B6CE5"/>
    <w:rsid w:val="412070D7"/>
    <w:rsid w:val="41314E40"/>
    <w:rsid w:val="415C674B"/>
    <w:rsid w:val="426C1EA8"/>
    <w:rsid w:val="42E86A87"/>
    <w:rsid w:val="43136432"/>
    <w:rsid w:val="443A3B12"/>
    <w:rsid w:val="44487B36"/>
    <w:rsid w:val="44EF6BE8"/>
    <w:rsid w:val="45A30364"/>
    <w:rsid w:val="463B696A"/>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DC1903"/>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D02156"/>
    <w:rsid w:val="66EE5541"/>
    <w:rsid w:val="67086152"/>
    <w:rsid w:val="687E45FE"/>
    <w:rsid w:val="692172FD"/>
    <w:rsid w:val="6A3829EE"/>
    <w:rsid w:val="6A890F99"/>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6A333E3"/>
    <w:rsid w:val="7714640F"/>
    <w:rsid w:val="77775C89"/>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EB842EA"/>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正文-公1"/>
    <w:basedOn w:val="14"/>
    <w:next w:val="1"/>
    <w:qFormat/>
    <w:uiPriority w:val="0"/>
    <w:pPr>
      <w:ind w:firstLine="200" w:firstLine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5702</Words>
  <Characters>7211</Characters>
  <Lines>161</Lines>
  <Paragraphs>45</Paragraphs>
  <TotalTime>0</TotalTime>
  <ScaleCrop>false</ScaleCrop>
  <LinksUpToDate>false</LinksUpToDate>
  <CharactersWithSpaces>7594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WPS_1546599167</cp:lastModifiedBy>
  <dcterms:modified xsi:type="dcterms:W3CDTF">2025-09-16T03:14:21Z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E48DCA9F0F7447FA81BF461FFBC6BD45_13</vt:lpwstr>
  </property>
  <property fmtid="{D5CDD505-2E9C-101B-9397-08002B2CF9AE}" pid="4" name="KSOTemplateDocerSaveRecord">
    <vt:lpwstr>eyJoZGlkIjoiODZiMjM2MTI3YWE4MDk3NGM3ZGRjMGM5ODRlYTBkNjIiLCJ1c2VySWQiOiIxNTQ2NTk5MTY3In0=</vt:lpwstr>
  </property>
</Properties>
</file>