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both"/>
        <w:textAlignment w:val="auto"/>
        <w:rPr>
          <w:rFonts w:hint="default" w:ascii="Times New Roman" w:hAnsi="Times New Roman" w:eastAsia="方正小标宋_GBK" w:cs="Times New Roman"/>
          <w:b w:val="0"/>
          <w:bCs w:val="0"/>
          <w:sz w:val="36"/>
          <w:szCs w:val="36"/>
          <w:lang w:val="en-US" w:eastAsia="zh-CN"/>
        </w:rPr>
      </w:pPr>
    </w:p>
    <w:p>
      <w:pPr>
        <w:pStyle w:val="5"/>
        <w:spacing w:before="0" w:beforeAutospacing="0" w:after="0" w:afterAutospacing="0" w:line="596"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巫溪县财政局</w:t>
      </w:r>
    </w:p>
    <w:p>
      <w:pPr>
        <w:pStyle w:val="5"/>
        <w:spacing w:before="0" w:beforeAutospacing="0" w:after="0" w:afterAutospacing="0" w:line="596" w:lineRule="exact"/>
        <w:jc w:val="center"/>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Times New Roman" w:hAnsi="Times New Roman" w:eastAsia="方正小标宋_GBK" w:cs="Times New Roman"/>
          <w:sz w:val="36"/>
          <w:szCs w:val="36"/>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2" w:firstLineChars="200"/>
        <w:textAlignment w:val="auto"/>
        <w:rPr>
          <w:rStyle w:val="8"/>
          <w:rFonts w:hint="default" w:ascii="Times New Roman" w:hAnsi="Times New Roman" w:eastAsia="方正黑体_GBK" w:cs="Times New Roman"/>
          <w:sz w:val="32"/>
          <w:szCs w:val="32"/>
          <w:shd w:val="clear" w:color="auto" w:fill="FFFFFF"/>
        </w:rPr>
      </w:pPr>
      <w:r>
        <w:rPr>
          <w:rStyle w:val="8"/>
          <w:rFonts w:hint="default" w:ascii="Times New Roman" w:hAnsi="Times New Roman" w:eastAsia="方正黑体_GBK" w:cs="Times New Roman"/>
          <w:sz w:val="32"/>
          <w:szCs w:val="32"/>
          <w:shd w:val="clear" w:color="auto" w:fill="FFFFFF"/>
        </w:rPr>
        <w:t>一、</w:t>
      </w:r>
      <w:r>
        <w:rPr>
          <w:rStyle w:val="8"/>
          <w:rFonts w:hint="default" w:ascii="Times New Roman" w:hAnsi="Times New Roman" w:eastAsia="方正黑体_GBK" w:cs="Times New Roman"/>
          <w:sz w:val="32"/>
          <w:szCs w:val="32"/>
          <w:shd w:val="clear" w:color="auto" w:fill="FFFFFF"/>
          <w:lang w:eastAsia="zh-CN"/>
        </w:rPr>
        <w:t>部门</w:t>
      </w:r>
      <w:r>
        <w:rPr>
          <w:rStyle w:val="8"/>
          <w:rFonts w:hint="default" w:ascii="Times New Roman" w:hAnsi="Times New Roman" w:eastAsia="方正黑体_GBK" w:cs="Times New Roman"/>
          <w:sz w:val="32"/>
          <w:szCs w:val="32"/>
          <w:shd w:val="clear" w:color="auto" w:fill="FFFFFF"/>
        </w:rPr>
        <w:t>基本情况</w:t>
      </w:r>
    </w:p>
    <w:p>
      <w:pPr>
        <w:pStyle w:val="5"/>
        <w:keepNext w:val="0"/>
        <w:keepLines w:val="0"/>
        <w:pageBreakBefore w:val="0"/>
        <w:widowControl/>
        <w:shd w:val="clear" w:color="auto" w:fill="FFFFFF"/>
        <w:kinsoku/>
        <w:overflowPunct/>
        <w:topLinePunct w:val="0"/>
        <w:autoSpaceDN/>
        <w:bidi w:val="0"/>
        <w:adjustRightInd/>
        <w:spacing w:before="0" w:beforeAutospacing="0" w:after="0" w:afterAutospacing="0" w:line="578" w:lineRule="exact"/>
        <w:ind w:firstLine="42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（一）职能职责</w:t>
      </w:r>
    </w:p>
    <w:p>
      <w:pPr>
        <w:pStyle w:val="10"/>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val="en-US" w:eastAsia="zh-CN"/>
        </w:rPr>
        <w:t>1.贯彻执行财税、国有资产管理、金融管理、财务等有关法律、法规、规章、方针政策和管理制度。</w:t>
      </w:r>
    </w:p>
    <w:p>
      <w:pPr>
        <w:pStyle w:val="10"/>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val="en-US" w:eastAsia="zh-CN"/>
        </w:rPr>
        <w:t>2.拟订和执行财政分配政策和财政管理制度，拟订全县财政发展中长期规划并组织实施，指导全县财政工作。</w:t>
      </w:r>
    </w:p>
    <w:p>
      <w:pPr>
        <w:pStyle w:val="10"/>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val="en-US" w:eastAsia="zh-CN"/>
        </w:rPr>
        <w:t>3.分析预测宏观经济形势，参与拟订全县宏观经济政策提出运用财税政策实施经济调节的建议。拟订县与乡镇（街道）、政府与企业的分配政策，完善鼓励公益事业发展的财税政策。</w:t>
      </w:r>
    </w:p>
    <w:p>
      <w:pPr>
        <w:pStyle w:val="10"/>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val="en-US" w:eastAsia="zh-CN"/>
        </w:rPr>
        <w:t>4.负责全县财政收支的管理工作。负责依法编制县级年度预算和决算草案，组织执行县级年度财政预算。受县政府委托，向县人民代表大会及其常委会报告全县预算及其执行情况，以及调整预算、决算及其他重大财政事项。组织制定公务活动经费开支范围、开支标准和综合定额，负责审核批复部门（单位）的年度预决算。负责预决算公开工作。负责财政性资金的综合平衡。</w:t>
      </w:r>
    </w:p>
    <w:p>
      <w:pPr>
        <w:pStyle w:val="10"/>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val="en-US" w:eastAsia="zh-CN"/>
        </w:rPr>
        <w:t>5.负责政府非税收入管理，负责政府性基金管理，按规定管理行政事业性收费。管理财政票据。执行彩票管理政策，按规定管理彩票资金。</w:t>
      </w:r>
    </w:p>
    <w:p>
      <w:pPr>
        <w:pStyle w:val="10"/>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val="en-US" w:eastAsia="zh-CN"/>
        </w:rPr>
        <w:t>6.贯彻执行国库管理制度、国库集中收付制度，并制定具体管理办法，开展国库现金管理工作。</w:t>
      </w:r>
    </w:p>
    <w:p>
      <w:pPr>
        <w:pStyle w:val="10"/>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val="en-US" w:eastAsia="zh-CN"/>
        </w:rPr>
        <w:t>7.负责国有资产管理，监管企业国有资本和行政事业单位国有资产，履行出资人职责。牵头组织编制国有资产综合报告和专项报告，受县政府委托向县人大常委会报告国有资产管理情况。执行行政事业单位国有资产管理规章制度。负责公共资源的统计分析。</w:t>
      </w:r>
    </w:p>
    <w:p>
      <w:pPr>
        <w:pStyle w:val="10"/>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val="en-US" w:eastAsia="zh-CN"/>
        </w:rPr>
        <w:t>8.负责审核和汇编县级国有资本经营预决算草案，执行国有资本经营预算制度和办法，并按规定制定具体管理制度，收取县级国有资本收益。贯彻执行企业财务制度。</w:t>
      </w:r>
    </w:p>
    <w:p>
      <w:pPr>
        <w:pStyle w:val="10"/>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val="en-US" w:eastAsia="zh-CN"/>
        </w:rPr>
        <w:t>9.负责金融监管和商业保理、租赁、典当管理工作。拟订促进地方金融业改革发展的财税扶持政策和评价考核办法，会同金融监管机构规范和维护地方金融秩序，防范和化解金融风险。参与拟订地方金融和融资政策。</w:t>
      </w:r>
    </w:p>
    <w:p>
      <w:pPr>
        <w:pStyle w:val="10"/>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val="en-US" w:eastAsia="zh-CN"/>
        </w:rPr>
        <w:t>10.负责监督管理县级财政的经济发展支出、县级政府性投资项目的财政拨款，负责财政预算评审工作。参与拟订县级建设投资的有关政策，执行基本建设财务制度，负责有关政策性补贴和专项储备资金财务管理工作。</w:t>
      </w:r>
    </w:p>
    <w:p>
      <w:pPr>
        <w:pStyle w:val="10"/>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val="en-US" w:eastAsia="zh-CN"/>
        </w:rPr>
        <w:t>11.会同有关部门管理县级财政社会保障和就业及医疗卫生支出，组织执行社会保障资金（基金）的财务管理制度。</w:t>
      </w:r>
    </w:p>
    <w:p>
      <w:pPr>
        <w:pStyle w:val="10"/>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val="en-US" w:eastAsia="zh-CN"/>
        </w:rPr>
        <w:t>12.制定全县财政预算绩效管理评价管理办法。负责县级财政预算绩效目标管理。指导和监督预算单位开展预算绩效管理工作。研究提出评价结果反馈应用的政策建议。</w:t>
      </w:r>
    </w:p>
    <w:p>
      <w:pPr>
        <w:pStyle w:val="10"/>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val="en-US" w:eastAsia="zh-CN"/>
        </w:rPr>
        <w:t>13.贯彻执行政府采购制度，制定具体管理办法，监督管理政府采购活动。指导预算单位编制政府采购预算。拟订并组织实施政府采购目录制度。核准政府采购代理机构资格认定，并负责代理机构监管工作。</w:t>
      </w:r>
    </w:p>
    <w:p>
      <w:pPr>
        <w:pStyle w:val="10"/>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val="en-US" w:eastAsia="zh-CN"/>
        </w:rPr>
        <w:t>14.拟订和执行政府债务管理的制度和政策，负责统一管理政府债务，防范财政风险。归口管理全县政府外债，负责全县利用国际金融组织和外国政府贷款、赠款的全过程监督管理。</w:t>
      </w:r>
    </w:p>
    <w:p>
      <w:pPr>
        <w:pStyle w:val="10"/>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val="en-US" w:eastAsia="zh-CN"/>
        </w:rPr>
        <w:t>15.负责管理全县会计工作，贯彻执行会计法律法规，监督和规范会计行为，拟订并组织实施具体会计管理制度。负责组织会计系列专业技术职务任职资格的考试工作，开展财税法律、法规、政策执行情况的监督检查。监督和管理乡镇（街道）、部门（单位）的财政财务活动，反映财政收支管理中的重大问题，查处违反财经法纪行为。</w:t>
      </w:r>
    </w:p>
    <w:p>
      <w:pPr>
        <w:pStyle w:val="10"/>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val="en-US" w:eastAsia="zh-CN"/>
        </w:rPr>
        <w:t>16.规划</w:t>
      </w:r>
      <w:r>
        <w:rPr>
          <w:rFonts w:hint="eastAsia" w:ascii="Times New Roman" w:hAnsi="Times New Roman" w:eastAsia="方正仿宋_GBK" w:cs="Times New Roman"/>
          <w:color w:val="auto"/>
          <w:kern w:val="2"/>
          <w:sz w:val="32"/>
          <w:szCs w:val="32"/>
          <w:lang w:val="en-US" w:eastAsia="zh-CN"/>
        </w:rPr>
        <w:t>、</w:t>
      </w:r>
      <w:r>
        <w:rPr>
          <w:rFonts w:hint="default" w:ascii="Times New Roman" w:hAnsi="Times New Roman" w:eastAsia="方正仿宋_GBK" w:cs="Times New Roman"/>
          <w:color w:val="auto"/>
          <w:kern w:val="2"/>
          <w:sz w:val="32"/>
          <w:szCs w:val="32"/>
          <w:lang w:val="en-US" w:eastAsia="zh-CN"/>
        </w:rPr>
        <w:t>组织财政干部培训。牵头组织实施行政事业单位内部控制制度。负责财政系统对外交流与合作相关工作。</w:t>
      </w:r>
    </w:p>
    <w:p>
      <w:pPr>
        <w:pStyle w:val="10"/>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val="en-US" w:eastAsia="zh-CN"/>
        </w:rPr>
        <w:t>17.完成县委、县政府交办的其他任务。</w:t>
      </w:r>
    </w:p>
    <w:p>
      <w:pPr>
        <w:pStyle w:val="5"/>
        <w:keepNext w:val="0"/>
        <w:keepLines w:val="0"/>
        <w:pageBreakBefore w:val="0"/>
        <w:widowControl/>
        <w:shd w:val="clear" w:color="auto" w:fill="FFFFFF"/>
        <w:kinsoku/>
        <w:overflowPunct/>
        <w:topLinePunct w:val="0"/>
        <w:autoSpaceDN/>
        <w:bidi w:val="0"/>
        <w:adjustRightInd/>
        <w:spacing w:before="0" w:beforeAutospacing="0" w:after="0" w:afterAutospacing="0" w:line="578" w:lineRule="exact"/>
        <w:ind w:firstLine="642" w:firstLineChars="200"/>
        <w:textAlignment w:val="auto"/>
        <w:rPr>
          <w:rFonts w:hint="default" w:ascii="Times New Roman" w:hAnsi="Times New Roman" w:eastAsia="方正楷体_GBK" w:cs="Times New Roman"/>
          <w:sz w:val="32"/>
          <w:szCs w:val="32"/>
          <w:lang w:val="en-US" w:eastAsia="zh-CN"/>
        </w:rPr>
      </w:pPr>
      <w:r>
        <w:rPr>
          <w:rStyle w:val="8"/>
          <w:rFonts w:hint="default" w:ascii="Times New Roman" w:hAnsi="Times New Roman" w:eastAsia="方正楷体_GBK" w:cs="Times New Roman"/>
          <w:sz w:val="32"/>
          <w:szCs w:val="32"/>
          <w:shd w:val="clear" w:color="auto" w:fill="FFFFFF"/>
        </w:rPr>
        <w:t>（二）机构设置</w:t>
      </w:r>
      <w:r>
        <w:rPr>
          <w:rStyle w:val="8"/>
          <w:rFonts w:hint="default" w:ascii="Times New Roman" w:hAnsi="Times New Roman" w:eastAsia="方正楷体_GBK" w:cs="Times New Roman"/>
          <w:sz w:val="32"/>
          <w:szCs w:val="32"/>
          <w:shd w:val="clear" w:color="auto" w:fill="FFFFFF"/>
          <w:lang w:val="en-US" w:eastAsia="zh-CN"/>
        </w:rPr>
        <w:t xml:space="preserve"> </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巫溪县财政局下设2个事业单位，为巫溪县财政局国库收付中心、巫溪县财政投资决算管理中心。机关内设10个科室，为办公室、预算科、国库科、行财科、社保科</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资产企业科</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农业农村科</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绩效监督科、债务管理科、</w:t>
      </w:r>
      <w:r>
        <w:rPr>
          <w:rFonts w:hint="eastAsia" w:ascii="Times New Roman" w:hAnsi="Times New Roman" w:eastAsia="方正仿宋_GBK" w:cs="Times New Roman"/>
          <w:color w:val="auto"/>
          <w:sz w:val="32"/>
          <w:szCs w:val="32"/>
          <w:highlight w:val="none"/>
          <w:lang w:val="en-US" w:eastAsia="zh-CN"/>
        </w:rPr>
        <w:t>政府采购科</w:t>
      </w:r>
      <w:r>
        <w:rPr>
          <w:rFonts w:hint="default" w:ascii="Times New Roman" w:hAnsi="Times New Roman" w:eastAsia="方正仿宋_GBK" w:cs="Times New Roman"/>
          <w:color w:val="auto"/>
          <w:sz w:val="32"/>
          <w:szCs w:val="32"/>
          <w:highlight w:val="none"/>
          <w:lang w:val="en-US"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2" w:firstLineChars="200"/>
        <w:textAlignment w:val="auto"/>
        <w:rPr>
          <w:rStyle w:val="8"/>
          <w:rFonts w:hint="default" w:ascii="Times New Roman" w:hAnsi="Times New Roman" w:eastAsia="方正黑体_GBK" w:cs="Times New Roman"/>
          <w:sz w:val="32"/>
          <w:szCs w:val="32"/>
          <w:shd w:val="clear" w:color="auto" w:fill="FFFFFF"/>
        </w:rPr>
      </w:pPr>
      <w:r>
        <w:rPr>
          <w:rStyle w:val="8"/>
          <w:rFonts w:hint="default" w:ascii="Times New Roman" w:hAnsi="Times New Roman" w:eastAsia="方正黑体_GBK" w:cs="Times New Roman"/>
          <w:sz w:val="32"/>
          <w:szCs w:val="32"/>
          <w:shd w:val="clear" w:color="auto" w:fill="FFFFFF"/>
        </w:rPr>
        <w:t>二、</w:t>
      </w:r>
      <w:r>
        <w:rPr>
          <w:rStyle w:val="8"/>
          <w:rFonts w:hint="default" w:ascii="Times New Roman" w:hAnsi="Times New Roman" w:eastAsia="方正黑体_GBK" w:cs="Times New Roman"/>
          <w:sz w:val="32"/>
          <w:szCs w:val="32"/>
          <w:shd w:val="clear" w:color="auto" w:fill="FFFFFF"/>
          <w:lang w:eastAsia="zh-CN"/>
        </w:rPr>
        <w:t>部门</w:t>
      </w:r>
      <w:r>
        <w:rPr>
          <w:rStyle w:val="8"/>
          <w:rFonts w:hint="default" w:ascii="Times New Roman" w:hAnsi="Times New Roman" w:eastAsia="方正黑体_GBK" w:cs="Times New Roman"/>
          <w:sz w:val="32"/>
          <w:szCs w:val="32"/>
          <w:shd w:val="clear" w:color="auto" w:fill="FFFFFF"/>
        </w:rPr>
        <w:t>决算</w:t>
      </w:r>
      <w:r>
        <w:rPr>
          <w:rStyle w:val="8"/>
          <w:rFonts w:hint="default" w:ascii="Times New Roman" w:hAnsi="Times New Roman" w:eastAsia="方正黑体_GBK" w:cs="Times New Roman"/>
          <w:sz w:val="32"/>
          <w:szCs w:val="32"/>
          <w:shd w:val="clear" w:color="auto" w:fill="FFFFFF"/>
          <w:lang w:eastAsia="zh-CN"/>
        </w:rPr>
        <w:t>收支</w:t>
      </w:r>
      <w:r>
        <w:rPr>
          <w:rStyle w:val="8"/>
          <w:rFonts w:hint="default" w:ascii="Times New Roman" w:hAnsi="Times New Roman" w:eastAsia="方正黑体_GBK" w:cs="Times New Roman"/>
          <w:sz w:val="32"/>
          <w:szCs w:val="32"/>
          <w:shd w:val="clear" w:color="auto" w:fill="FFFFFF"/>
        </w:rPr>
        <w:t>情况说明</w:t>
      </w:r>
    </w:p>
    <w:p>
      <w:pPr>
        <w:pStyle w:val="9"/>
        <w:keepNext w:val="0"/>
        <w:keepLines w:val="0"/>
        <w:pageBreakBefore w:val="0"/>
        <w:widowControl/>
        <w:kinsoku/>
        <w:overflowPunct/>
        <w:topLinePunct w:val="0"/>
        <w:autoSpaceDE w:val="0"/>
        <w:autoSpaceDN/>
        <w:bidi w:val="0"/>
        <w:adjustRightInd/>
        <w:spacing w:line="578" w:lineRule="exact"/>
        <w:ind w:firstLine="643"/>
        <w:textAlignment w:val="auto"/>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（一）收入支出决算总体情况说明。</w:t>
      </w:r>
    </w:p>
    <w:p>
      <w:pPr>
        <w:pStyle w:val="5"/>
        <w:keepNext w:val="0"/>
        <w:keepLines w:val="0"/>
        <w:pageBreakBefore w:val="0"/>
        <w:widowControl/>
        <w:shd w:val="clear" w:color="auto" w:fill="FFFFFF"/>
        <w:kinsoku/>
        <w:overflowPunct/>
        <w:topLinePunct w:val="0"/>
        <w:autoSpaceDN/>
        <w:bidi w:val="0"/>
        <w:adjustRightInd/>
        <w:spacing w:before="0" w:beforeAutospacing="0" w:after="0" w:afterAutospacing="0" w:line="578" w:lineRule="exact"/>
        <w:ind w:firstLine="642" w:firstLineChars="200"/>
        <w:jc w:val="both"/>
        <w:textAlignment w:val="auto"/>
        <w:rPr>
          <w:rFonts w:hint="default" w:ascii="Times New Roman" w:hAnsi="Times New Roman" w:eastAsia="方正仿宋_GBK" w:cs="Times New Roman"/>
          <w:color w:val="auto"/>
          <w:sz w:val="32"/>
          <w:szCs w:val="32"/>
          <w:lang w:val="en-US" w:eastAsia="zh-CN"/>
        </w:rPr>
      </w:pPr>
      <w:r>
        <w:rPr>
          <w:rStyle w:val="8"/>
          <w:rFonts w:hint="default" w:ascii="Times New Roman" w:hAnsi="Times New Roman" w:eastAsia="方正仿宋_GBK" w:cs="Times New Roman"/>
          <w:color w:val="auto"/>
          <w:sz w:val="32"/>
          <w:szCs w:val="32"/>
          <w:shd w:val="clear" w:color="auto" w:fill="FFFFFF"/>
        </w:rPr>
        <w:t>1.总体情况。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度收入总计1895.60万元，支出总计</w:t>
      </w:r>
      <w:r>
        <w:rPr>
          <w:rFonts w:hint="default" w:ascii="Times New Roman" w:hAnsi="Times New Roman" w:eastAsia="方正仿宋_GBK" w:cs="Times New Roman"/>
          <w:color w:val="auto"/>
          <w:sz w:val="32"/>
          <w:szCs w:val="32"/>
        </w:rPr>
        <w:t>1895.60</w:t>
      </w:r>
      <w:r>
        <w:rPr>
          <w:rFonts w:hint="default" w:ascii="Times New Roman" w:hAnsi="Times New Roman" w:eastAsia="方正仿宋_GBK" w:cs="Times New Roman"/>
          <w:color w:val="auto"/>
          <w:sz w:val="32"/>
          <w:szCs w:val="32"/>
          <w:shd w:val="clear" w:color="auto" w:fill="FFFFFF"/>
        </w:rPr>
        <w:t>万元。收、支与2023年度相比，减少159.07万元，下降7.7%，主要原因是</w:t>
      </w:r>
      <w:r>
        <w:rPr>
          <w:rFonts w:hint="default" w:ascii="Times New Roman" w:hAnsi="Times New Roman" w:eastAsia="方正仿宋_GBK" w:cs="Times New Roman"/>
          <w:color w:val="auto"/>
          <w:sz w:val="32"/>
          <w:szCs w:val="32"/>
          <w:shd w:val="clear" w:color="auto" w:fill="FFFFFF"/>
          <w:lang w:val="en-US" w:eastAsia="zh-CN"/>
        </w:rPr>
        <w:t>2023年年中</w:t>
      </w:r>
      <w:r>
        <w:rPr>
          <w:rFonts w:hint="eastAsia" w:ascii="Times New Roman" w:hAnsi="Times New Roman" w:eastAsia="方正仿宋_GBK" w:cs="Times New Roman"/>
          <w:color w:val="auto"/>
          <w:sz w:val="32"/>
          <w:szCs w:val="32"/>
          <w:shd w:val="clear" w:color="auto" w:fill="FFFFFF"/>
          <w:lang w:val="en-US" w:eastAsia="zh-CN"/>
        </w:rPr>
        <w:t>预算</w:t>
      </w:r>
      <w:r>
        <w:rPr>
          <w:rFonts w:hint="default" w:ascii="Times New Roman" w:hAnsi="Times New Roman" w:eastAsia="方正仿宋_GBK" w:cs="Times New Roman"/>
          <w:color w:val="auto"/>
          <w:sz w:val="32"/>
          <w:szCs w:val="32"/>
          <w:shd w:val="clear" w:color="auto" w:fill="FFFFFF"/>
          <w:lang w:val="en-US" w:eastAsia="zh-CN"/>
        </w:rPr>
        <w:t>追加</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lang w:val="en-US" w:eastAsia="zh-CN"/>
        </w:rPr>
        <w:t>名退休人员一次性退休补贴项目及解决历史遗留往来挂账资金缺口等，2024年无上述项目支出。</w:t>
      </w:r>
    </w:p>
    <w:p>
      <w:pPr>
        <w:pStyle w:val="5"/>
        <w:keepNext w:val="0"/>
        <w:keepLines w:val="0"/>
        <w:pageBreakBefore w:val="0"/>
        <w:widowControl/>
        <w:shd w:val="clear" w:color="auto" w:fill="FFFFFF"/>
        <w:kinsoku/>
        <w:overflowPunct/>
        <w:topLinePunct w:val="0"/>
        <w:autoSpaceDN/>
        <w:bidi w:val="0"/>
        <w:adjustRightInd/>
        <w:spacing w:before="0" w:beforeAutospacing="0" w:after="0" w:afterAutospacing="0" w:line="578" w:lineRule="exact"/>
        <w:ind w:firstLine="642" w:firstLineChars="200"/>
        <w:jc w:val="both"/>
        <w:textAlignment w:val="auto"/>
        <w:rPr>
          <w:rFonts w:hint="default" w:ascii="Times New Roman" w:hAnsi="Times New Roman" w:eastAsia="方正仿宋_GBK" w:cs="Times New Roman"/>
          <w:color w:val="auto"/>
          <w:sz w:val="32"/>
          <w:szCs w:val="32"/>
          <w:shd w:val="clear" w:color="auto" w:fill="FFFFFF"/>
        </w:rPr>
      </w:pPr>
      <w:r>
        <w:rPr>
          <w:rStyle w:val="8"/>
          <w:rFonts w:hint="default" w:ascii="Times New Roman" w:hAnsi="Times New Roman" w:eastAsia="方正仿宋_GBK" w:cs="Times New Roman"/>
          <w:color w:val="auto"/>
          <w:sz w:val="32"/>
          <w:szCs w:val="32"/>
          <w:shd w:val="clear" w:color="auto" w:fill="FFFFFF"/>
        </w:rPr>
        <w:t>2.收入情况。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度收入合计1895.60万元，与2023年度相比，减少159.07万元，下降7.7%，主要原因是</w:t>
      </w:r>
      <w:r>
        <w:rPr>
          <w:rFonts w:hint="default" w:ascii="Times New Roman" w:hAnsi="Times New Roman" w:eastAsia="方正仿宋_GBK" w:cs="Times New Roman"/>
          <w:color w:val="auto"/>
          <w:sz w:val="32"/>
          <w:szCs w:val="32"/>
          <w:shd w:val="clear" w:color="auto" w:fill="FFFFFF"/>
          <w:lang w:val="en-US" w:eastAsia="zh-CN"/>
        </w:rPr>
        <w:t>2023年年中</w:t>
      </w:r>
      <w:r>
        <w:rPr>
          <w:rFonts w:hint="eastAsia" w:ascii="Times New Roman" w:hAnsi="Times New Roman" w:eastAsia="方正仿宋_GBK" w:cs="Times New Roman"/>
          <w:color w:val="auto"/>
          <w:sz w:val="32"/>
          <w:szCs w:val="32"/>
          <w:shd w:val="clear" w:color="auto" w:fill="FFFFFF"/>
          <w:lang w:val="en-US" w:eastAsia="zh-CN"/>
        </w:rPr>
        <w:t>预算</w:t>
      </w:r>
      <w:r>
        <w:rPr>
          <w:rFonts w:hint="default" w:ascii="Times New Roman" w:hAnsi="Times New Roman" w:eastAsia="方正仿宋_GBK" w:cs="Times New Roman"/>
          <w:color w:val="auto"/>
          <w:sz w:val="32"/>
          <w:szCs w:val="32"/>
          <w:shd w:val="clear" w:color="auto" w:fill="FFFFFF"/>
          <w:lang w:val="en-US" w:eastAsia="zh-CN"/>
        </w:rPr>
        <w:t>追加</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lang w:val="en-US" w:eastAsia="zh-CN"/>
        </w:rPr>
        <w:t>名退休人员一次性退休补贴项目及解决历史遗留往来挂账资金缺口等，2024年无上述项目支出。</w:t>
      </w:r>
      <w:r>
        <w:rPr>
          <w:rFonts w:hint="default" w:ascii="Times New Roman" w:hAnsi="Times New Roman" w:eastAsia="方正仿宋_GBK" w:cs="Times New Roman"/>
          <w:color w:val="auto"/>
          <w:sz w:val="32"/>
          <w:szCs w:val="32"/>
          <w:shd w:val="clear" w:color="auto" w:fill="FFFFFF"/>
        </w:rPr>
        <w:t>其中：财政拨款收入</w:t>
      </w:r>
      <w:r>
        <w:rPr>
          <w:rFonts w:hint="default" w:ascii="Times New Roman" w:hAnsi="Times New Roman" w:eastAsia="方正仿宋_GBK" w:cs="Times New Roman"/>
          <w:color w:val="auto"/>
          <w:sz w:val="32"/>
          <w:szCs w:val="32"/>
        </w:rPr>
        <w:t>1895.60</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100.00</w:t>
      </w:r>
      <w:r>
        <w:rPr>
          <w:rFonts w:hint="default" w:ascii="Times New Roman" w:hAnsi="Times New Roman" w:eastAsia="方正仿宋_GBK" w:cs="Times New Roman"/>
          <w:color w:val="auto"/>
          <w:sz w:val="32"/>
          <w:szCs w:val="32"/>
          <w:shd w:val="clear" w:color="auto" w:fill="FFFFFF"/>
        </w:rPr>
        <w:t>%；事业收入</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万元，占0.00%；经营收入</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万元，占0.00%；其他收入</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万元，占0.00%。此外，使用非财政拨款结余和专用结余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万元，年初结转和结余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p>
    <w:p>
      <w:pPr>
        <w:pStyle w:val="5"/>
        <w:keepNext w:val="0"/>
        <w:keepLines w:val="0"/>
        <w:pageBreakBefore w:val="0"/>
        <w:widowControl/>
        <w:shd w:val="clear" w:color="auto" w:fill="FFFFFF"/>
        <w:kinsoku/>
        <w:overflowPunct/>
        <w:topLinePunct w:val="0"/>
        <w:autoSpaceDN/>
        <w:bidi w:val="0"/>
        <w:adjustRightInd/>
        <w:spacing w:before="0" w:beforeAutospacing="0" w:after="0" w:afterAutospacing="0" w:line="578" w:lineRule="exact"/>
        <w:ind w:firstLine="642" w:firstLineChars="200"/>
        <w:jc w:val="both"/>
        <w:textAlignment w:val="auto"/>
        <w:rPr>
          <w:rFonts w:hint="default" w:ascii="Times New Roman" w:hAnsi="Times New Roman" w:eastAsia="方正仿宋_GBK" w:cs="Times New Roman"/>
          <w:color w:val="auto"/>
          <w:sz w:val="32"/>
          <w:szCs w:val="32"/>
          <w:shd w:val="clear" w:color="auto" w:fill="FFFFFF"/>
        </w:rPr>
      </w:pPr>
      <w:r>
        <w:rPr>
          <w:rStyle w:val="8"/>
          <w:rFonts w:hint="default" w:ascii="Times New Roman" w:hAnsi="Times New Roman" w:eastAsia="方正仿宋_GBK" w:cs="Times New Roman"/>
          <w:color w:val="auto"/>
          <w:sz w:val="32"/>
          <w:szCs w:val="32"/>
          <w:shd w:val="clear" w:color="auto" w:fill="FFFFFF"/>
        </w:rPr>
        <w:t>3.支出情况。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度支出合计</w:t>
      </w:r>
      <w:r>
        <w:rPr>
          <w:rFonts w:hint="default" w:ascii="Times New Roman" w:hAnsi="Times New Roman" w:eastAsia="方正仿宋_GBK" w:cs="Times New Roman"/>
          <w:color w:val="auto"/>
          <w:sz w:val="32"/>
          <w:szCs w:val="32"/>
        </w:rPr>
        <w:t>1895.60</w:t>
      </w:r>
      <w:r>
        <w:rPr>
          <w:rFonts w:hint="default" w:ascii="Times New Roman" w:hAnsi="Times New Roman" w:eastAsia="方正仿宋_GBK" w:cs="Times New Roman"/>
          <w:color w:val="auto"/>
          <w:sz w:val="32"/>
          <w:szCs w:val="32"/>
          <w:shd w:val="clear" w:color="auto" w:fill="FFFFFF"/>
        </w:rPr>
        <w:t>万元，与2023年度相比，减少159.07万元，下降7.7%，主要原因是</w:t>
      </w:r>
      <w:r>
        <w:rPr>
          <w:rFonts w:hint="default" w:ascii="Times New Roman" w:hAnsi="Times New Roman" w:eastAsia="方正仿宋_GBK" w:cs="Times New Roman"/>
          <w:color w:val="auto"/>
          <w:sz w:val="32"/>
          <w:szCs w:val="32"/>
          <w:shd w:val="clear" w:color="auto" w:fill="FFFFFF"/>
          <w:lang w:val="en-US" w:eastAsia="zh-CN"/>
        </w:rPr>
        <w:t>2023年年中</w:t>
      </w:r>
      <w:r>
        <w:rPr>
          <w:rFonts w:hint="eastAsia" w:ascii="Times New Roman" w:hAnsi="Times New Roman" w:eastAsia="方正仿宋_GBK" w:cs="Times New Roman"/>
          <w:color w:val="auto"/>
          <w:sz w:val="32"/>
          <w:szCs w:val="32"/>
          <w:shd w:val="clear" w:color="auto" w:fill="FFFFFF"/>
          <w:lang w:val="en-US" w:eastAsia="zh-CN"/>
        </w:rPr>
        <w:t>预算</w:t>
      </w:r>
      <w:r>
        <w:rPr>
          <w:rFonts w:hint="default" w:ascii="Times New Roman" w:hAnsi="Times New Roman" w:eastAsia="方正仿宋_GBK" w:cs="Times New Roman"/>
          <w:color w:val="auto"/>
          <w:sz w:val="32"/>
          <w:szCs w:val="32"/>
          <w:shd w:val="clear" w:color="auto" w:fill="FFFFFF"/>
          <w:lang w:val="en-US" w:eastAsia="zh-CN"/>
        </w:rPr>
        <w:t>追加</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lang w:val="en-US" w:eastAsia="zh-CN"/>
        </w:rPr>
        <w:t>名退休人员一次性退休补贴项目及解决历史遗留往来挂账资金缺口等，2024年无上述项目支出。</w:t>
      </w:r>
      <w:r>
        <w:rPr>
          <w:rFonts w:hint="default" w:ascii="Times New Roman" w:hAnsi="Times New Roman" w:eastAsia="方正仿宋_GBK" w:cs="Times New Roman"/>
          <w:color w:val="auto"/>
          <w:sz w:val="32"/>
          <w:szCs w:val="32"/>
          <w:shd w:val="clear" w:color="auto" w:fill="FFFFFF"/>
        </w:rPr>
        <w:t>其中：基本支出</w:t>
      </w:r>
      <w:r>
        <w:rPr>
          <w:rFonts w:hint="default" w:ascii="Times New Roman" w:hAnsi="Times New Roman" w:eastAsia="方正仿宋_GBK" w:cs="Times New Roman"/>
          <w:color w:val="auto"/>
          <w:sz w:val="32"/>
          <w:szCs w:val="32"/>
        </w:rPr>
        <w:t>1281.71</w:t>
      </w:r>
      <w:r>
        <w:rPr>
          <w:rFonts w:hint="default" w:ascii="Times New Roman" w:hAnsi="Times New Roman" w:eastAsia="方正仿宋_GBK" w:cs="Times New Roman"/>
          <w:color w:val="auto"/>
          <w:sz w:val="32"/>
          <w:szCs w:val="32"/>
          <w:shd w:val="clear" w:color="auto" w:fill="FFFFFF"/>
        </w:rPr>
        <w:t>万元，占67.61%；项目支出</w:t>
      </w:r>
      <w:r>
        <w:rPr>
          <w:rFonts w:hint="default" w:ascii="Times New Roman" w:hAnsi="Times New Roman" w:eastAsia="方正仿宋_GBK" w:cs="Times New Roman"/>
          <w:color w:val="auto"/>
          <w:sz w:val="32"/>
          <w:szCs w:val="32"/>
        </w:rPr>
        <w:t>613.89</w:t>
      </w:r>
      <w:r>
        <w:rPr>
          <w:rFonts w:hint="default" w:ascii="Times New Roman" w:hAnsi="Times New Roman" w:eastAsia="方正仿宋_GBK" w:cs="Times New Roman"/>
          <w:color w:val="auto"/>
          <w:sz w:val="32"/>
          <w:szCs w:val="32"/>
          <w:shd w:val="clear" w:color="auto" w:fill="FFFFFF"/>
        </w:rPr>
        <w:t>万元，占32.39%；经营支出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万元，占0.00%。此外，结余分配</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p>
    <w:p>
      <w:pPr>
        <w:pStyle w:val="5"/>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2" w:firstLineChars="200"/>
        <w:jc w:val="both"/>
        <w:textAlignment w:val="auto"/>
        <w:rPr>
          <w:rFonts w:hint="default" w:ascii="Times New Roman" w:hAnsi="Times New Roman" w:eastAsia="方正仿宋_GBK" w:cs="Times New Roman"/>
          <w:color w:val="auto"/>
          <w:sz w:val="32"/>
          <w:szCs w:val="32"/>
          <w:lang w:val="en-US" w:eastAsia="zh-CN"/>
        </w:rPr>
      </w:pPr>
      <w:r>
        <w:rPr>
          <w:rStyle w:val="8"/>
          <w:rFonts w:hint="default" w:ascii="Times New Roman" w:hAnsi="Times New Roman" w:eastAsia="方正仿宋_GBK" w:cs="Times New Roman"/>
          <w:color w:val="auto"/>
          <w:sz w:val="32"/>
          <w:szCs w:val="32"/>
          <w:shd w:val="clear" w:color="auto" w:fill="FFFFFF"/>
        </w:rPr>
        <w:t>4.结转结余情况。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度年末结转和结余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万元，与2023年度相比，无增减</w:t>
      </w:r>
      <w:r>
        <w:rPr>
          <w:rFonts w:hint="default" w:ascii="Times New Roman" w:hAnsi="Times New Roman" w:eastAsia="方正仿宋_GBK" w:cs="Times New Roman"/>
          <w:color w:val="auto"/>
          <w:sz w:val="32"/>
          <w:szCs w:val="32"/>
          <w:shd w:val="clear" w:color="auto" w:fill="FFFFFF"/>
          <w:lang w:eastAsia="zh-CN"/>
        </w:rPr>
        <w:t>。</w:t>
      </w:r>
    </w:p>
    <w:p>
      <w:pPr>
        <w:pStyle w:val="9"/>
        <w:keepNext w:val="0"/>
        <w:keepLines w:val="0"/>
        <w:pageBreakBefore w:val="0"/>
        <w:widowControl/>
        <w:kinsoku/>
        <w:overflowPunct/>
        <w:topLinePunct w:val="0"/>
        <w:autoSpaceDE w:val="0"/>
        <w:autoSpaceDN/>
        <w:bidi w:val="0"/>
        <w:adjustRightInd/>
        <w:spacing w:afterAutospacing="0" w:line="578" w:lineRule="exact"/>
        <w:ind w:firstLine="643"/>
        <w:textAlignment w:val="auto"/>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（二）财政拨款收入支出决算总体情况说明</w:t>
      </w:r>
    </w:p>
    <w:p>
      <w:pPr>
        <w:pStyle w:val="5"/>
        <w:keepNext w:val="0"/>
        <w:keepLines w:val="0"/>
        <w:pageBreakBefore w:val="0"/>
        <w:widowControl/>
        <w:shd w:val="clear" w:color="auto" w:fill="FFFFFF"/>
        <w:kinsoku/>
        <w:overflowPunct/>
        <w:topLinePunct w:val="0"/>
        <w:autoSpaceDN/>
        <w:bidi w:val="0"/>
        <w:adjustRightInd/>
        <w:spacing w:before="0" w:beforeAutospacing="0" w:after="0" w:afterAutospacing="0" w:line="578"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度财政拨款收、支总计1895.60万元。与202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年相比，财政拨款收、支总计各减少159.07万元，下降7.7%。主要原因是</w:t>
      </w:r>
      <w:r>
        <w:rPr>
          <w:rFonts w:hint="default" w:ascii="Times New Roman" w:hAnsi="Times New Roman" w:eastAsia="方正仿宋_GBK" w:cs="Times New Roman"/>
          <w:color w:val="auto"/>
          <w:sz w:val="32"/>
          <w:szCs w:val="32"/>
          <w:shd w:val="clear" w:color="auto" w:fill="FFFFFF"/>
          <w:lang w:val="en-US" w:eastAsia="zh-CN"/>
        </w:rPr>
        <w:t>2023年年中</w:t>
      </w:r>
      <w:r>
        <w:rPr>
          <w:rFonts w:hint="eastAsia" w:ascii="Times New Roman" w:hAnsi="Times New Roman" w:eastAsia="方正仿宋_GBK" w:cs="Times New Roman"/>
          <w:color w:val="auto"/>
          <w:sz w:val="32"/>
          <w:szCs w:val="32"/>
          <w:shd w:val="clear" w:color="auto" w:fill="FFFFFF"/>
          <w:lang w:val="en-US" w:eastAsia="zh-CN"/>
        </w:rPr>
        <w:t>预算</w:t>
      </w:r>
      <w:r>
        <w:rPr>
          <w:rFonts w:hint="default" w:ascii="Times New Roman" w:hAnsi="Times New Roman" w:eastAsia="方正仿宋_GBK" w:cs="Times New Roman"/>
          <w:color w:val="auto"/>
          <w:sz w:val="32"/>
          <w:szCs w:val="32"/>
          <w:shd w:val="clear" w:color="auto" w:fill="FFFFFF"/>
          <w:lang w:val="en-US" w:eastAsia="zh-CN"/>
        </w:rPr>
        <w:t>追加</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lang w:val="en-US" w:eastAsia="zh-CN"/>
        </w:rPr>
        <w:t>名退休人员一次性退休补贴项目及解决历史遗留往来挂账资金缺口等，2024年无上述项目支出。</w:t>
      </w:r>
    </w:p>
    <w:p>
      <w:pPr>
        <w:pStyle w:val="9"/>
        <w:keepNext w:val="0"/>
        <w:keepLines w:val="0"/>
        <w:pageBreakBefore w:val="0"/>
        <w:widowControl/>
        <w:kinsoku/>
        <w:overflowPunct/>
        <w:topLinePunct w:val="0"/>
        <w:autoSpaceDE w:val="0"/>
        <w:autoSpaceDN/>
        <w:bidi w:val="0"/>
        <w:adjustRightInd/>
        <w:spacing w:beforeAutospacing="0" w:afterAutospacing="0" w:line="578"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5"/>
        <w:keepNext w:val="0"/>
        <w:keepLines w:val="0"/>
        <w:pageBreakBefore w:val="0"/>
        <w:widowControl/>
        <w:shd w:val="clear" w:color="auto" w:fill="FFFFFF"/>
        <w:kinsoku/>
        <w:overflowPunct/>
        <w:topLinePunct w:val="0"/>
        <w:autoSpaceDN/>
        <w:bidi w:val="0"/>
        <w:adjustRightInd/>
        <w:spacing w:before="0" w:beforeAutospacing="0" w:after="0" w:afterAutospacing="0" w:line="578" w:lineRule="exact"/>
        <w:ind w:firstLine="642"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1895.60</w:t>
      </w:r>
      <w:r>
        <w:rPr>
          <w:rFonts w:hint="default" w:ascii="Times New Roman" w:hAnsi="Times New Roman" w:eastAsia="方正仿宋_GBK" w:cs="Times New Roman"/>
          <w:sz w:val="32"/>
          <w:szCs w:val="32"/>
          <w:shd w:val="clear" w:color="auto" w:fill="FFFFFF"/>
        </w:rPr>
        <w:t>万元，与2023年度相比，减少159.07万元，下降7.7%。主要</w:t>
      </w:r>
      <w:r>
        <w:rPr>
          <w:rFonts w:hint="default" w:ascii="Times New Roman" w:hAnsi="Times New Roman" w:eastAsia="方正仿宋_GBK" w:cs="Times New Roman"/>
          <w:color w:val="auto"/>
          <w:sz w:val="32"/>
          <w:szCs w:val="32"/>
          <w:shd w:val="clear" w:color="auto" w:fill="FFFFFF"/>
        </w:rPr>
        <w:t>原因是</w:t>
      </w:r>
      <w:r>
        <w:rPr>
          <w:rFonts w:hint="default" w:ascii="Times New Roman" w:hAnsi="Times New Roman" w:eastAsia="方正仿宋_GBK" w:cs="Times New Roman"/>
          <w:color w:val="auto"/>
          <w:sz w:val="32"/>
          <w:szCs w:val="32"/>
          <w:shd w:val="clear" w:color="auto" w:fill="FFFFFF"/>
          <w:lang w:val="en-US" w:eastAsia="zh-CN"/>
        </w:rPr>
        <w:t>2023年年中</w:t>
      </w:r>
      <w:r>
        <w:rPr>
          <w:rFonts w:hint="eastAsia" w:ascii="Times New Roman" w:hAnsi="Times New Roman" w:eastAsia="方正仿宋_GBK" w:cs="Times New Roman"/>
          <w:color w:val="auto"/>
          <w:sz w:val="32"/>
          <w:szCs w:val="32"/>
          <w:shd w:val="clear" w:color="auto" w:fill="FFFFFF"/>
          <w:lang w:val="en-US" w:eastAsia="zh-CN"/>
        </w:rPr>
        <w:t>预算</w:t>
      </w:r>
      <w:r>
        <w:rPr>
          <w:rFonts w:hint="default" w:ascii="Times New Roman" w:hAnsi="Times New Roman" w:eastAsia="方正仿宋_GBK" w:cs="Times New Roman"/>
          <w:color w:val="auto"/>
          <w:sz w:val="32"/>
          <w:szCs w:val="32"/>
          <w:shd w:val="clear" w:color="auto" w:fill="FFFFFF"/>
          <w:lang w:val="en-US" w:eastAsia="zh-CN"/>
        </w:rPr>
        <w:t>追加</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lang w:val="en-US" w:eastAsia="zh-CN"/>
        </w:rPr>
        <w:t>名退休人员一次性退休补贴项目及解决历史遗留往来挂账资金缺口等，2024年无上述项目支出。</w:t>
      </w:r>
      <w:r>
        <w:rPr>
          <w:rFonts w:hint="default" w:ascii="Times New Roman" w:hAnsi="Times New Roman" w:eastAsia="方正仿宋_GBK" w:cs="Times New Roman"/>
          <w:color w:val="auto"/>
          <w:sz w:val="32"/>
          <w:szCs w:val="32"/>
          <w:shd w:val="clear" w:color="auto" w:fill="FFFFFF"/>
        </w:rPr>
        <w:t>较年初预算数增</w:t>
      </w:r>
      <w:r>
        <w:rPr>
          <w:rFonts w:hint="default" w:ascii="Times New Roman" w:hAnsi="Times New Roman" w:eastAsia="方正仿宋_GBK" w:cs="Times New Roman"/>
          <w:sz w:val="32"/>
          <w:szCs w:val="32"/>
          <w:shd w:val="clear" w:color="auto" w:fill="FFFFFF"/>
        </w:rPr>
        <w:t>加65.22万元，增长3.6%。主要原因是</w:t>
      </w:r>
      <w:r>
        <w:rPr>
          <w:rFonts w:hint="default" w:ascii="Times New Roman" w:hAnsi="Times New Roman" w:eastAsia="方正仿宋_GBK" w:cs="Times New Roman"/>
          <w:sz w:val="32"/>
          <w:szCs w:val="32"/>
          <w:shd w:val="clear" w:color="auto" w:fill="FFFFFF"/>
          <w:lang w:val="en-US" w:eastAsia="zh-CN"/>
        </w:rPr>
        <w:t>年末人数增加，人员经费、公用经费定额增加；年中</w:t>
      </w:r>
      <w:r>
        <w:rPr>
          <w:rFonts w:hint="eastAsia" w:ascii="Times New Roman" w:hAnsi="Times New Roman" w:eastAsia="方正仿宋_GBK" w:cs="Times New Roman"/>
          <w:sz w:val="32"/>
          <w:szCs w:val="32"/>
          <w:shd w:val="clear" w:color="auto" w:fill="FFFFFF"/>
          <w:lang w:val="en-US" w:eastAsia="zh-CN"/>
        </w:rPr>
        <w:t>预算</w:t>
      </w:r>
      <w:r>
        <w:rPr>
          <w:rFonts w:hint="default" w:ascii="Times New Roman" w:hAnsi="Times New Roman" w:eastAsia="方正仿宋_GBK" w:cs="Times New Roman"/>
          <w:sz w:val="32"/>
          <w:szCs w:val="32"/>
          <w:shd w:val="clear" w:color="auto" w:fill="FFFFFF"/>
          <w:lang w:val="en-US" w:eastAsia="zh-CN"/>
        </w:rPr>
        <w:t>追加房屋安全隐患整改项目经费。</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2"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1895.60</w:t>
      </w:r>
      <w:r>
        <w:rPr>
          <w:rFonts w:hint="default" w:ascii="Times New Roman" w:hAnsi="Times New Roman" w:eastAsia="方正仿宋_GBK" w:cs="Times New Roman"/>
          <w:sz w:val="32"/>
          <w:szCs w:val="32"/>
          <w:shd w:val="clear" w:color="auto" w:fill="FFFFFF"/>
        </w:rPr>
        <w:t>万元，与2023年度相比，减少159.07万元，下降7.7%。主要原因是</w:t>
      </w:r>
      <w:r>
        <w:rPr>
          <w:rFonts w:hint="default" w:ascii="Times New Roman" w:hAnsi="Times New Roman" w:eastAsia="方正仿宋_GBK" w:cs="Times New Roman"/>
          <w:color w:val="auto"/>
          <w:sz w:val="32"/>
          <w:szCs w:val="32"/>
          <w:shd w:val="clear" w:color="auto" w:fill="FFFFFF"/>
          <w:lang w:val="en-US" w:eastAsia="zh-CN"/>
        </w:rPr>
        <w:t>2023年年中</w:t>
      </w:r>
      <w:r>
        <w:rPr>
          <w:rFonts w:hint="eastAsia" w:ascii="Times New Roman" w:hAnsi="Times New Roman" w:eastAsia="方正仿宋_GBK" w:cs="Times New Roman"/>
          <w:color w:val="auto"/>
          <w:sz w:val="32"/>
          <w:szCs w:val="32"/>
          <w:shd w:val="clear" w:color="auto" w:fill="FFFFFF"/>
          <w:lang w:val="en-US" w:eastAsia="zh-CN"/>
        </w:rPr>
        <w:t>预算</w:t>
      </w:r>
      <w:r>
        <w:rPr>
          <w:rFonts w:hint="default" w:ascii="Times New Roman" w:hAnsi="Times New Roman" w:eastAsia="方正仿宋_GBK" w:cs="Times New Roman"/>
          <w:color w:val="auto"/>
          <w:sz w:val="32"/>
          <w:szCs w:val="32"/>
          <w:shd w:val="clear" w:color="auto" w:fill="FFFFFF"/>
          <w:lang w:val="en-US" w:eastAsia="zh-CN"/>
        </w:rPr>
        <w:t>追加</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lang w:val="en-US" w:eastAsia="zh-CN"/>
        </w:rPr>
        <w:t>名退休人员一次性退休补贴项目及解决历史遗留往来挂账资金缺口等，2024年无上述项目支出。</w:t>
      </w:r>
      <w:r>
        <w:rPr>
          <w:rFonts w:hint="default" w:ascii="Times New Roman" w:hAnsi="Times New Roman" w:eastAsia="方正仿宋_GBK" w:cs="Times New Roman"/>
          <w:sz w:val="32"/>
          <w:szCs w:val="32"/>
          <w:shd w:val="clear" w:color="auto" w:fill="FFFFFF"/>
        </w:rPr>
        <w:t>较年初预算数增加65.22万元，增长3.6%。主要原因是</w:t>
      </w:r>
      <w:r>
        <w:rPr>
          <w:rFonts w:hint="default" w:ascii="Times New Roman" w:hAnsi="Times New Roman" w:eastAsia="方正仿宋_GBK" w:cs="Times New Roman"/>
          <w:sz w:val="32"/>
          <w:szCs w:val="32"/>
          <w:shd w:val="clear" w:color="auto" w:fill="FFFFFF"/>
          <w:lang w:val="en-US" w:eastAsia="zh-CN"/>
        </w:rPr>
        <w:t>年末人数增加，人员经费、公用经费定额增加；年中</w:t>
      </w:r>
      <w:r>
        <w:rPr>
          <w:rFonts w:hint="eastAsia" w:ascii="Times New Roman" w:hAnsi="Times New Roman" w:eastAsia="方正仿宋_GBK" w:cs="Times New Roman"/>
          <w:sz w:val="32"/>
          <w:szCs w:val="32"/>
          <w:shd w:val="clear" w:color="auto" w:fill="FFFFFF"/>
          <w:lang w:val="en-US" w:eastAsia="zh-CN"/>
        </w:rPr>
        <w:t>预算</w:t>
      </w:r>
      <w:r>
        <w:rPr>
          <w:rFonts w:hint="default" w:ascii="Times New Roman" w:hAnsi="Times New Roman" w:eastAsia="方正仿宋_GBK" w:cs="Times New Roman"/>
          <w:sz w:val="32"/>
          <w:szCs w:val="32"/>
          <w:shd w:val="clear" w:color="auto" w:fill="FFFFFF"/>
          <w:lang w:val="en-US" w:eastAsia="zh-CN"/>
        </w:rPr>
        <w:t>追加房屋安全隐患整改项目经费。</w:t>
      </w:r>
    </w:p>
    <w:p>
      <w:pPr>
        <w:pStyle w:val="5"/>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2" w:firstLineChars="200"/>
        <w:jc w:val="both"/>
        <w:textAlignment w:val="auto"/>
        <w:rPr>
          <w:rFonts w:hint="default" w:ascii="Times New Roman" w:hAnsi="Times New Roman" w:eastAsia="方正仿宋_GBK" w:cs="Times New Roman"/>
          <w:sz w:val="32"/>
          <w:szCs w:val="32"/>
          <w:lang w:eastAsia="zh-CN"/>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pPr>
        <w:pStyle w:val="5"/>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2"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8"/>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本部门</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pPr>
        <w:pStyle w:val="5"/>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1497.57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79.00</w:t>
      </w:r>
      <w:r>
        <w:rPr>
          <w:rFonts w:hint="default" w:ascii="Times New Roman" w:hAnsi="Times New Roman" w:eastAsia="方正仿宋_GBK" w:cs="Times New Roman"/>
          <w:sz w:val="32"/>
          <w:szCs w:val="32"/>
          <w:shd w:val="clear" w:color="auto" w:fill="FFFFFF"/>
        </w:rPr>
        <w:t>%，较年初预算数增加60.10万元，增长4.2%，主要原因是</w:t>
      </w:r>
      <w:r>
        <w:rPr>
          <w:rFonts w:hint="default" w:ascii="Times New Roman" w:hAnsi="Times New Roman" w:eastAsia="方正仿宋_GBK" w:cs="Times New Roman"/>
          <w:sz w:val="32"/>
          <w:szCs w:val="32"/>
          <w:shd w:val="clear" w:color="auto" w:fill="FFFFFF"/>
          <w:lang w:val="en-US" w:eastAsia="zh-CN"/>
        </w:rPr>
        <w:t>年末人数增加，人员经费、公用经费定额增加；年中追加房屋安全隐患整改项目经费。</w:t>
      </w:r>
    </w:p>
    <w:p>
      <w:pPr>
        <w:pStyle w:val="5"/>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242.84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12.81</w:t>
      </w:r>
      <w:r>
        <w:rPr>
          <w:rFonts w:hint="default" w:ascii="Times New Roman" w:hAnsi="Times New Roman" w:eastAsia="方正仿宋_GBK" w:cs="Times New Roman"/>
          <w:sz w:val="32"/>
          <w:szCs w:val="32"/>
          <w:shd w:val="clear" w:color="auto" w:fill="FFFFFF"/>
        </w:rPr>
        <w:t>%，较年初预算数增加5.11万元，增长2.2%，主要原因是</w:t>
      </w:r>
      <w:r>
        <w:rPr>
          <w:rFonts w:hint="default" w:ascii="Times New Roman" w:hAnsi="Times New Roman" w:eastAsia="方正仿宋_GBK" w:cs="Times New Roman"/>
          <w:sz w:val="32"/>
          <w:szCs w:val="32"/>
          <w:shd w:val="clear" w:color="auto" w:fill="FFFFFF"/>
          <w:lang w:val="en-US" w:eastAsia="zh-CN"/>
        </w:rPr>
        <w:t>本年度有新招录、调入人员，年末人数增加，相应支出增加。</w:t>
      </w:r>
    </w:p>
    <w:p>
      <w:pPr>
        <w:pStyle w:val="5"/>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66.45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3.51</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p>
    <w:p>
      <w:pPr>
        <w:keepNext w:val="0"/>
        <w:keepLines w:val="0"/>
        <w:pageBreakBefore w:val="0"/>
        <w:widowControl/>
        <w:kinsoku/>
        <w:overflowPunct/>
        <w:topLinePunct w:val="0"/>
        <w:autoSpaceDN/>
        <w:bidi w:val="0"/>
        <w:adjustRightInd/>
        <w:spacing w:line="578" w:lineRule="exact"/>
        <w:ind w:firstLine="640" w:firstLineChars="200"/>
        <w:textAlignment w:val="auto"/>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住房保障支出88.74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4.68</w:t>
      </w:r>
      <w:r>
        <w:rPr>
          <w:rFonts w:hint="default" w:ascii="Times New Roman" w:hAnsi="Times New Roman" w:eastAsia="方正仿宋_GBK" w:cs="Times New Roman"/>
          <w:sz w:val="32"/>
          <w:szCs w:val="32"/>
          <w:shd w:val="clear" w:color="auto" w:fill="FFFFFF"/>
        </w:rPr>
        <w:t>%，较年初预算</w:t>
      </w:r>
      <w:bookmarkStart w:id="0" w:name="_GoBack"/>
      <w:bookmarkEnd w:id="0"/>
      <w:r>
        <w:rPr>
          <w:rFonts w:hint="default" w:ascii="Times New Roman" w:hAnsi="Times New Roman" w:eastAsia="方正仿宋_GBK" w:cs="Times New Roman"/>
          <w:sz w:val="32"/>
          <w:szCs w:val="32"/>
          <w:shd w:val="clear" w:color="auto" w:fill="FFFFFF"/>
        </w:rPr>
        <w:t>数无增减</w:t>
      </w:r>
      <w:r>
        <w:rPr>
          <w:rFonts w:hint="default" w:ascii="Times New Roman" w:hAnsi="Times New Roman" w:eastAsia="方正仿宋_GBK" w:cs="Times New Roman"/>
          <w:sz w:val="32"/>
          <w:szCs w:val="32"/>
          <w:shd w:val="clear" w:color="auto" w:fill="FFFFFF"/>
          <w:lang w:eastAsia="zh-CN"/>
        </w:rPr>
        <w:t>。</w:t>
      </w:r>
    </w:p>
    <w:p>
      <w:pPr>
        <w:pStyle w:val="9"/>
        <w:keepNext w:val="0"/>
        <w:keepLines w:val="0"/>
        <w:pageBreakBefore w:val="0"/>
        <w:widowControl/>
        <w:kinsoku/>
        <w:overflowPunct/>
        <w:topLinePunct w:val="0"/>
        <w:autoSpaceDE w:val="0"/>
        <w:autoSpaceDN/>
        <w:bidi w:val="0"/>
        <w:adjustRightInd/>
        <w:spacing w:line="578"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5"/>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1281.71</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1107.11</w:t>
      </w:r>
      <w:r>
        <w:rPr>
          <w:rFonts w:hint="default" w:ascii="Times New Roman" w:hAnsi="Times New Roman" w:eastAsia="方正仿宋_GBK" w:cs="Times New Roman"/>
          <w:sz w:val="32"/>
          <w:szCs w:val="32"/>
          <w:shd w:val="clear" w:color="auto" w:fill="FFFFFF"/>
        </w:rPr>
        <w:t>万元，与2023年度相比，</w:t>
      </w:r>
      <w:r>
        <w:rPr>
          <w:rFonts w:hint="default" w:ascii="Times New Roman" w:hAnsi="Times New Roman" w:eastAsia="方正仿宋_GBK" w:cs="Times New Roman"/>
          <w:color w:val="auto"/>
          <w:sz w:val="32"/>
          <w:szCs w:val="32"/>
          <w:highlight w:val="none"/>
          <w:shd w:val="clear" w:color="auto" w:fill="FFFFFF"/>
        </w:rPr>
        <w:t>减少23.27</w:t>
      </w:r>
      <w:r>
        <w:rPr>
          <w:rFonts w:hint="default" w:ascii="Times New Roman" w:hAnsi="Times New Roman" w:eastAsia="方正仿宋_GBK" w:cs="Times New Roman"/>
          <w:sz w:val="32"/>
          <w:szCs w:val="32"/>
          <w:shd w:val="clear" w:color="auto" w:fill="FFFFFF"/>
        </w:rPr>
        <w:t>万元，下降2.1%，主要原因是</w:t>
      </w:r>
      <w:r>
        <w:rPr>
          <w:rFonts w:hint="default" w:ascii="Times New Roman" w:hAnsi="Times New Roman" w:eastAsia="方正仿宋_GBK" w:cs="Times New Roman"/>
          <w:color w:val="auto"/>
          <w:sz w:val="32"/>
          <w:szCs w:val="32"/>
          <w:shd w:val="clear" w:color="auto" w:fill="FFFFFF"/>
          <w:lang w:val="en-US" w:eastAsia="zh-CN"/>
        </w:rPr>
        <w:t>2023年支付2021年津补贴政策衔接清算部分</w:t>
      </w:r>
      <w:r>
        <w:rPr>
          <w:rFonts w:hint="eastAsia"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color w:val="auto"/>
          <w:sz w:val="32"/>
          <w:szCs w:val="32"/>
          <w:shd w:val="clear" w:color="auto" w:fill="FFFFFF"/>
          <w:lang w:val="en-US" w:eastAsia="zh-CN"/>
        </w:rPr>
        <w:t>2023年退休人员准备期职业年金</w:t>
      </w:r>
      <w:r>
        <w:rPr>
          <w:rFonts w:hint="eastAsia"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color w:val="auto"/>
          <w:sz w:val="32"/>
          <w:szCs w:val="32"/>
          <w:shd w:val="clear" w:color="auto" w:fill="FFFFFF"/>
          <w:lang w:val="en-US" w:eastAsia="zh-CN"/>
        </w:rPr>
        <w:t>一次性退休补贴。</w:t>
      </w:r>
      <w:r>
        <w:rPr>
          <w:rFonts w:hint="default" w:ascii="Times New Roman" w:hAnsi="Times New Roman" w:eastAsia="方正仿宋_GBK" w:cs="Times New Roman"/>
          <w:color w:val="auto"/>
          <w:sz w:val="32"/>
          <w:szCs w:val="32"/>
          <w:shd w:val="clear" w:color="auto" w:fill="FFFFFF"/>
        </w:rPr>
        <w:t>人员经费用途主要包括</w:t>
      </w:r>
      <w:r>
        <w:rPr>
          <w:rFonts w:hint="default" w:ascii="Times New Roman" w:hAnsi="Times New Roman" w:eastAsia="方正仿宋_GBK" w:cs="Times New Roman"/>
          <w:color w:val="auto"/>
          <w:kern w:val="0"/>
          <w:sz w:val="32"/>
          <w:szCs w:val="32"/>
          <w:shd w:val="clear" w:color="auto" w:fill="FFFFFF"/>
          <w:lang w:val="en-US" w:eastAsia="zh-CN" w:bidi="ar"/>
        </w:rPr>
        <w:t>基本工资、津贴补贴、奖金、社会保障缴费等。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174.60</w:t>
      </w:r>
      <w:r>
        <w:rPr>
          <w:rFonts w:hint="default" w:ascii="Times New Roman" w:hAnsi="Times New Roman" w:eastAsia="方正仿宋_GBK" w:cs="Times New Roman"/>
          <w:sz w:val="32"/>
          <w:szCs w:val="32"/>
          <w:shd w:val="clear" w:color="auto" w:fill="FFFFFF"/>
        </w:rPr>
        <w:t>万元，与2023年度相比，减少14.43万元，下降7.6%，主要原因是</w:t>
      </w:r>
      <w:r>
        <w:rPr>
          <w:rFonts w:hint="default" w:ascii="Times New Roman" w:hAnsi="Times New Roman" w:eastAsia="方正仿宋_GBK" w:cs="Times New Roman"/>
          <w:color w:val="auto"/>
          <w:sz w:val="32"/>
          <w:szCs w:val="32"/>
          <w:shd w:val="clear" w:color="auto" w:fill="FFFFFF"/>
          <w:lang w:val="en-US" w:eastAsia="zh-CN"/>
        </w:rPr>
        <w:t>严格贯彻执行中央八项规定精神，严格遵守公务接待开支范围和开支标准，严格公车管理、使用；贯彻过紧日子的要求，推行无纸化办公，减少纸张的使用和浪费，合理控制办公用品的采购量，避免积压和闲置。</w:t>
      </w:r>
      <w:r>
        <w:rPr>
          <w:rFonts w:hint="default" w:ascii="Times New Roman" w:hAnsi="Times New Roman" w:eastAsia="方正仿宋_GBK" w:cs="Times New Roman"/>
          <w:color w:val="auto"/>
          <w:sz w:val="32"/>
          <w:szCs w:val="32"/>
          <w:highlight w:val="none"/>
          <w:shd w:val="clear" w:color="auto" w:fill="FFFFFF"/>
        </w:rPr>
        <w:t>公用经费用途主要包括</w:t>
      </w:r>
      <w:r>
        <w:rPr>
          <w:rFonts w:hint="default" w:ascii="Times New Roman" w:hAnsi="Times New Roman" w:eastAsia="方正仿宋_GBK" w:cs="Times New Roman"/>
          <w:color w:val="auto"/>
          <w:sz w:val="32"/>
          <w:szCs w:val="32"/>
          <w:highlight w:val="none"/>
          <w:shd w:val="clear" w:color="auto" w:fill="FFFFFF"/>
          <w:lang w:val="en-US" w:eastAsia="zh-CN"/>
        </w:rPr>
        <w:t>办公费、印刷费、水费、电费、邮电费、差旅费、劳务费、公务接待费、交通费等。</w:t>
      </w:r>
    </w:p>
    <w:p>
      <w:pPr>
        <w:pStyle w:val="9"/>
        <w:keepNext w:val="0"/>
        <w:keepLines w:val="0"/>
        <w:pageBreakBefore w:val="0"/>
        <w:widowControl/>
        <w:kinsoku/>
        <w:overflowPunct/>
        <w:topLinePunct w:val="0"/>
        <w:autoSpaceDE w:val="0"/>
        <w:autoSpaceDN/>
        <w:bidi w:val="0"/>
        <w:adjustRightInd/>
        <w:spacing w:line="578" w:lineRule="exact"/>
        <w:ind w:firstLine="643"/>
        <w:textAlignment w:val="auto"/>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（五）政府性基金预算收支决算情况说明</w:t>
      </w:r>
    </w:p>
    <w:p>
      <w:pPr>
        <w:pStyle w:val="5"/>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auto"/>
        </w:rPr>
      </w:pPr>
      <w:r>
        <w:rPr>
          <w:rStyle w:val="8"/>
          <w:rFonts w:hint="default" w:ascii="Times New Roman" w:hAnsi="Times New Roman" w:eastAsia="方正仿宋_GBK" w:cs="Times New Roman"/>
          <w:b w:val="0"/>
          <w:bCs/>
          <w:color w:val="auto"/>
          <w:sz w:val="32"/>
          <w:szCs w:val="32"/>
          <w:highlight w:val="none"/>
          <w:shd w:val="clear" w:color="auto" w:fill="auto"/>
        </w:rPr>
        <w:t>本部门</w:t>
      </w:r>
      <w:r>
        <w:rPr>
          <w:rStyle w:val="8"/>
          <w:rFonts w:hint="default" w:ascii="Times New Roman" w:hAnsi="Times New Roman" w:eastAsia="方正仿宋_GBK" w:cs="Times New Roman"/>
          <w:b w:val="0"/>
          <w:bCs/>
          <w:color w:val="auto"/>
          <w:sz w:val="32"/>
          <w:szCs w:val="32"/>
          <w:highlight w:val="none"/>
          <w:shd w:val="clear" w:color="auto" w:fill="auto"/>
          <w:lang w:eastAsia="zh-CN"/>
        </w:rPr>
        <w:t>2024年</w:t>
      </w:r>
      <w:r>
        <w:rPr>
          <w:rStyle w:val="8"/>
          <w:rFonts w:hint="default" w:ascii="Times New Roman" w:hAnsi="Times New Roman" w:eastAsia="方正仿宋_GBK" w:cs="Times New Roman"/>
          <w:b w:val="0"/>
          <w:bCs/>
          <w:color w:val="auto"/>
          <w:sz w:val="32"/>
          <w:szCs w:val="32"/>
          <w:highlight w:val="none"/>
          <w:shd w:val="clear" w:color="auto" w:fill="auto"/>
        </w:rPr>
        <w:t>度无政府性基金预算财政拨款收支。</w:t>
      </w:r>
    </w:p>
    <w:p>
      <w:pPr>
        <w:pStyle w:val="9"/>
        <w:keepNext w:val="0"/>
        <w:keepLines w:val="0"/>
        <w:pageBreakBefore w:val="0"/>
        <w:widowControl/>
        <w:kinsoku/>
        <w:overflowPunct/>
        <w:topLinePunct w:val="0"/>
        <w:autoSpaceDE w:val="0"/>
        <w:autoSpaceDN/>
        <w:bidi w:val="0"/>
        <w:adjustRightInd/>
        <w:spacing w:line="578" w:lineRule="exact"/>
        <w:ind w:firstLine="643"/>
        <w:textAlignment w:val="auto"/>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（六）国有资本经营预算财政拨款支出决算情况说明</w:t>
      </w:r>
    </w:p>
    <w:p>
      <w:pPr>
        <w:pStyle w:val="5"/>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b w:val="0"/>
          <w:bCs/>
          <w:sz w:val="32"/>
          <w:szCs w:val="32"/>
          <w:shd w:val="clear" w:color="auto" w:fill="auto"/>
        </w:rPr>
      </w:pPr>
      <w:r>
        <w:rPr>
          <w:rStyle w:val="8"/>
          <w:rFonts w:hint="default" w:ascii="Times New Roman" w:hAnsi="Times New Roman" w:eastAsia="方正仿宋_GBK" w:cs="Times New Roman"/>
          <w:b w:val="0"/>
          <w:bCs/>
          <w:sz w:val="32"/>
          <w:szCs w:val="32"/>
          <w:shd w:val="clear" w:color="auto" w:fill="auto"/>
        </w:rPr>
        <w:t>本部门</w:t>
      </w:r>
      <w:r>
        <w:rPr>
          <w:rStyle w:val="8"/>
          <w:rFonts w:hint="default" w:ascii="Times New Roman" w:hAnsi="Times New Roman" w:eastAsia="方正仿宋_GBK" w:cs="Times New Roman"/>
          <w:b w:val="0"/>
          <w:bCs/>
          <w:sz w:val="32"/>
          <w:szCs w:val="32"/>
          <w:shd w:val="clear" w:color="auto" w:fill="auto"/>
          <w:lang w:eastAsia="zh-CN"/>
        </w:rPr>
        <w:t>2024年</w:t>
      </w:r>
      <w:r>
        <w:rPr>
          <w:rStyle w:val="8"/>
          <w:rFonts w:hint="default" w:ascii="Times New Roman" w:hAnsi="Times New Roman" w:eastAsia="方正仿宋_GBK" w:cs="Times New Roman"/>
          <w:b w:val="0"/>
          <w:bCs/>
          <w:sz w:val="32"/>
          <w:szCs w:val="32"/>
          <w:shd w:val="clear" w:color="auto" w:fill="auto"/>
        </w:rPr>
        <w:t>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2"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三、</w:t>
      </w:r>
      <w:r>
        <w:rPr>
          <w:rStyle w:val="8"/>
          <w:rFonts w:hint="default" w:ascii="Times New Roman" w:hAnsi="Times New Roman" w:eastAsia="黑体" w:cs="Times New Roman"/>
          <w:sz w:val="32"/>
          <w:szCs w:val="32"/>
          <w:shd w:val="clear" w:color="auto" w:fill="FFFFFF"/>
          <w:lang w:eastAsia="zh-CN"/>
        </w:rPr>
        <w:t>财政拨款</w:t>
      </w:r>
      <w:r>
        <w:rPr>
          <w:rStyle w:val="8"/>
          <w:rFonts w:hint="default" w:ascii="Times New Roman" w:hAnsi="Times New Roman" w:eastAsia="黑体" w:cs="Times New Roman"/>
          <w:sz w:val="32"/>
          <w:szCs w:val="32"/>
          <w:shd w:val="clear" w:color="auto" w:fill="FFFFFF"/>
        </w:rPr>
        <w:t>“三公”经费情况说明</w:t>
      </w:r>
    </w:p>
    <w:p>
      <w:pPr>
        <w:pStyle w:val="9"/>
        <w:keepNext w:val="0"/>
        <w:keepLines w:val="0"/>
        <w:pageBreakBefore w:val="0"/>
        <w:widowControl/>
        <w:kinsoku/>
        <w:overflowPunct/>
        <w:topLinePunct w:val="0"/>
        <w:autoSpaceDE w:val="0"/>
        <w:autoSpaceDN/>
        <w:bidi w:val="0"/>
        <w:adjustRightInd/>
        <w:spacing w:line="578"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pPr>
        <w:pStyle w:val="5"/>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12.36</w:t>
      </w:r>
      <w:r>
        <w:rPr>
          <w:rFonts w:hint="default" w:ascii="Times New Roman" w:hAnsi="Times New Roman" w:eastAsia="方正仿宋_GBK" w:cs="Times New Roman"/>
          <w:sz w:val="32"/>
          <w:szCs w:val="32"/>
          <w:shd w:val="clear" w:color="auto" w:fill="FFFFFF"/>
        </w:rPr>
        <w:t>万元，较年初预算数减少1.14万元，下降8.4%，主要原因</w:t>
      </w:r>
      <w:r>
        <w:rPr>
          <w:rFonts w:hint="default" w:ascii="Times New Roman" w:hAnsi="Times New Roman" w:eastAsia="方正仿宋_GBK" w:cs="Times New Roman"/>
          <w:color w:val="auto"/>
          <w:sz w:val="32"/>
          <w:szCs w:val="32"/>
          <w:shd w:val="clear" w:color="auto" w:fill="FFFFFF"/>
        </w:rPr>
        <w:t>是</w:t>
      </w:r>
      <w:r>
        <w:rPr>
          <w:rFonts w:hint="default" w:ascii="Times New Roman" w:hAnsi="Times New Roman" w:eastAsia="方正仿宋_GBK" w:cs="Times New Roman"/>
          <w:color w:val="auto"/>
          <w:sz w:val="32"/>
          <w:szCs w:val="32"/>
          <w:shd w:val="clear" w:color="auto" w:fill="FFFFFF"/>
          <w:lang w:val="en-US" w:eastAsia="zh-CN"/>
        </w:rPr>
        <w:t>严格贯彻执行中央八项规定精神，厉行节约。</w:t>
      </w:r>
      <w:r>
        <w:rPr>
          <w:rFonts w:hint="default" w:ascii="Times New Roman" w:hAnsi="Times New Roman" w:eastAsia="方正仿宋_GBK" w:cs="Times New Roman"/>
          <w:sz w:val="32"/>
          <w:szCs w:val="32"/>
          <w:shd w:val="clear" w:color="auto" w:fill="FFFFFF"/>
        </w:rPr>
        <w:t>较上年支出数减少25.82万元，下降67.6%，主要原因</w:t>
      </w:r>
      <w:r>
        <w:rPr>
          <w:rFonts w:hint="default" w:ascii="Times New Roman" w:hAnsi="Times New Roman" w:eastAsia="方正仿宋_GBK" w:cs="Times New Roman"/>
          <w:color w:val="auto"/>
          <w:sz w:val="32"/>
          <w:szCs w:val="32"/>
          <w:shd w:val="clear" w:color="auto" w:fill="FFFFFF"/>
        </w:rPr>
        <w:t>是</w:t>
      </w:r>
      <w:r>
        <w:rPr>
          <w:rFonts w:hint="default" w:ascii="Times New Roman" w:hAnsi="Times New Roman" w:eastAsia="方正仿宋_GBK" w:cs="Times New Roman"/>
          <w:color w:val="auto"/>
          <w:sz w:val="32"/>
          <w:szCs w:val="32"/>
          <w:shd w:val="clear" w:color="auto" w:fill="FFFFFF"/>
          <w:lang w:val="en-US" w:eastAsia="zh-CN"/>
        </w:rPr>
        <w:t>严格贯彻执行中央八项规定精神，厉行节约；2023年购置公车一台，本年度无公务用车购置支出。</w:t>
      </w:r>
    </w:p>
    <w:p>
      <w:pPr>
        <w:pStyle w:val="9"/>
        <w:keepNext w:val="0"/>
        <w:keepLines w:val="0"/>
        <w:pageBreakBefore w:val="0"/>
        <w:widowControl/>
        <w:kinsoku/>
        <w:overflowPunct/>
        <w:topLinePunct w:val="0"/>
        <w:autoSpaceDE w:val="0"/>
        <w:autoSpaceDN/>
        <w:bidi w:val="0"/>
        <w:adjustRightInd/>
        <w:spacing w:line="578"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pPr>
        <w:pStyle w:val="5"/>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万元，费用支出较年初预算数无增减，与2023年度相比，无增减</w:t>
      </w:r>
      <w:r>
        <w:rPr>
          <w:rFonts w:hint="default" w:ascii="Times New Roman" w:hAnsi="Times New Roman" w:eastAsia="方正仿宋_GBK" w:cs="Times New Roman"/>
          <w:sz w:val="32"/>
          <w:szCs w:val="32"/>
          <w:shd w:val="clear" w:color="auto" w:fill="FFFFFF"/>
          <w:lang w:eastAsia="zh-CN"/>
        </w:rPr>
        <w:t>。</w:t>
      </w:r>
    </w:p>
    <w:p>
      <w:pPr>
        <w:pStyle w:val="5"/>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w:t>
      </w:r>
      <w:r>
        <w:rPr>
          <w:rFonts w:hint="default" w:ascii="Times New Roman" w:hAnsi="Times New Roman" w:eastAsia="方正仿宋_GBK" w:cs="Times New Roman"/>
          <w:color w:val="auto"/>
          <w:sz w:val="32"/>
          <w:szCs w:val="32"/>
          <w:shd w:val="clear" w:color="auto" w:fill="FFFFFF"/>
        </w:rPr>
        <w:t>减，较上年支出数减少19.98万元，下降100.0%，主要原因是</w:t>
      </w:r>
      <w:r>
        <w:rPr>
          <w:rFonts w:hint="default" w:ascii="Times New Roman" w:hAnsi="Times New Roman" w:eastAsia="方正仿宋_GBK" w:cs="Times New Roman"/>
          <w:color w:val="auto"/>
          <w:sz w:val="32"/>
          <w:szCs w:val="32"/>
          <w:shd w:val="clear" w:color="auto" w:fill="FFFFFF"/>
          <w:lang w:val="en-US" w:eastAsia="zh-CN"/>
        </w:rPr>
        <w:t>本年度无公务用车购置支出。</w:t>
      </w:r>
    </w:p>
    <w:p>
      <w:pPr>
        <w:pStyle w:val="5"/>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7.00</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color w:val="auto"/>
          <w:sz w:val="32"/>
          <w:szCs w:val="32"/>
          <w:highlight w:val="none"/>
          <w:shd w:val="clear" w:color="auto" w:fill="FFFFFF"/>
          <w:lang w:val="en-US" w:eastAsia="zh-CN"/>
        </w:rPr>
        <w:t>因公出行、财政业务检查、机要文件交换等工作所需支出的车辆燃料费、维修费、过路费、保险费等。</w:t>
      </w:r>
      <w:r>
        <w:rPr>
          <w:rFonts w:hint="default" w:ascii="Times New Roman" w:hAnsi="Times New Roman" w:eastAsia="方正仿宋_GBK" w:cs="Times New Roman"/>
          <w:sz w:val="32"/>
          <w:szCs w:val="32"/>
          <w:shd w:val="clear" w:color="auto" w:fill="FFFFFF"/>
        </w:rPr>
        <w:t>费用支出较年初预算数无增减，较上年支出数减少5.00万元，下降41.7%，主要原因</w:t>
      </w:r>
      <w:r>
        <w:rPr>
          <w:rFonts w:hint="default" w:ascii="Times New Roman" w:hAnsi="Times New Roman" w:eastAsia="方正仿宋_GBK" w:cs="Times New Roman"/>
          <w:color w:val="auto"/>
          <w:sz w:val="32"/>
          <w:szCs w:val="32"/>
          <w:highlight w:val="none"/>
          <w:shd w:val="clear" w:color="auto" w:fill="FFFFFF"/>
        </w:rPr>
        <w:t>是</w:t>
      </w:r>
      <w:r>
        <w:rPr>
          <w:rFonts w:hint="default" w:ascii="Times New Roman" w:hAnsi="Times New Roman" w:eastAsia="方正仿宋_GBK" w:cs="Times New Roman"/>
          <w:color w:val="auto"/>
          <w:sz w:val="32"/>
          <w:szCs w:val="32"/>
          <w:highlight w:val="none"/>
          <w:shd w:val="clear" w:color="auto" w:fill="FFFFFF"/>
          <w:lang w:val="en-US" w:eastAsia="zh-CN"/>
        </w:rPr>
        <w:t>严格贯彻落实中央八项规定精神，从严控制开支；有一车辆经费为下属事业单位巫溪县财政投资决算管理中心进行预算编制，财政未保障公务车运行维护费。</w:t>
      </w:r>
    </w:p>
    <w:p>
      <w:pPr>
        <w:pStyle w:val="5"/>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5.36</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color w:val="auto"/>
          <w:sz w:val="32"/>
          <w:szCs w:val="32"/>
          <w:highlight w:val="none"/>
          <w:shd w:val="clear" w:color="auto" w:fill="FFFFFF"/>
        </w:rPr>
        <w:t>接待</w:t>
      </w:r>
      <w:r>
        <w:rPr>
          <w:rFonts w:hint="default" w:ascii="Times New Roman" w:hAnsi="Times New Roman" w:eastAsia="方正仿宋_GBK" w:cs="Times New Roman"/>
          <w:color w:val="auto"/>
          <w:sz w:val="32"/>
          <w:szCs w:val="32"/>
          <w:highlight w:val="none"/>
          <w:shd w:val="clear" w:color="auto" w:fill="FFFFFF"/>
          <w:lang w:val="en-US" w:eastAsia="zh-CN"/>
        </w:rPr>
        <w:t>各级审计、市级部门到本单位进行检查指导、调研，接受相关部门检查指导工作发生的接待支出。</w:t>
      </w:r>
      <w:r>
        <w:rPr>
          <w:rFonts w:hint="default" w:ascii="Times New Roman" w:hAnsi="Times New Roman" w:eastAsia="方正仿宋_GBK" w:cs="Times New Roman"/>
          <w:sz w:val="32"/>
          <w:szCs w:val="32"/>
          <w:shd w:val="clear" w:color="auto" w:fill="FFFFFF"/>
        </w:rPr>
        <w:t>费用支出较年初预算数减少1.14万元，下降17.5%，主要原因是</w:t>
      </w:r>
      <w:r>
        <w:rPr>
          <w:rFonts w:hint="default" w:ascii="Times New Roman" w:hAnsi="Times New Roman" w:eastAsia="方正仿宋_GBK" w:cs="Times New Roman"/>
          <w:color w:val="auto"/>
          <w:sz w:val="32"/>
          <w:szCs w:val="32"/>
          <w:highlight w:val="none"/>
          <w:shd w:val="clear" w:color="auto" w:fill="FFFFFF"/>
          <w:lang w:val="en-US" w:eastAsia="zh-CN"/>
        </w:rPr>
        <w:t>严格贯彻落实中央八项规定精神，从严控制开支。</w:t>
      </w:r>
      <w:r>
        <w:rPr>
          <w:rFonts w:hint="default" w:ascii="Times New Roman" w:hAnsi="Times New Roman" w:eastAsia="方正仿宋_GBK" w:cs="Times New Roman"/>
          <w:sz w:val="32"/>
          <w:szCs w:val="32"/>
          <w:shd w:val="clear" w:color="auto" w:fill="FFFFFF"/>
        </w:rPr>
        <w:t>较上年支出数减少0.84万元，下降13.6%，主要原因是</w:t>
      </w:r>
      <w:r>
        <w:rPr>
          <w:rFonts w:hint="default" w:ascii="Times New Roman" w:hAnsi="Times New Roman" w:eastAsia="方正仿宋_GBK" w:cs="Times New Roman"/>
          <w:color w:val="auto"/>
          <w:sz w:val="32"/>
          <w:szCs w:val="32"/>
          <w:highlight w:val="none"/>
          <w:shd w:val="clear" w:color="auto" w:fill="FFFFFF"/>
          <w:lang w:val="en-US" w:eastAsia="zh-CN"/>
        </w:rPr>
        <w:t>严格贯彻落实中央八项规定精神，从严控制开支。</w:t>
      </w:r>
    </w:p>
    <w:p>
      <w:pPr>
        <w:pStyle w:val="9"/>
        <w:keepNext w:val="0"/>
        <w:keepLines w:val="0"/>
        <w:pageBreakBefore w:val="0"/>
        <w:widowControl/>
        <w:kinsoku/>
        <w:overflowPunct/>
        <w:topLinePunct w:val="0"/>
        <w:autoSpaceDE w:val="0"/>
        <w:autoSpaceDN/>
        <w:bidi w:val="0"/>
        <w:adjustRightInd/>
        <w:spacing w:line="578"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pPr>
        <w:pStyle w:val="5"/>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86</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428</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本部门人均接待费</w:t>
      </w:r>
      <w:r>
        <w:rPr>
          <w:rFonts w:hint="default" w:ascii="Times New Roman" w:hAnsi="Times New Roman" w:eastAsia="方正仿宋_GBK" w:cs="Times New Roman"/>
          <w:sz w:val="32"/>
          <w:szCs w:val="32"/>
        </w:rPr>
        <w:t>125.27</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2.33</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2"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四、其他需要说明的事项</w:t>
      </w:r>
    </w:p>
    <w:p>
      <w:pPr>
        <w:pStyle w:val="9"/>
        <w:keepNext w:val="0"/>
        <w:keepLines w:val="0"/>
        <w:pageBreakBefore w:val="0"/>
        <w:widowControl/>
        <w:kinsoku/>
        <w:overflowPunct/>
        <w:topLinePunct w:val="0"/>
        <w:autoSpaceDE w:val="0"/>
        <w:autoSpaceDN/>
        <w:bidi w:val="0"/>
        <w:adjustRightInd/>
        <w:spacing w:line="578"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pPr>
        <w:pStyle w:val="5"/>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8.66</w:t>
      </w:r>
      <w:r>
        <w:rPr>
          <w:rFonts w:hint="default" w:ascii="Times New Roman" w:hAnsi="Times New Roman" w:eastAsia="方正仿宋_GBK" w:cs="Times New Roman"/>
          <w:sz w:val="32"/>
          <w:szCs w:val="32"/>
          <w:shd w:val="clear" w:color="auto" w:fill="FFFFFF"/>
        </w:rPr>
        <w:t>万元，与2023年度相比，减少5.30万元，下降38.0%，主要原因是</w:t>
      </w:r>
      <w:r>
        <w:rPr>
          <w:rFonts w:hint="default" w:ascii="Times New Roman" w:hAnsi="Times New Roman" w:eastAsia="方正仿宋_GBK" w:cs="Times New Roman"/>
          <w:color w:val="auto"/>
          <w:sz w:val="32"/>
          <w:szCs w:val="32"/>
          <w:highlight w:val="none"/>
          <w:shd w:val="clear" w:color="auto" w:fill="FFFFFF"/>
          <w:lang w:val="en-US" w:eastAsia="zh-CN"/>
        </w:rPr>
        <w:t>严格贯彻落实中央八项规定精神，从严控制开支</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1.40</w:t>
      </w:r>
      <w:r>
        <w:rPr>
          <w:rFonts w:hint="default" w:ascii="Times New Roman" w:hAnsi="Times New Roman" w:eastAsia="方正仿宋_GBK" w:cs="Times New Roman"/>
          <w:sz w:val="32"/>
          <w:szCs w:val="32"/>
          <w:shd w:val="clear" w:color="auto" w:fill="FFFFFF"/>
        </w:rPr>
        <w:t>万元，与2023年度相比，减少64.53万元，下降97.9%，主要原因是</w:t>
      </w:r>
      <w:r>
        <w:rPr>
          <w:rFonts w:hint="default" w:ascii="Times New Roman" w:hAnsi="Times New Roman" w:eastAsia="方正仿宋_GBK" w:cs="Times New Roman"/>
          <w:sz w:val="32"/>
          <w:szCs w:val="32"/>
          <w:shd w:val="clear" w:color="auto" w:fill="FFFFFF"/>
          <w:lang w:val="en-US" w:eastAsia="zh-CN"/>
        </w:rPr>
        <w:t>减少培训次数，提升培训质量；本年度部分培训费由部门项目列支</w:t>
      </w:r>
      <w:r>
        <w:rPr>
          <w:rFonts w:hint="default" w:ascii="Times New Roman" w:hAnsi="Times New Roman" w:eastAsia="方正仿宋_GBK" w:cs="Times New Roman"/>
          <w:sz w:val="32"/>
          <w:szCs w:val="32"/>
          <w:shd w:val="clear" w:color="auto" w:fill="FFFFFF"/>
        </w:rPr>
        <w:t>。</w:t>
      </w:r>
    </w:p>
    <w:p>
      <w:pPr>
        <w:pStyle w:val="9"/>
        <w:keepNext w:val="0"/>
        <w:keepLines w:val="0"/>
        <w:pageBreakBefore w:val="0"/>
        <w:widowControl/>
        <w:kinsoku/>
        <w:overflowPunct/>
        <w:topLinePunct w:val="0"/>
        <w:autoSpaceDE w:val="0"/>
        <w:autoSpaceDN/>
        <w:bidi w:val="0"/>
        <w:adjustRightInd/>
        <w:spacing w:line="578"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5"/>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度本部门机关运行经费支出</w:t>
      </w:r>
      <w:r>
        <w:rPr>
          <w:rFonts w:hint="default" w:ascii="Times New Roman" w:hAnsi="Times New Roman" w:eastAsia="方正仿宋_GBK" w:cs="Times New Roman"/>
          <w:sz w:val="32"/>
          <w:szCs w:val="32"/>
        </w:rPr>
        <w:t>168.16</w:t>
      </w:r>
      <w:r>
        <w:rPr>
          <w:rFonts w:hint="default" w:ascii="Times New Roman" w:hAnsi="Times New Roman" w:eastAsia="方正仿宋_GBK" w:cs="Times New Roman"/>
          <w:sz w:val="32"/>
          <w:szCs w:val="32"/>
          <w:shd w:val="clear" w:color="auto" w:fill="FFFFFF"/>
        </w:rPr>
        <w:t>万元，机关运行经费主要用于</w:t>
      </w:r>
      <w:r>
        <w:rPr>
          <w:rFonts w:hint="default" w:ascii="Times New Roman" w:hAnsi="Times New Roman" w:eastAsia="方正仿宋_GBK" w:cs="Times New Roman"/>
          <w:color w:val="auto"/>
          <w:sz w:val="32"/>
          <w:szCs w:val="32"/>
          <w:highlight w:val="none"/>
          <w:shd w:val="clear" w:color="auto" w:fill="FFFFFF"/>
        </w:rPr>
        <w:t>开支</w:t>
      </w:r>
      <w:r>
        <w:rPr>
          <w:rFonts w:hint="default" w:ascii="Times New Roman" w:hAnsi="Times New Roman" w:eastAsia="方正仿宋_GBK" w:cs="Times New Roman"/>
          <w:color w:val="auto"/>
          <w:kern w:val="0"/>
          <w:sz w:val="32"/>
          <w:szCs w:val="32"/>
          <w:highlight w:val="none"/>
          <w:shd w:val="clear" w:color="auto" w:fill="FFFFFF"/>
          <w:lang w:val="en-US" w:eastAsia="zh-CN" w:bidi="ar"/>
        </w:rPr>
        <w:t>办公费、印刷费、水电费、邮电费、差旅费、会议费、培训费、公务接待费、交通费等。</w:t>
      </w:r>
      <w:r>
        <w:rPr>
          <w:rFonts w:hint="default" w:ascii="Times New Roman" w:hAnsi="Times New Roman" w:eastAsia="方正仿宋_GBK" w:cs="Times New Roman"/>
          <w:sz w:val="32"/>
          <w:szCs w:val="32"/>
          <w:shd w:val="clear" w:color="auto" w:fill="FFFFFF"/>
        </w:rPr>
        <w:t>机关运行经费较上年支出数减少20.87万元，下降11.0%，主</w:t>
      </w:r>
      <w:r>
        <w:rPr>
          <w:rFonts w:hint="default" w:ascii="Times New Roman" w:hAnsi="Times New Roman" w:eastAsia="方正仿宋_GBK" w:cs="Times New Roman"/>
          <w:color w:val="auto"/>
          <w:sz w:val="32"/>
          <w:szCs w:val="32"/>
          <w:shd w:val="clear" w:color="auto" w:fill="FFFFFF"/>
        </w:rPr>
        <w:t>要原因是</w:t>
      </w:r>
      <w:r>
        <w:rPr>
          <w:rFonts w:hint="default" w:ascii="Times New Roman" w:hAnsi="Times New Roman" w:eastAsia="方正仿宋_GBK" w:cs="Times New Roman"/>
          <w:color w:val="auto"/>
          <w:sz w:val="32"/>
          <w:szCs w:val="32"/>
          <w:shd w:val="clear" w:color="auto" w:fill="FFFFFF"/>
          <w:lang w:val="en-US" w:eastAsia="zh-CN"/>
        </w:rPr>
        <w:t>严格贯彻执行中央八项规定精神，严格遵守公务接待开支范围和开支标准，严格公车管理、使用；贯彻过紧日子的要求，推行无纸化办公，减少纸张的使用和浪费，合理控制办公用品的采购量，避免积压和闲置。</w:t>
      </w:r>
    </w:p>
    <w:p>
      <w:pPr>
        <w:pStyle w:val="9"/>
        <w:keepNext w:val="0"/>
        <w:keepLines w:val="0"/>
        <w:pageBreakBefore w:val="0"/>
        <w:widowControl/>
        <w:kinsoku/>
        <w:overflowPunct/>
        <w:topLinePunct w:val="0"/>
        <w:autoSpaceDE w:val="0"/>
        <w:autoSpaceDN/>
        <w:bidi w:val="0"/>
        <w:adjustRightInd/>
        <w:spacing w:line="578"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12月31日，本部门共有车辆</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9"/>
        <w:keepNext w:val="0"/>
        <w:keepLines w:val="0"/>
        <w:pageBreakBefore w:val="0"/>
        <w:widowControl/>
        <w:kinsoku/>
        <w:overflowPunct/>
        <w:topLinePunct w:val="0"/>
        <w:autoSpaceDE w:val="0"/>
        <w:autoSpaceDN/>
        <w:bidi w:val="0"/>
        <w:adjustRightInd/>
        <w:spacing w:line="578"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5"/>
        <w:keepNext w:val="0"/>
        <w:keepLines w:val="0"/>
        <w:pageBreakBefore w:val="0"/>
        <w:widowControl/>
        <w:kinsoku/>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度本部门政府采购支出总额</w:t>
      </w:r>
      <w:r>
        <w:rPr>
          <w:rFonts w:hint="default" w:ascii="Times New Roman" w:hAnsi="Times New Roman" w:eastAsia="方正仿宋_GBK" w:cs="Times New Roman"/>
          <w:sz w:val="32"/>
          <w:szCs w:val="32"/>
        </w:rPr>
        <w:t>5.65</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5.65</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5.65万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5.65</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 xml:space="preserve"> %。主要用于</w:t>
      </w:r>
      <w:r>
        <w:rPr>
          <w:rFonts w:hint="default" w:ascii="Times New Roman" w:hAnsi="Times New Roman" w:eastAsia="方正仿宋_GBK" w:cs="Times New Roman"/>
          <w:color w:val="auto"/>
          <w:sz w:val="32"/>
          <w:szCs w:val="32"/>
          <w:highlight w:val="none"/>
          <w:shd w:val="clear" w:color="auto" w:fill="FFFFFF"/>
        </w:rPr>
        <w:t>采购</w:t>
      </w:r>
      <w:r>
        <w:rPr>
          <w:rFonts w:hint="default" w:ascii="Times New Roman" w:hAnsi="Times New Roman" w:eastAsia="方正仿宋_GBK" w:cs="Times New Roman"/>
          <w:color w:val="auto"/>
          <w:sz w:val="32"/>
          <w:szCs w:val="32"/>
          <w:highlight w:val="none"/>
          <w:shd w:val="clear" w:color="auto" w:fill="FFFFFF"/>
          <w:lang w:val="en-US" w:eastAsia="zh-CN"/>
        </w:rPr>
        <w:t>计算机、复印纸等办公设备及用品。</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2" w:firstLineChars="200"/>
        <w:textAlignment w:val="auto"/>
        <w:rPr>
          <w:rStyle w:val="8"/>
          <w:rFonts w:hint="default" w:ascii="Times New Roman" w:hAnsi="Times New Roman" w:eastAsia="黑体" w:cs="Times New Roman"/>
          <w:sz w:val="32"/>
          <w:szCs w:val="32"/>
          <w:shd w:val="clear" w:color="auto" w:fill="FFFFFF"/>
          <w:lang w:val="en-US" w:eastAsia="zh-CN" w:bidi="ar-SA"/>
        </w:rPr>
      </w:pPr>
      <w:r>
        <w:rPr>
          <w:rStyle w:val="8"/>
          <w:rFonts w:hint="default" w:ascii="Times New Roman" w:hAnsi="Times New Roman" w:eastAsia="黑体" w:cs="Times New Roman"/>
          <w:sz w:val="32"/>
          <w:szCs w:val="32"/>
          <w:shd w:val="clear" w:color="auto" w:fill="FFFFFF"/>
          <w:lang w:val="en-US" w:eastAsia="zh-CN" w:bidi="ar-SA"/>
        </w:rPr>
        <w:t>五、2024年度预算绩效管理情况说明</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2" w:firstLineChars="200"/>
        <w:jc w:val="left"/>
        <w:textAlignment w:val="auto"/>
        <w:rPr>
          <w:rFonts w:hint="default" w:ascii="Times New Roman" w:hAnsi="Times New Roman" w:eastAsia="楷体" w:cs="Times New Roman"/>
          <w:b/>
          <w:bCs/>
          <w:kern w:val="0"/>
          <w:sz w:val="32"/>
          <w:szCs w:val="32"/>
          <w:shd w:val="clear" w:fill="FFFFFF"/>
        </w:rPr>
      </w:pPr>
      <w:r>
        <w:rPr>
          <w:rFonts w:hint="default" w:ascii="Times New Roman" w:hAnsi="Times New Roman" w:eastAsia="楷体" w:cs="Times New Roman"/>
          <w:b/>
          <w:bCs/>
          <w:kern w:val="0"/>
          <w:sz w:val="32"/>
          <w:szCs w:val="32"/>
          <w:shd w:val="clear" w:fill="FFFFFF"/>
        </w:rPr>
        <w:t>（一）单位自评情况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default" w:ascii="Times New Roman" w:hAnsi="Times New Roman" w:eastAsia="方正仿宋_GBK" w:cs="Times New Roman"/>
          <w:kern w:val="0"/>
          <w:sz w:val="32"/>
          <w:szCs w:val="32"/>
          <w:shd w:val="clear" w:fill="FFFFFF"/>
          <w:lang w:eastAsia="zh-CN"/>
        </w:rPr>
      </w:pPr>
      <w:r>
        <w:rPr>
          <w:rFonts w:hint="default" w:ascii="Times New Roman" w:hAnsi="Times New Roman" w:eastAsia="方正仿宋_GBK" w:cs="Times New Roman"/>
          <w:kern w:val="0"/>
          <w:sz w:val="32"/>
          <w:szCs w:val="32"/>
          <w:shd w:val="clear" w:fill="FFFFFF"/>
        </w:rPr>
        <w:t>根据预算绩效管理要求，我部门对部门整体和</w:t>
      </w:r>
      <w:r>
        <w:rPr>
          <w:rFonts w:hint="default" w:ascii="Times New Roman" w:hAnsi="Times New Roman" w:eastAsia="方正仿宋_GBK" w:cs="Times New Roman"/>
          <w:kern w:val="0"/>
          <w:sz w:val="32"/>
          <w:szCs w:val="32"/>
          <w:shd w:val="clear" w:fill="FFFFFF"/>
          <w:lang w:val="en-US" w:eastAsia="zh-CN"/>
        </w:rPr>
        <w:t>19</w:t>
      </w:r>
      <w:r>
        <w:rPr>
          <w:rFonts w:hint="default" w:ascii="Times New Roman" w:hAnsi="Times New Roman" w:eastAsia="方正仿宋_GBK" w:cs="Times New Roman"/>
          <w:kern w:val="0"/>
          <w:sz w:val="32"/>
          <w:szCs w:val="32"/>
          <w:shd w:val="clear" w:fill="FFFFFF"/>
        </w:rPr>
        <w:t>个二级项目开展了绩效自评，涉及财政拨款项目支出资金</w:t>
      </w:r>
      <w:r>
        <w:rPr>
          <w:rFonts w:hint="default" w:ascii="Times New Roman" w:hAnsi="Times New Roman" w:eastAsia="方正仿宋_GBK" w:cs="Times New Roman"/>
          <w:kern w:val="0"/>
          <w:sz w:val="32"/>
          <w:szCs w:val="32"/>
          <w:shd w:val="clear" w:fill="FFFFFF"/>
          <w:lang w:val="en-US" w:eastAsia="zh-CN"/>
        </w:rPr>
        <w:t>572.8</w:t>
      </w:r>
      <w:r>
        <w:rPr>
          <w:rFonts w:hint="default" w:ascii="Times New Roman" w:hAnsi="Times New Roman" w:eastAsia="方正仿宋_GBK" w:cs="Times New Roman"/>
          <w:kern w:val="0"/>
          <w:sz w:val="32"/>
          <w:szCs w:val="32"/>
          <w:shd w:val="clear" w:fill="FFFFFF"/>
        </w:rPr>
        <w:t>万元</w:t>
      </w:r>
      <w:r>
        <w:rPr>
          <w:rFonts w:hint="default" w:ascii="Times New Roman" w:hAnsi="Times New Roman" w:eastAsia="方正仿宋_GBK" w:cs="Times New Roman"/>
          <w:kern w:val="0"/>
          <w:sz w:val="32"/>
          <w:szCs w:val="32"/>
          <w:shd w:val="clear" w:fill="FFFFFF"/>
          <w:lang w:eastAsia="zh-CN"/>
        </w:rPr>
        <w:t>。</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jc w:val="left"/>
        <w:textAlignment w:val="auto"/>
        <w:rPr>
          <w:rFonts w:hint="default" w:ascii="Times New Roman" w:hAnsi="Times New Roman" w:eastAsia="方正仿宋_GBK" w:cs="Times New Roman"/>
          <w:b/>
          <w:bCs/>
          <w:kern w:val="0"/>
          <w:sz w:val="32"/>
          <w:szCs w:val="32"/>
          <w:shd w:val="clear" w:fill="FFFFFF"/>
          <w:lang w:eastAsia="zh-CN"/>
        </w:rPr>
      </w:pPr>
      <w:r>
        <w:rPr>
          <w:rFonts w:hint="default" w:ascii="Times New Roman" w:hAnsi="Times New Roman" w:eastAsia="方正仿宋_GBK" w:cs="Times New Roman"/>
          <w:b/>
          <w:bCs/>
          <w:kern w:val="0"/>
          <w:sz w:val="32"/>
          <w:szCs w:val="32"/>
          <w:shd w:val="clear" w:fill="FFFFFF"/>
        </w:rPr>
        <w:t>部门整体绩效自评</w:t>
      </w:r>
      <w:r>
        <w:rPr>
          <w:rFonts w:hint="default" w:ascii="Times New Roman" w:hAnsi="Times New Roman" w:eastAsia="方正仿宋_GBK" w:cs="Times New Roman"/>
          <w:b/>
          <w:bCs/>
          <w:kern w:val="0"/>
          <w:sz w:val="32"/>
          <w:szCs w:val="32"/>
          <w:shd w:val="clear" w:fill="FFFFFF"/>
          <w:lang w:eastAsia="zh-CN"/>
        </w:rPr>
        <w:t>表</w:t>
      </w:r>
    </w:p>
    <w:tbl>
      <w:tblPr>
        <w:tblStyle w:val="6"/>
        <w:tblW w:w="6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57"/>
        <w:gridCol w:w="594"/>
        <w:gridCol w:w="594"/>
        <w:gridCol w:w="741"/>
        <w:gridCol w:w="591"/>
        <w:gridCol w:w="666"/>
        <w:gridCol w:w="741"/>
        <w:gridCol w:w="645"/>
        <w:gridCol w:w="516"/>
        <w:gridCol w:w="666"/>
        <w:gridCol w:w="6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694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微软雅黑" w:cs="Times New Roman"/>
                <w:b/>
                <w:bCs/>
                <w:i w:val="0"/>
                <w:iCs w:val="0"/>
                <w:color w:val="auto"/>
                <w:sz w:val="40"/>
                <w:szCs w:val="40"/>
                <w:highlight w:val="none"/>
                <w:u w:val="none"/>
              </w:rPr>
            </w:pPr>
            <w:r>
              <w:rPr>
                <w:rFonts w:hint="default" w:ascii="Times New Roman" w:hAnsi="Times New Roman" w:eastAsia="微软雅黑" w:cs="Times New Roman"/>
                <w:b/>
                <w:bCs/>
                <w:i w:val="0"/>
                <w:iCs w:val="0"/>
                <w:color w:val="auto"/>
                <w:kern w:val="0"/>
                <w:sz w:val="40"/>
                <w:szCs w:val="40"/>
                <w:highlight w:val="none"/>
                <w:u w:val="none"/>
                <w:lang w:val="en-US" w:eastAsia="zh-CN" w:bidi="ar"/>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2"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状态：已送审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巫溪县财政局整体监控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50023800024P000011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auto"/>
                <w:sz w:val="22"/>
                <w:szCs w:val="22"/>
                <w:highlight w:val="none"/>
                <w:u w:val="none"/>
              </w:rPr>
            </w:pP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011-巫溪县财政局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005-行财科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肖明枋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联系电话：</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13594701660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微软雅黑" w:cs="Times New Roman"/>
                <w:b/>
                <w:bCs/>
                <w:i w:val="0"/>
                <w:iCs w:val="0"/>
                <w:color w:val="auto"/>
                <w:sz w:val="28"/>
                <w:szCs w:val="28"/>
                <w:highlight w:val="none"/>
                <w:u w:val="none"/>
              </w:rPr>
            </w:pPr>
            <w:r>
              <w:rPr>
                <w:rFonts w:hint="default" w:ascii="Times New Roman" w:hAnsi="Times New Roman" w:eastAsia="微软雅黑" w:cs="Times New Roman"/>
                <w:b/>
                <w:bCs/>
                <w:i w:val="0"/>
                <w:iCs w:val="0"/>
                <w:color w:val="auto"/>
                <w:kern w:val="0"/>
                <w:sz w:val="28"/>
                <w:szCs w:val="28"/>
                <w:highlight w:val="none"/>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6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18,303,801.45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宋体" w:cs="Times New Roman"/>
                <w:i w:val="0"/>
                <w:iCs w:val="0"/>
                <w:color w:val="auto"/>
                <w:sz w:val="22"/>
                <w:szCs w:val="22"/>
                <w:highlight w:val="none"/>
                <w:u w:val="none"/>
              </w:rPr>
            </w:pPr>
          </w:p>
        </w:tc>
        <w:tc>
          <w:tcPr>
            <w:tcW w:w="55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18,955,982.51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18,955,982.51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2" w:hRule="atLeast"/>
        </w:trPr>
        <w:tc>
          <w:tcPr>
            <w:tcW w:w="196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18,303,801.45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宋体" w:cs="Times New Roman"/>
                <w:i w:val="0"/>
                <w:iCs w:val="0"/>
                <w:color w:val="auto"/>
                <w:sz w:val="22"/>
                <w:szCs w:val="22"/>
                <w:highlight w:val="none"/>
                <w:u w:val="none"/>
              </w:rPr>
            </w:pPr>
          </w:p>
        </w:tc>
        <w:tc>
          <w:tcPr>
            <w:tcW w:w="55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18,955,982.51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18,955,982.51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96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18,303,801.45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宋体" w:cs="Times New Roman"/>
                <w:i w:val="0"/>
                <w:iCs w:val="0"/>
                <w:color w:val="auto"/>
                <w:sz w:val="22"/>
                <w:szCs w:val="22"/>
                <w:highlight w:val="none"/>
                <w:u w:val="none"/>
              </w:rPr>
            </w:pPr>
          </w:p>
        </w:tc>
        <w:tc>
          <w:tcPr>
            <w:tcW w:w="55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18,955,982.51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18,955,982.51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微软雅黑" w:cs="Times New Roman"/>
                <w:b/>
                <w:bCs/>
                <w:i w:val="0"/>
                <w:iCs w:val="0"/>
                <w:color w:val="auto"/>
                <w:sz w:val="28"/>
                <w:szCs w:val="28"/>
                <w:highlight w:val="none"/>
                <w:u w:val="none"/>
              </w:rPr>
            </w:pPr>
            <w:r>
              <w:rPr>
                <w:rFonts w:hint="default" w:ascii="Times New Roman" w:hAnsi="Times New Roman" w:eastAsia="微软雅黑" w:cs="Times New Roman"/>
                <w:b/>
                <w:bCs/>
                <w:i w:val="0"/>
                <w:iCs w:val="0"/>
                <w:color w:val="auto"/>
                <w:kern w:val="0"/>
                <w:sz w:val="28"/>
                <w:szCs w:val="28"/>
                <w:highlight w:val="none"/>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7" w:hRule="atLeast"/>
        </w:trPr>
        <w:tc>
          <w:tcPr>
            <w:tcW w:w="345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贯彻执行财税、国有资产管理、金融管理、财务等有关法律、法规、规章、方针政策和管理制度。拟订和执行财政分配政策和财政管理制度，拟订全县财政发展中长期规划并组织实施，指导全县财政工作。负责全县财政收支的管理工作。负责依法编制县级年度预算和决算草案，组织执行县级年度财政预算。负责财政性资金的综合平衡。负责政府非税收入管理，负责政府性基金管理，按规定管理行政事业性收费。管理财政票据。执行彩票管理政策，按规定管理彩票资金。贯彻执行国库管理制度、国库集中收付制度，并制定具体管理办法，开展国库现金管理工作。</w:t>
            </w:r>
          </w:p>
        </w:tc>
        <w:tc>
          <w:tcPr>
            <w:tcW w:w="211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auto"/>
                <w:sz w:val="22"/>
                <w:szCs w:val="22"/>
                <w:highlight w:val="none"/>
                <w:u w:val="none"/>
              </w:rPr>
            </w:pP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贯彻执行财税、国有资产管理、金融管理、财务等有关法律、法规、规章、方针政策和管理制度。拟订和执行财政分配政策和财政管理制度，拟订全县财政发展中长期规划并组织实施，指导全县财政工作。负责全县财政收支的管理工作。负责依法编制县级年度预算和决算草案，组织执行县级年度财政预算。负责财政性资金的综合平衡。负责政府非税收入管理，负责政府性基金管理，按规定管理行政事业性收费。管理财政票据。执行彩票管理政策，按规定管理彩票资金。贯彻执行国库管理制度、国库集中收付制度，并制定具体管理办法，开展国库现金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微软雅黑" w:cs="Times New Roman"/>
                <w:b/>
                <w:bCs/>
                <w:i w:val="0"/>
                <w:iCs w:val="0"/>
                <w:color w:val="auto"/>
                <w:sz w:val="28"/>
                <w:szCs w:val="28"/>
                <w:highlight w:val="none"/>
                <w:u w:val="none"/>
              </w:rPr>
            </w:pPr>
            <w:r>
              <w:rPr>
                <w:rFonts w:hint="default" w:ascii="Times New Roman" w:hAnsi="Times New Roman" w:eastAsia="微软雅黑" w:cs="Times New Roman"/>
                <w:b/>
                <w:bCs/>
                <w:i w:val="0"/>
                <w:iCs w:val="0"/>
                <w:color w:val="auto"/>
                <w:kern w:val="0"/>
                <w:sz w:val="28"/>
                <w:szCs w:val="28"/>
                <w:highlight w:val="none"/>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科目调整次数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预算编制质量=|（执行数-预算数）/预算数|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发放及时率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“三公经费控制率”=（实际支出数/预算安排数）*100%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结余率=结余数/预算数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auto"/>
                <w:sz w:val="22"/>
                <w:szCs w:val="22"/>
                <w:highlight w:val="none"/>
                <w:u w:val="none"/>
              </w:rPr>
            </w:pPr>
          </w:p>
        </w:tc>
      </w:tr>
    </w:tbl>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default" w:ascii="Times New Roman" w:hAnsi="Times New Roman" w:eastAsia="方正仿宋_GBK" w:cs="Times New Roman"/>
          <w:b/>
          <w:bCs/>
          <w:kern w:val="0"/>
          <w:sz w:val="32"/>
          <w:szCs w:val="32"/>
          <w:shd w:val="clear" w:fill="FFFFFF"/>
        </w:rPr>
      </w:pPr>
      <w:r>
        <w:rPr>
          <w:rFonts w:hint="default" w:ascii="Times New Roman" w:hAnsi="Times New Roman" w:eastAsia="方正仿宋_GBK" w:cs="Times New Roman"/>
          <w:b/>
          <w:bCs/>
          <w:kern w:val="0"/>
          <w:sz w:val="32"/>
          <w:szCs w:val="32"/>
          <w:shd w:val="clear" w:fill="FFFFFF"/>
        </w:rPr>
        <w:t>项目支出绩效自评表</w:t>
      </w:r>
    </w:p>
    <w:tbl>
      <w:tblPr>
        <w:tblStyle w:val="6"/>
        <w:tblW w:w="6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0"/>
        <w:gridCol w:w="1207"/>
        <w:gridCol w:w="1207"/>
        <w:gridCol w:w="745"/>
        <w:gridCol w:w="594"/>
        <w:gridCol w:w="669"/>
        <w:gridCol w:w="745"/>
        <w:gridCol w:w="554"/>
        <w:gridCol w:w="518"/>
        <w:gridCol w:w="669"/>
        <w:gridCol w:w="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90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微软雅黑" w:cs="Times New Roman"/>
                <w:b/>
                <w:bCs/>
                <w:i w:val="0"/>
                <w:iCs w:val="0"/>
                <w:color w:val="auto"/>
                <w:sz w:val="40"/>
                <w:szCs w:val="40"/>
                <w:highlight w:val="none"/>
                <w:u w:val="none"/>
              </w:rPr>
            </w:pPr>
            <w:r>
              <w:rPr>
                <w:rFonts w:hint="default" w:ascii="Times New Roman" w:hAnsi="Times New Roman" w:eastAsia="微软雅黑" w:cs="Times New Roman"/>
                <w:b/>
                <w:bCs/>
                <w:i w:val="0"/>
                <w:iCs w:val="0"/>
                <w:color w:val="auto"/>
                <w:kern w:val="0"/>
                <w:sz w:val="40"/>
                <w:szCs w:val="40"/>
                <w:highlight w:val="none"/>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状态：部门审核已审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2024年全县政府采购云平台、网上超市一体化系统运维管理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50023824T000004212230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auto"/>
                <w:sz w:val="22"/>
                <w:szCs w:val="22"/>
                <w:highlight w:val="none"/>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011-巫溪县财政局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005-行财科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肖明枋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联系电话：</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13594701660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微软雅黑" w:cs="Times New Roman"/>
                <w:b/>
                <w:bCs/>
                <w:i w:val="0"/>
                <w:iCs w:val="0"/>
                <w:color w:val="auto"/>
                <w:sz w:val="28"/>
                <w:szCs w:val="28"/>
                <w:highlight w:val="none"/>
                <w:u w:val="none"/>
              </w:rPr>
            </w:pPr>
            <w:r>
              <w:rPr>
                <w:rFonts w:hint="default" w:ascii="Times New Roman" w:hAnsi="Times New Roman" w:eastAsia="微软雅黑" w:cs="Times New Roman"/>
                <w:b/>
                <w:bCs/>
                <w:i w:val="0"/>
                <w:iCs w:val="0"/>
                <w:color w:val="auto"/>
                <w:kern w:val="0"/>
                <w:sz w:val="28"/>
                <w:szCs w:val="28"/>
                <w:highlight w:val="none"/>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76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宋体" w:cs="Times New Roman"/>
                <w:i w:val="0"/>
                <w:iCs w:val="0"/>
                <w:color w:val="auto"/>
                <w:sz w:val="22"/>
                <w:szCs w:val="22"/>
                <w:highlight w:val="none"/>
                <w:u w:val="none"/>
              </w:rPr>
            </w:pPr>
          </w:p>
        </w:tc>
        <w:tc>
          <w:tcPr>
            <w:tcW w:w="49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450,000.00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76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宋体" w:cs="Times New Roman"/>
                <w:i w:val="0"/>
                <w:iCs w:val="0"/>
                <w:color w:val="auto"/>
                <w:sz w:val="22"/>
                <w:szCs w:val="22"/>
                <w:highlight w:val="none"/>
                <w:u w:val="none"/>
              </w:rPr>
            </w:pPr>
          </w:p>
        </w:tc>
        <w:tc>
          <w:tcPr>
            <w:tcW w:w="49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450,000.00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76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宋体" w:cs="Times New Roman"/>
                <w:i w:val="0"/>
                <w:iCs w:val="0"/>
                <w:color w:val="auto"/>
                <w:sz w:val="22"/>
                <w:szCs w:val="22"/>
                <w:highlight w:val="none"/>
                <w:u w:val="none"/>
              </w:rPr>
            </w:pPr>
          </w:p>
        </w:tc>
        <w:tc>
          <w:tcPr>
            <w:tcW w:w="49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450,000.00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450,000.00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微软雅黑" w:cs="Times New Roman"/>
                <w:b/>
                <w:bCs/>
                <w:i w:val="0"/>
                <w:iCs w:val="0"/>
                <w:color w:val="auto"/>
                <w:sz w:val="28"/>
                <w:szCs w:val="28"/>
                <w:highlight w:val="none"/>
                <w:u w:val="none"/>
              </w:rPr>
            </w:pPr>
            <w:r>
              <w:rPr>
                <w:rFonts w:hint="default" w:ascii="Times New Roman" w:hAnsi="Times New Roman" w:eastAsia="微软雅黑" w:cs="Times New Roman"/>
                <w:b/>
                <w:bCs/>
                <w:i w:val="0"/>
                <w:iCs w:val="0"/>
                <w:color w:val="auto"/>
                <w:kern w:val="0"/>
                <w:sz w:val="28"/>
                <w:szCs w:val="28"/>
                <w:highlight w:val="none"/>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6" w:hRule="atLeast"/>
        </w:trPr>
        <w:tc>
          <w:tcPr>
            <w:tcW w:w="351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用于财政局日常运转和系统运维等相关项目，保障全县财政管理工作正常有序推进。</w:t>
            </w:r>
          </w:p>
        </w:tc>
        <w:tc>
          <w:tcPr>
            <w:tcW w:w="197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auto"/>
                <w:sz w:val="22"/>
                <w:szCs w:val="22"/>
                <w:highlight w:val="none"/>
                <w:u w:val="none"/>
              </w:rPr>
            </w:pPr>
          </w:p>
        </w:tc>
        <w:tc>
          <w:tcPr>
            <w:tcW w:w="140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用于财政局日常运转和系统运维等相关项目，保障全县财政管理工作正常有序推进。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微软雅黑" w:cs="Times New Roman"/>
                <w:b/>
                <w:bCs/>
                <w:i w:val="0"/>
                <w:iCs w:val="0"/>
                <w:color w:val="auto"/>
                <w:sz w:val="28"/>
                <w:szCs w:val="28"/>
                <w:highlight w:val="none"/>
                <w:u w:val="none"/>
              </w:rPr>
            </w:pPr>
            <w:r>
              <w:rPr>
                <w:rFonts w:hint="default" w:ascii="Times New Roman" w:hAnsi="Times New Roman" w:eastAsia="微软雅黑" w:cs="Times New Roman"/>
                <w:b/>
                <w:bCs/>
                <w:i w:val="0"/>
                <w:iCs w:val="0"/>
                <w:color w:val="auto"/>
                <w:kern w:val="0"/>
                <w:sz w:val="28"/>
                <w:szCs w:val="28"/>
                <w:highlight w:val="none"/>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系统故障率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业务系统正常使用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使用人员满意度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auto"/>
                <w:sz w:val="22"/>
                <w:szCs w:val="22"/>
                <w:highlight w:val="none"/>
                <w:u w:val="none"/>
              </w:rPr>
            </w:pPr>
          </w:p>
        </w:tc>
      </w:tr>
    </w:tbl>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2" w:firstLineChars="200"/>
        <w:jc w:val="left"/>
        <w:textAlignment w:val="auto"/>
        <w:rPr>
          <w:rFonts w:hint="default" w:ascii="Times New Roman" w:hAnsi="Times New Roman" w:eastAsia="楷体" w:cs="Times New Roman"/>
          <w:b/>
          <w:bCs/>
          <w:kern w:val="0"/>
          <w:sz w:val="32"/>
          <w:szCs w:val="32"/>
          <w:shd w:val="clear" w:fill="FFFFFF"/>
        </w:rPr>
      </w:pPr>
      <w:r>
        <w:rPr>
          <w:rFonts w:hint="default" w:ascii="Times New Roman" w:hAnsi="Times New Roman" w:eastAsia="楷体" w:cs="Times New Roman"/>
          <w:b/>
          <w:bCs/>
          <w:kern w:val="0"/>
          <w:sz w:val="32"/>
          <w:szCs w:val="32"/>
          <w:shd w:val="clear" w:fill="FFFFFF"/>
        </w:rPr>
        <w:t>（二）部门绩效评价情况</w:t>
      </w:r>
    </w:p>
    <w:p>
      <w:pPr>
        <w:pStyle w:val="5"/>
        <w:keepNext w:val="0"/>
        <w:keepLines w:val="0"/>
        <w:pageBreakBefore w:val="0"/>
        <w:widowControl/>
        <w:suppressLineNumbers w:val="0"/>
        <w:kinsoku/>
        <w:wordWrap/>
        <w:overflowPunct/>
        <w:topLinePunct w:val="0"/>
        <w:autoSpaceDN/>
        <w:bidi w:val="0"/>
        <w:adjustRightInd/>
        <w:snapToGrid/>
        <w:spacing w:before="0" w:beforeAutospacing="0" w:after="0" w:afterAutospacing="0" w:line="578" w:lineRule="exact"/>
        <w:ind w:left="0" w:firstLine="640" w:firstLineChars="200"/>
        <w:jc w:val="left"/>
        <w:textAlignment w:val="auto"/>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rPr>
        <w:t>我</w:t>
      </w:r>
      <w:r>
        <w:rPr>
          <w:rFonts w:hint="default" w:ascii="Times New Roman" w:hAnsi="Times New Roman" w:eastAsia="方正仿宋_GBK" w:cs="Times New Roman"/>
          <w:color w:val="auto"/>
          <w:sz w:val="32"/>
          <w:szCs w:val="32"/>
          <w:highlight w:val="none"/>
          <w:shd w:val="clear" w:color="auto" w:fill="FFFFFF"/>
          <w:lang w:val="en-US" w:eastAsia="zh-CN"/>
        </w:rPr>
        <w:t>部门</w:t>
      </w:r>
      <w:r>
        <w:rPr>
          <w:rFonts w:hint="default" w:ascii="Times New Roman" w:hAnsi="Times New Roman" w:eastAsia="方正仿宋_GBK" w:cs="Times New Roman"/>
          <w:color w:val="auto"/>
          <w:sz w:val="32"/>
          <w:szCs w:val="32"/>
          <w:highlight w:val="none"/>
          <w:shd w:val="clear" w:color="auto" w:fill="FFFFFF"/>
        </w:rPr>
        <w:t>未组织开展绩效评价</w:t>
      </w:r>
      <w:r>
        <w:rPr>
          <w:rFonts w:hint="default" w:ascii="Times New Roman" w:hAnsi="Times New Roman" w:eastAsia="方正仿宋_GBK" w:cs="Times New Roman"/>
          <w:color w:val="auto"/>
          <w:sz w:val="32"/>
          <w:szCs w:val="32"/>
          <w:highlight w:val="none"/>
          <w:shd w:val="clear" w:color="auto" w:fill="FFFFFF"/>
          <w:lang w:eastAsia="zh-CN"/>
        </w:rPr>
        <w:t>。</w:t>
      </w:r>
    </w:p>
    <w:p>
      <w:pPr>
        <w:pStyle w:val="12"/>
        <w:keepNext w:val="0"/>
        <w:keepLines w:val="0"/>
        <w:pageBreakBefore w:val="0"/>
        <w:widowControl/>
        <w:kinsoku/>
        <w:wordWrap/>
        <w:overflowPunct/>
        <w:topLinePunct w:val="0"/>
        <w:autoSpaceDE w:val="0"/>
        <w:autoSpaceDN/>
        <w:bidi w:val="0"/>
        <w:adjustRightInd/>
        <w:snapToGrid/>
        <w:spacing w:after="0" w:afterAutospacing="0" w:line="578" w:lineRule="exact"/>
        <w:ind w:left="0" w:firstLine="642"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楷体" w:cs="Times New Roman"/>
          <w:b/>
          <w:bCs/>
          <w:kern w:val="0"/>
          <w:sz w:val="32"/>
          <w:szCs w:val="32"/>
          <w:shd w:val="clear" w:fill="FFFFFF"/>
          <w:lang w:val="en-US" w:eastAsia="zh-CN" w:bidi="ar"/>
        </w:rPr>
        <w:t>（三）财政绩效评价情况</w:t>
      </w:r>
    </w:p>
    <w:p>
      <w:pPr>
        <w:pStyle w:val="5"/>
        <w:keepNext w:val="0"/>
        <w:keepLines w:val="0"/>
        <w:pageBreakBefore w:val="0"/>
        <w:widowControl/>
        <w:suppressLineNumbers w:val="0"/>
        <w:kinsoku/>
        <w:wordWrap/>
        <w:overflowPunct/>
        <w:topLinePunct w:val="0"/>
        <w:autoSpaceDN/>
        <w:bidi w:val="0"/>
        <w:adjustRightInd/>
        <w:snapToGrid/>
        <w:spacing w:before="0" w:beforeAutospacing="0" w:after="0" w:afterAutospacing="0" w:line="578" w:lineRule="exact"/>
        <w:ind w:left="0" w:firstLine="640" w:firstLineChars="200"/>
        <w:jc w:val="left"/>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lang w:val="en-US" w:eastAsia="zh-CN"/>
        </w:rPr>
        <w:t>县</w:t>
      </w:r>
      <w:r>
        <w:rPr>
          <w:rFonts w:hint="default" w:ascii="Times New Roman" w:hAnsi="Times New Roman" w:eastAsia="方正仿宋_GBK" w:cs="Times New Roman"/>
          <w:color w:val="auto"/>
          <w:sz w:val="32"/>
          <w:szCs w:val="32"/>
          <w:highlight w:val="none"/>
          <w:shd w:val="clear" w:color="auto" w:fill="FFFFFF"/>
        </w:rPr>
        <w:t>财政局未委托第三方对我</w:t>
      </w:r>
      <w:r>
        <w:rPr>
          <w:rFonts w:hint="default" w:ascii="Times New Roman" w:hAnsi="Times New Roman" w:eastAsia="方正仿宋_GBK" w:cs="Times New Roman"/>
          <w:color w:val="auto"/>
          <w:sz w:val="32"/>
          <w:szCs w:val="32"/>
          <w:highlight w:val="none"/>
          <w:shd w:val="clear" w:color="auto" w:fill="FFFFFF"/>
          <w:lang w:val="en-US" w:eastAsia="zh-CN"/>
        </w:rPr>
        <w:t>部门</w:t>
      </w:r>
      <w:r>
        <w:rPr>
          <w:rFonts w:hint="default" w:ascii="Times New Roman" w:hAnsi="Times New Roman" w:eastAsia="方正仿宋_GBK" w:cs="Times New Roman"/>
          <w:color w:val="auto"/>
          <w:sz w:val="32"/>
          <w:szCs w:val="32"/>
          <w:highlight w:val="none"/>
          <w:shd w:val="clear" w:color="auto" w:fill="FFFFFF"/>
        </w:rPr>
        <w:t>开展绩效评价。</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ind w:firstLine="642" w:firstLineChars="2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仿宋_GBK" w:cs="Times New Roman"/>
          <w:b/>
          <w:bCs/>
          <w:sz w:val="32"/>
          <w:szCs w:val="32"/>
          <w:shd w:val="clear" w:fill="FFFFFF"/>
        </w:rPr>
        <w:t xml:space="preserve"> </w:t>
      </w:r>
      <w:r>
        <w:rPr>
          <w:rStyle w:val="11"/>
          <w:rFonts w:hint="default" w:ascii="Times New Roman" w:hAnsi="Times New Roman" w:eastAsia="方正仿宋_GBK" w:cs="Times New Roman"/>
          <w:b/>
          <w:bCs/>
          <w:sz w:val="32"/>
          <w:szCs w:val="32"/>
          <w:shd w:val="clear" w:fill="FFFFFF"/>
          <w:lang w:val="en-US" w:eastAsia="zh-CN"/>
        </w:rPr>
        <w:t xml:space="preserve">  </w:t>
      </w:r>
      <w:r>
        <w:rPr>
          <w:rStyle w:val="8"/>
          <w:rFonts w:hint="default" w:ascii="Times New Roman" w:hAnsi="Times New Roman" w:eastAsia="黑体" w:cs="Times New Roman"/>
          <w:sz w:val="32"/>
          <w:szCs w:val="32"/>
          <w:shd w:val="clear" w:color="auto" w:fill="FFFFFF"/>
          <w:lang w:val="en-US" w:eastAsia="zh-CN" w:bidi="ar-SA"/>
        </w:rPr>
        <w:t xml:space="preserve"> </w:t>
      </w:r>
      <w:r>
        <w:rPr>
          <w:rStyle w:val="8"/>
          <w:rFonts w:hint="default" w:ascii="Times New Roman" w:hAnsi="Times New Roman" w:eastAsia="方正黑体_GBK" w:cs="Times New Roman"/>
          <w:sz w:val="32"/>
          <w:szCs w:val="32"/>
          <w:shd w:val="clear" w:color="auto" w:fill="FFFFFF"/>
          <w:lang w:val="en-US" w:eastAsia="zh-CN" w:bidi="ar-SA"/>
        </w:rPr>
        <w:t>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2"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黑体_GBK" w:cs="Times New Roman"/>
          <w:sz w:val="32"/>
          <w:szCs w:val="32"/>
          <w:shd w:val="clear" w:color="auto" w:fill="FFFFFF"/>
          <w:lang w:val="en-US" w:eastAsia="zh-CN" w:bidi="ar-SA"/>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本单位决算公开信息反馈和联系方式：</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shd w:val="clear" w:fill="FFFFFF"/>
        </w:rPr>
        <w:t xml:space="preserve"> 023-</w:t>
      </w:r>
      <w:r>
        <w:rPr>
          <w:rFonts w:hint="default" w:ascii="Times New Roman" w:hAnsi="Times New Roman" w:eastAsia="方正仿宋_GBK" w:cs="Times New Roman"/>
          <w:color w:val="auto"/>
          <w:kern w:val="0"/>
          <w:sz w:val="32"/>
          <w:szCs w:val="32"/>
          <w:shd w:val="clear" w:fill="FFFFFF"/>
          <w:lang w:val="en-US" w:eastAsia="zh-CN"/>
        </w:rPr>
        <w:t>51522281</w:t>
      </w:r>
    </w:p>
    <w:p>
      <w:pPr>
        <w:pStyle w:val="9"/>
        <w:keepNext w:val="0"/>
        <w:keepLines w:val="0"/>
        <w:pageBreakBefore w:val="0"/>
        <w:widowControl/>
        <w:kinsoku/>
        <w:wordWrap/>
        <w:overflowPunct/>
        <w:topLinePunct w:val="0"/>
        <w:autoSpaceDE w:val="0"/>
        <w:autoSpaceDN/>
        <w:bidi w:val="0"/>
        <w:adjustRightInd/>
        <w:snapToGrid/>
        <w:spacing w:line="578" w:lineRule="exact"/>
        <w:ind w:firstLine="640"/>
        <w:jc w:val="both"/>
        <w:textAlignment w:val="auto"/>
        <w:rPr>
          <w:rStyle w:val="8"/>
          <w:rFonts w:hint="default" w:ascii="Times New Roman" w:hAnsi="Times New Roman" w:eastAsia="方正仿宋_GBK" w:cs="Times New Roman"/>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w:t>
            </w:r>
            <w:r>
              <w:rPr>
                <w:rFonts w:hint="default" w:ascii="Times New Roman" w:hAnsi="Times New Roman" w:cs="Times New Roman"/>
                <w:sz w:val="20"/>
                <w:u w:color="auto"/>
              </w:rPr>
              <w:t>巫溪县财政局</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1,895.60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1,497.57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242.84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66.45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88.74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1,895.60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1,895.60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1,895.60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r>
              <w:rPr>
                <w:rFonts w:hint="default" w:ascii="Times New Roman" w:hAnsi="Times New Roman" w:cs="Times New Roman"/>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1,895.60</w:t>
            </w:r>
          </w:p>
        </w:tc>
      </w:tr>
    </w:tbl>
    <w:p>
      <w:pPr>
        <w:pStyle w:val="9"/>
        <w:numPr>
          <w:ilvl w:val="0"/>
          <w:numId w:val="0"/>
        </w:numPr>
        <w:autoSpaceDE w:val="0"/>
        <w:rPr>
          <w:rFonts w:hint="default" w:ascii="Times New Roman" w:hAnsi="Times New Roman" w:eastAsia="宋体" w:cs="Times New Roman"/>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default" w:ascii="Times New Roman" w:hAnsi="Times New Roman" w:eastAsia="宋体" w:cs="Times New Roman"/>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1"/>
                <w:szCs w:val="21"/>
                <w:lang w:eastAsia="zh-CN"/>
              </w:rPr>
              <w:t>部门</w:t>
            </w:r>
            <w:r>
              <w:rPr>
                <w:rFonts w:hint="default" w:ascii="Times New Roman" w:hAnsi="Times New Roman" w:cs="Times New Roman"/>
                <w:sz w:val="20"/>
                <w:szCs w:val="20"/>
              </w:rPr>
              <w:t>：</w:t>
            </w:r>
            <w:r>
              <w:rPr>
                <w:rFonts w:hint="default" w:ascii="Times New Roman" w:hAnsi="Times New Roman" w:cs="Times New Roman"/>
                <w:sz w:val="20"/>
                <w:u w:color="auto"/>
              </w:rPr>
              <w:t>巫溪县财政局</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1,895.60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1,895.60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1,497.57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1,497.57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财政事务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1,497.57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1,497.57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2010601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830.71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830.71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2010604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预算改革业务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2010605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财政国库业务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2010606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财政监察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2010607</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信息化建设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167.80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167.80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2010608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财政委托业务支出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2010650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2010699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其他财政事务支出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242.84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242.84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242.84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242.84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108.48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108.48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88.74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88.74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88.74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88.74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巫溪县财政局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1,895.60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1,281.71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613.89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1,497.57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883.68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613.89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财政事务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1,497.57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883.68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613.89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2010601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830.71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830.71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2010604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预算改革业务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2010605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财政国库业务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2010606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财政监察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2010607</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信息化建设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167.80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167.80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2010608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财政委托业务支出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2010650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2010699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其他财政事务支出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242.84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242.84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242.84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242.84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108.48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108.48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88.74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88.74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88.74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88.74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巫溪县财政局</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1,895.60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1,497.57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1,497.57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242.84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242.84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66.45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66.45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88.74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88.74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1,895.60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1,895.60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1,895.60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1,895.60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1,895.60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1,895.60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巫溪县财政局</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1,895.60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1,281.71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613.89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1,895.60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1,281.71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613.89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1,497.57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883.68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613.89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1,497.57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883.68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613.89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财政事务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1,497.57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883.68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613.89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1,497.57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883.68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613.89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2010601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830.71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830.71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830.71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830.71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2010604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预算改革业务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217.00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217.00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217.00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217.00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2010605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财政国库业务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2010606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财政监察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2010607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信息化建设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167.80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167.80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167.80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167.80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2010608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财政委托业务支出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2010650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52.97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52.97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52.97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52.97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2010699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其他财政事务支出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59.09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59.09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59.09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59.09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242.84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242.84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242.84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242.84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242.84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242.84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242.84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242.84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74.43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74.43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74.43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74.43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108.48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108.48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108.48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108.48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57.57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57.57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57.57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57.57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66.45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66.45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66.45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66.45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66.45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66.45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66.45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66.45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63.59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63.59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63.59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63.59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88.74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88.74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88.74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88.74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88.74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88.74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88.74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88.74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88.74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88.74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88.74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88.74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巫溪县财政局</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1,030.32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174.60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243.82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24.68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192.77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10.44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240.74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23.81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111.77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22.42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57.81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66.80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21.28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89.77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0.89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76.79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75.38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6.23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11.76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45.90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8.76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1,107.11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174.60 </w:t>
            </w:r>
          </w:p>
        </w:tc>
      </w:tr>
    </w:tbl>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巫溪县财政局</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r>
              <w:rPr>
                <w:rFonts w:hint="default" w:ascii="Times New Roman" w:hAnsi="Times New Roman" w:cs="Times New Roman"/>
                <w:i w:val="0"/>
                <w:iCs w:val="0"/>
                <w:color w:val="000000"/>
                <w:kern w:val="0"/>
                <w:sz w:val="20"/>
                <w:szCs w:val="20"/>
                <w:u w:val="none"/>
                <w:lang w:val="en-US" w:eastAsia="zh-CN" w:bidi="ar"/>
              </w:rPr>
              <w:t>7</w:t>
            </w:r>
            <w:r>
              <w:rPr>
                <w:rFonts w:hint="default" w:ascii="Times New Roman" w:hAnsi="Times New Roman" w:eastAsia="宋体" w:cs="Times New Roman"/>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default" w:ascii="Times New Roman" w:hAnsi="Times New Roman" w:eastAsia="宋体" w:cs="Times New Roman"/>
          <w:sz w:val="21"/>
          <w:szCs w:val="21"/>
          <w:lang w:val="en-US" w:eastAsia="zh-CN"/>
        </w:rPr>
      </w:pPr>
      <w:r>
        <w:rPr>
          <w:rFonts w:hint="default" w:ascii="Times New Roman" w:hAnsi="Times New Roman" w:eastAsia="方正仿宋_GBK" w:cs="Times New Roman"/>
          <w:sz w:val="22"/>
          <w:szCs w:val="22"/>
          <w:lang w:eastAsia="zh-CN"/>
        </w:rPr>
        <w:t>（</w:t>
      </w:r>
      <w:r>
        <w:rPr>
          <w:rFonts w:hint="default" w:ascii="Times New Roman" w:hAnsi="Times New Roman" w:eastAsia="方正仿宋_GBK" w:cs="Times New Roman"/>
          <w:sz w:val="22"/>
          <w:szCs w:val="22"/>
          <w:lang w:val="en-US" w:eastAsia="zh-CN"/>
        </w:rPr>
        <w:t>注：</w:t>
      </w:r>
      <w:r>
        <w:rPr>
          <w:rFonts w:hint="default" w:ascii="Times New Roman" w:hAnsi="Times New Roman" w:eastAsia="方正仿宋_GBK" w:cs="Times New Roman"/>
          <w:sz w:val="22"/>
          <w:szCs w:val="22"/>
        </w:rPr>
        <w:t>本年无政府性基金预算财政拨款收支，故本表无数据</w:t>
      </w:r>
      <w:r>
        <w:rPr>
          <w:rFonts w:hint="default" w:ascii="Times New Roman" w:hAnsi="Times New Roman" w:eastAsia="方正仿宋_GBK" w:cs="Times New Roman"/>
          <w:sz w:val="22"/>
          <w:szCs w:val="22"/>
          <w:lang w:eastAsia="zh-CN"/>
        </w:rPr>
        <w:t>）</w:t>
      </w:r>
      <w:r>
        <w:rPr>
          <w:rFonts w:hint="default" w:ascii="Times New Roman" w:hAnsi="Times New Roman" w:eastAsia="宋体" w:cs="Times New Roman"/>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巫溪县财政局</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default" w:ascii="Times New Roman" w:hAnsi="Times New Roman" w:eastAsia="宋体" w:cs="Times New Roman"/>
          <w:sz w:val="21"/>
          <w:szCs w:val="21"/>
        </w:rPr>
      </w:pPr>
      <w:r>
        <w:rPr>
          <w:rFonts w:hint="default" w:ascii="Times New Roman" w:hAnsi="Times New Roman" w:eastAsia="方正仿宋_GBK" w:cs="Times New Roman"/>
          <w:color w:val="auto"/>
          <w:sz w:val="22"/>
          <w:szCs w:val="22"/>
          <w:lang w:eastAsia="zh-CN"/>
        </w:rPr>
        <w:t>（</w:t>
      </w:r>
      <w:r>
        <w:rPr>
          <w:rFonts w:hint="default" w:ascii="Times New Roman" w:hAnsi="Times New Roman" w:eastAsia="方正仿宋_GBK" w:cs="Times New Roman"/>
          <w:color w:val="auto"/>
          <w:sz w:val="22"/>
          <w:szCs w:val="22"/>
          <w:lang w:val="en-US" w:eastAsia="zh-CN"/>
        </w:rPr>
        <w:t>注：</w:t>
      </w:r>
      <w:r>
        <w:rPr>
          <w:rFonts w:hint="default" w:ascii="Times New Roman" w:hAnsi="Times New Roman" w:eastAsia="方正仿宋_GBK" w:cs="Times New Roman"/>
          <w:color w:val="auto"/>
          <w:sz w:val="22"/>
          <w:szCs w:val="22"/>
        </w:rPr>
        <w:t>本年无国有资本经营预算财政拨款收支，故本表无数据</w:t>
      </w:r>
      <w:r>
        <w:rPr>
          <w:rFonts w:hint="default" w:ascii="Times New Roman" w:hAnsi="Times New Roman" w:eastAsia="方正仿宋_GBK" w:cs="Times New Roman"/>
          <w:color w:val="auto"/>
          <w:sz w:val="22"/>
          <w:szCs w:val="22"/>
          <w:lang w:eastAsia="zh-CN"/>
        </w:rPr>
        <w:t>）</w:t>
      </w:r>
      <w:r>
        <w:rPr>
          <w:rFonts w:hint="default" w:ascii="Times New Roman" w:hAnsi="Times New Roman" w:eastAsia="宋体" w:cs="Times New Roman"/>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44"/>
                <w:szCs w:val="44"/>
                <w:u w:val="none"/>
              </w:rPr>
            </w:pPr>
            <w:r>
              <w:rPr>
                <w:rFonts w:hint="default" w:ascii="Times New Roman" w:hAnsi="Times New Roman" w:eastAsia="宋体" w:cs="Times New Roman"/>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巫溪县财政局</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168.16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12.36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136.69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5.36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5.36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86</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428</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8.66</w:t>
            </w: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1.40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i w:val="0"/>
                <w:color w:val="000000"/>
                <w:kern w:val="2"/>
                <w:sz w:val="22"/>
                <w:szCs w:val="22"/>
                <w:u w:val="none"/>
                <w:lang w:val="en-US" w:eastAsia="zh-CN" w:bidi="ar-SA"/>
              </w:rPr>
            </w:pPr>
            <w:r>
              <w:rPr>
                <w:rFonts w:hint="default" w:ascii="Times New Roman" w:hAnsi="Times New Roman" w:eastAsia="宋体" w:cs="Times New Roman"/>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21.28</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bl>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pStyle w:val="9"/>
        <w:autoSpaceDE w:val="0"/>
        <w:ind w:firstLine="0" w:firstLineChars="0"/>
        <w:rPr>
          <w:rFonts w:hint="default" w:ascii="Times New Roman" w:hAnsi="Times New Roman" w:eastAsia="宋体" w:cs="Times New Roman"/>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Go9fOA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HS0rj5U3QNMoWVhq3eWxzRRKm9XxwBpk+JRoE4VdCoeMIepZ/3OxEH/&#10;85yiHv8n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74EBF"/>
    <w:rsid w:val="018207C5"/>
    <w:rsid w:val="01F3521E"/>
    <w:rsid w:val="033E5A16"/>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CA0133"/>
    <w:rsid w:val="08DB07BA"/>
    <w:rsid w:val="098305D0"/>
    <w:rsid w:val="09B72B6E"/>
    <w:rsid w:val="0A0C7F04"/>
    <w:rsid w:val="0A227275"/>
    <w:rsid w:val="0A5C4B69"/>
    <w:rsid w:val="0B9335CE"/>
    <w:rsid w:val="0BA10C97"/>
    <w:rsid w:val="0BF13075"/>
    <w:rsid w:val="0C554661"/>
    <w:rsid w:val="0C7927C4"/>
    <w:rsid w:val="0C9B098C"/>
    <w:rsid w:val="0CE80A8F"/>
    <w:rsid w:val="0D472B48"/>
    <w:rsid w:val="0D673E11"/>
    <w:rsid w:val="0DB50EFE"/>
    <w:rsid w:val="0DDA54E4"/>
    <w:rsid w:val="0E3A5F83"/>
    <w:rsid w:val="0E656028"/>
    <w:rsid w:val="0E9478E1"/>
    <w:rsid w:val="0F836721"/>
    <w:rsid w:val="103645A3"/>
    <w:rsid w:val="107B59E5"/>
    <w:rsid w:val="10A35685"/>
    <w:rsid w:val="10AA219D"/>
    <w:rsid w:val="11003CB0"/>
    <w:rsid w:val="11124E18"/>
    <w:rsid w:val="111445C7"/>
    <w:rsid w:val="1158083A"/>
    <w:rsid w:val="117C63FE"/>
    <w:rsid w:val="11F03528"/>
    <w:rsid w:val="12C921C4"/>
    <w:rsid w:val="12DA353E"/>
    <w:rsid w:val="13850DCB"/>
    <w:rsid w:val="13871C70"/>
    <w:rsid w:val="13A71CB4"/>
    <w:rsid w:val="13AF1D43"/>
    <w:rsid w:val="13CE1647"/>
    <w:rsid w:val="14200702"/>
    <w:rsid w:val="144F3F11"/>
    <w:rsid w:val="145E47CC"/>
    <w:rsid w:val="1580711B"/>
    <w:rsid w:val="16D80EBF"/>
    <w:rsid w:val="189B0D0B"/>
    <w:rsid w:val="18E03A42"/>
    <w:rsid w:val="19313430"/>
    <w:rsid w:val="194A1770"/>
    <w:rsid w:val="19B906A4"/>
    <w:rsid w:val="19BC4734"/>
    <w:rsid w:val="1A1F744B"/>
    <w:rsid w:val="1AB10093"/>
    <w:rsid w:val="1B501DE7"/>
    <w:rsid w:val="1B6C00C4"/>
    <w:rsid w:val="1B6F15B6"/>
    <w:rsid w:val="1BAA2EDC"/>
    <w:rsid w:val="1BEA548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2BD7457"/>
    <w:rsid w:val="24B92327"/>
    <w:rsid w:val="2533755C"/>
    <w:rsid w:val="26396DF4"/>
    <w:rsid w:val="265E685B"/>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D8332EB"/>
    <w:rsid w:val="2DF041D2"/>
    <w:rsid w:val="2FE029D7"/>
    <w:rsid w:val="2FF06E00"/>
    <w:rsid w:val="315F0B22"/>
    <w:rsid w:val="31BE24D6"/>
    <w:rsid w:val="31D84415"/>
    <w:rsid w:val="320B4127"/>
    <w:rsid w:val="32285F6F"/>
    <w:rsid w:val="32770556"/>
    <w:rsid w:val="329C0913"/>
    <w:rsid w:val="3337290D"/>
    <w:rsid w:val="352930DB"/>
    <w:rsid w:val="35573069"/>
    <w:rsid w:val="358C217E"/>
    <w:rsid w:val="359E7284"/>
    <w:rsid w:val="359F188C"/>
    <w:rsid w:val="36C9128A"/>
    <w:rsid w:val="37841E99"/>
    <w:rsid w:val="379C594F"/>
    <w:rsid w:val="37BF1123"/>
    <w:rsid w:val="37C85E36"/>
    <w:rsid w:val="3836588A"/>
    <w:rsid w:val="38BE4696"/>
    <w:rsid w:val="39B82A39"/>
    <w:rsid w:val="39F33306"/>
    <w:rsid w:val="3B1705E5"/>
    <w:rsid w:val="3B18334B"/>
    <w:rsid w:val="3B36794F"/>
    <w:rsid w:val="3B544954"/>
    <w:rsid w:val="3B793FF0"/>
    <w:rsid w:val="3B97076E"/>
    <w:rsid w:val="3C5A5928"/>
    <w:rsid w:val="3C6A5B02"/>
    <w:rsid w:val="3CF4361D"/>
    <w:rsid w:val="3D2757A1"/>
    <w:rsid w:val="3D3D4FC4"/>
    <w:rsid w:val="3DDF3AB1"/>
    <w:rsid w:val="3DE60B7E"/>
    <w:rsid w:val="3E1D0952"/>
    <w:rsid w:val="3E42660A"/>
    <w:rsid w:val="3E667CEF"/>
    <w:rsid w:val="3E7555B1"/>
    <w:rsid w:val="3EA72472"/>
    <w:rsid w:val="3EDE1208"/>
    <w:rsid w:val="3F0527E5"/>
    <w:rsid w:val="3F16459E"/>
    <w:rsid w:val="3F4A6687"/>
    <w:rsid w:val="4004000C"/>
    <w:rsid w:val="410B7187"/>
    <w:rsid w:val="411B6CE5"/>
    <w:rsid w:val="412070D7"/>
    <w:rsid w:val="41314E40"/>
    <w:rsid w:val="415C674B"/>
    <w:rsid w:val="426C1EA8"/>
    <w:rsid w:val="42DE0FF8"/>
    <w:rsid w:val="42E86A87"/>
    <w:rsid w:val="43136432"/>
    <w:rsid w:val="43615785"/>
    <w:rsid w:val="443A3B12"/>
    <w:rsid w:val="44487B36"/>
    <w:rsid w:val="44EF6BE8"/>
    <w:rsid w:val="45A30364"/>
    <w:rsid w:val="465810C1"/>
    <w:rsid w:val="465B470D"/>
    <w:rsid w:val="46873754"/>
    <w:rsid w:val="469D6AD4"/>
    <w:rsid w:val="46C027C2"/>
    <w:rsid w:val="47674801"/>
    <w:rsid w:val="478C7274"/>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98223B"/>
    <w:rsid w:val="4EA8523F"/>
    <w:rsid w:val="4F186D58"/>
    <w:rsid w:val="4F224836"/>
    <w:rsid w:val="50CC734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70D1A54"/>
    <w:rsid w:val="5842572D"/>
    <w:rsid w:val="598A28E2"/>
    <w:rsid w:val="5ACD39D4"/>
    <w:rsid w:val="5C1336B7"/>
    <w:rsid w:val="5C263CE4"/>
    <w:rsid w:val="5C5D2777"/>
    <w:rsid w:val="5C722D7F"/>
    <w:rsid w:val="5CD526CC"/>
    <w:rsid w:val="5D290C69"/>
    <w:rsid w:val="5EFA176D"/>
    <w:rsid w:val="5F0247F9"/>
    <w:rsid w:val="5F217E4A"/>
    <w:rsid w:val="5F2D4A41"/>
    <w:rsid w:val="5FE33352"/>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AE42CD9"/>
    <w:rsid w:val="6B474EF5"/>
    <w:rsid w:val="6BC27679"/>
    <w:rsid w:val="6BC54EFE"/>
    <w:rsid w:val="6BED0095"/>
    <w:rsid w:val="6C560CAE"/>
    <w:rsid w:val="6CD15296"/>
    <w:rsid w:val="6CD34B11"/>
    <w:rsid w:val="6D903FF5"/>
    <w:rsid w:val="6DA955B8"/>
    <w:rsid w:val="6DE346AB"/>
    <w:rsid w:val="6F843D78"/>
    <w:rsid w:val="6FFB2E76"/>
    <w:rsid w:val="70A1528F"/>
    <w:rsid w:val="70AB70D6"/>
    <w:rsid w:val="70DE5507"/>
    <w:rsid w:val="718C12E2"/>
    <w:rsid w:val="71C34D91"/>
    <w:rsid w:val="71ED38AA"/>
    <w:rsid w:val="72DB435C"/>
    <w:rsid w:val="744A79EB"/>
    <w:rsid w:val="74ED1B1B"/>
    <w:rsid w:val="750837F0"/>
    <w:rsid w:val="759E409E"/>
    <w:rsid w:val="762A73EF"/>
    <w:rsid w:val="7631412E"/>
    <w:rsid w:val="764F62AB"/>
    <w:rsid w:val="765C45EC"/>
    <w:rsid w:val="768A7619"/>
    <w:rsid w:val="7714640F"/>
    <w:rsid w:val="77EA362A"/>
    <w:rsid w:val="7875383E"/>
    <w:rsid w:val="79046514"/>
    <w:rsid w:val="796D60A4"/>
    <w:rsid w:val="79994D65"/>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1B361C"/>
    <w:rsid w:val="7FF723E4"/>
    <w:rsid w:val="AB7F0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3">
    <w:name w:val="正文-公1"/>
    <w:basedOn w:val="14"/>
    <w:next w:val="1"/>
    <w:qFormat/>
    <w:uiPriority w:val="0"/>
    <w:pPr>
      <w:ind w:firstLine="200" w:firstLineChars="200"/>
    </w:p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3"/>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4481</Words>
  <Characters>5069</Characters>
  <Lines>161</Lines>
  <Paragraphs>45</Paragraphs>
  <TotalTime>11</TotalTime>
  <ScaleCrop>false</ScaleCrop>
  <LinksUpToDate>false</LinksUpToDate>
  <CharactersWithSpaces>5071</CharactersWithSpaces>
  <Application>WPS Office_11.1.0.11708_F1E327BC-269C-435d-A152-05C5408002CA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uos</cp:lastModifiedBy>
  <cp:lastPrinted>2025-09-16T11:21:00Z</cp:lastPrinted>
  <dcterms:modified xsi:type="dcterms:W3CDTF">2026-06-04T16:52:20Z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2052-11.1.0.11708</vt:lpwstr>
  </property>
  <property fmtid="{D5CDD505-2E9C-101B-9397-08002B2CF9AE}" pid="3" name="ICV">
    <vt:lpwstr>B83EAC1B76E143F99BDA96E02B98B89F_13</vt:lpwstr>
  </property>
  <property fmtid="{D5CDD505-2E9C-101B-9397-08002B2CF9AE}" pid="4" name="KSOTemplateDocerSaveRecord">
    <vt:lpwstr>eyJoZGlkIjoiODZiMjM2MTI3YWE4MDk3NGM3ZGRjMGM5ODRlYTBkNjIiLCJ1c2VySWQiOiIxNTQ2NTk5MTY3In0=</vt:lpwstr>
  </property>
</Properties>
</file>