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重庆市巫溪县投资促进服务中心</w:t>
      </w:r>
    </w:p>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0" w:firstLineChars="0"/>
        <w:jc w:val="center"/>
        <w:textAlignment w:val="auto"/>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2023年度决算公开说明</w:t>
      </w:r>
    </w:p>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0" w:firstLineChars="0"/>
        <w:jc w:val="center"/>
        <w:textAlignment w:val="auto"/>
        <w:rPr>
          <w:rFonts w:hint="default" w:ascii="Times New Roman" w:hAnsi="Times New Roman" w:eastAsia="方正小标宋_GBK" w:cs="Times New Roman"/>
          <w:color w:val="auto"/>
          <w:sz w:val="44"/>
          <w:szCs w:val="44"/>
          <w:shd w:val="clear" w:color="auto" w:fill="FFFFFF"/>
        </w:rPr>
      </w:pPr>
    </w:p>
    <w:p>
      <w:pPr>
        <w:pStyle w:val="7"/>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一、单位基本情况</w:t>
      </w:r>
    </w:p>
    <w:p>
      <w:pPr>
        <w:pStyle w:val="7"/>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楷体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（一）职能职责</w:t>
      </w:r>
    </w:p>
    <w:p>
      <w:pPr>
        <w:pStyle w:val="7"/>
        <w:keepNext w:val="0"/>
        <w:keepLines w:val="0"/>
        <w:pageBreakBefore w:val="0"/>
        <w:widowControl/>
        <w:shd w:val="clear"/>
        <w:kinsoku/>
        <w:wordWrap/>
        <w:overflowPunct/>
        <w:topLinePunct w:val="0"/>
        <w:autoSpaceDE/>
        <w:autoSpaceDN/>
        <w:bidi w:val="0"/>
        <w:adjustRightInd/>
        <w:spacing w:before="0" w:beforeAutospacing="0" w:after="0" w:afterAutospacing="0" w:line="600" w:lineRule="exact"/>
        <w:ind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巫溪县投资促进服务中心主要承担全县投资促进有关事务性工作，为全县投资促进工作提供服务。具体职责为：贯彻执行国家、地方有关招商投资促进的方针政策和</w:t>
      </w:r>
      <w:r>
        <w:rPr>
          <w:rFonts w:hint="eastAsia" w:ascii="Times New Roman" w:hAnsi="Times New Roman" w:eastAsia="方正仿宋_GBK" w:cs="Times New Roman"/>
          <w:color w:val="auto"/>
          <w:kern w:val="2"/>
          <w:sz w:val="32"/>
          <w:szCs w:val="32"/>
          <w:lang w:val="en-US" w:eastAsia="zh-CN" w:bidi="ar-SA"/>
        </w:rPr>
        <w:t>法律法规</w:t>
      </w:r>
      <w:r>
        <w:rPr>
          <w:rFonts w:hint="default" w:ascii="Times New Roman" w:hAnsi="Times New Roman" w:eastAsia="方正仿宋_GBK" w:cs="Times New Roman"/>
          <w:color w:val="auto"/>
          <w:kern w:val="2"/>
          <w:sz w:val="32"/>
          <w:szCs w:val="32"/>
          <w:lang w:val="en-US" w:eastAsia="zh-CN" w:bidi="ar-SA"/>
        </w:rPr>
        <w:t>、规章。承担全县招商投资促进工作有关的事务性工作，协调行业主管部门研究产业发展政策，配合主管部门优化制定招商投资促进扶持政策。配合主管部门制定全县招商投资促进年度工作计划、分解落实招商引资目标任务、制定招商投资促进考核奖励办法。统筹协调全县重大招商项目落地建设服务，参与重大招商项目实施情况督查督办，协调解决招商重大问题。组织各招商组策划包装重点招商项目，承担县级重大招商项目管理有关的事务性工作。负责全县重大招商引资活动组织策划，推介重点领域、重点产业、重大招商项目，组织开展与国内外大型企业、各地商会、知名机构等建立战略合作关系。承担对口帮扶、协同发展、中新示范等工作中涉及招商推介、企业引进有关的事务性和服务性工作。负责全县招商投资促进工作信息收集发布，指导招商项目统计入库，协调指导各招商部门开展招商引资信息化建设。统筹协调全县招</w:t>
      </w:r>
    </w:p>
    <w:p>
      <w:pPr>
        <w:pStyle w:val="7"/>
        <w:keepNext w:val="0"/>
        <w:keepLines w:val="0"/>
        <w:pageBreakBefore w:val="0"/>
        <w:widowControl/>
        <w:shd w:val="clear"/>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kern w:val="2"/>
          <w:sz w:val="32"/>
          <w:szCs w:val="32"/>
          <w:lang w:val="en-US" w:eastAsia="zh-CN" w:bidi="ar-SA"/>
        </w:rPr>
        <w:t>商对外宣传工作，负责招商宣传资料设计制作更新工作。完成县发展改革委交办的其他任务。</w:t>
      </w:r>
    </w:p>
    <w:p>
      <w:pPr>
        <w:pStyle w:val="7"/>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楷体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（二）机构设置</w:t>
      </w:r>
    </w:p>
    <w:p>
      <w:pPr>
        <w:pStyle w:val="7"/>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巫溪县投资促进服务中心为县发展改革委所属正科级公益一类事业单位，经费来源按照现行公益一类事业单位财政保障方式执行</w:t>
      </w:r>
      <w:r>
        <w:rPr>
          <w:rFonts w:hint="default" w:ascii="Times New Roman" w:hAnsi="Times New Roman" w:eastAsia="方正仿宋_GBK" w:cs="Times New Roman"/>
          <w:color w:val="auto"/>
          <w:sz w:val="32"/>
          <w:szCs w:val="32"/>
          <w:lang w:eastAsia="zh-CN"/>
        </w:rPr>
        <w:t>。设综合科、政策规划科、招商一科、招商二科、投资服务科等5个内设机构。</w:t>
      </w:r>
    </w:p>
    <w:p>
      <w:pPr>
        <w:pStyle w:val="7"/>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二、单位决算情况说明</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（一）收入支出决算总体情况说明。</w:t>
      </w:r>
    </w:p>
    <w:p>
      <w:pPr>
        <w:pStyle w:val="7"/>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w:t>
      </w:r>
      <w:r>
        <w:rPr>
          <w:rStyle w:val="11"/>
          <w:rFonts w:hint="default" w:ascii="Times New Roman" w:hAnsi="Times New Roman" w:eastAsia="方正仿宋_GBK" w:cs="Times New Roman"/>
          <w:color w:val="auto"/>
          <w:sz w:val="32"/>
          <w:szCs w:val="32"/>
          <w:shd w:val="clear" w:color="auto" w:fill="FFFFFF"/>
        </w:rPr>
        <w:t>总体情况。</w:t>
      </w:r>
      <w:r>
        <w:rPr>
          <w:rFonts w:hint="default" w:ascii="Times New Roman" w:hAnsi="Times New Roman" w:eastAsia="方正仿宋_GBK" w:cs="Times New Roman"/>
          <w:color w:val="auto"/>
          <w:sz w:val="32"/>
          <w:szCs w:val="32"/>
          <w:shd w:val="clear" w:color="auto" w:fill="FFFFFF"/>
        </w:rPr>
        <w:t>2023年度收入总计339.76万元，支出总计</w:t>
      </w:r>
      <w:r>
        <w:rPr>
          <w:rFonts w:hint="default" w:ascii="Times New Roman" w:hAnsi="Times New Roman" w:eastAsia="方正仿宋_GBK" w:cs="Times New Roman"/>
          <w:color w:val="auto"/>
          <w:sz w:val="32"/>
          <w:szCs w:val="32"/>
        </w:rPr>
        <w:t>339.76</w:t>
      </w:r>
      <w:r>
        <w:rPr>
          <w:rFonts w:hint="default" w:ascii="Times New Roman" w:hAnsi="Times New Roman" w:eastAsia="方正仿宋_GBK" w:cs="Times New Roman"/>
          <w:color w:val="auto"/>
          <w:sz w:val="32"/>
          <w:szCs w:val="32"/>
          <w:shd w:val="clear" w:color="auto" w:fill="FFFFFF"/>
        </w:rPr>
        <w:t>万元。收支较上年决算数增加339.76万元，增长100.00%，主要原因是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2.</w:t>
      </w:r>
      <w:r>
        <w:rPr>
          <w:rStyle w:val="11"/>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2023年度收入合计339.76万元，较上年决算数增加339.76万元，增长100.00%，主要原因是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339.76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3.</w:t>
      </w:r>
      <w:r>
        <w:rPr>
          <w:rStyle w:val="11"/>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339.76</w:t>
      </w:r>
      <w:r>
        <w:rPr>
          <w:rFonts w:hint="default" w:ascii="Times New Roman" w:hAnsi="Times New Roman" w:eastAsia="方正仿宋_GBK" w:cs="Times New Roman"/>
          <w:color w:val="auto"/>
          <w:sz w:val="32"/>
          <w:szCs w:val="32"/>
          <w:shd w:val="clear" w:color="auto" w:fill="FFFFFF"/>
        </w:rPr>
        <w:t>万元，较上年决算数增加339.76万元，增长100.00%，主要原因是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261.01</w:t>
      </w:r>
      <w:r>
        <w:rPr>
          <w:rFonts w:hint="default" w:ascii="Times New Roman" w:hAnsi="Times New Roman" w:eastAsia="方正仿宋_GBK" w:cs="Times New Roman"/>
          <w:color w:val="auto"/>
          <w:sz w:val="32"/>
          <w:szCs w:val="32"/>
          <w:shd w:val="clear" w:color="auto" w:fill="FFFFFF"/>
        </w:rPr>
        <w:t>万元，占76.82%；项目支出</w:t>
      </w:r>
      <w:r>
        <w:rPr>
          <w:rFonts w:hint="default" w:ascii="Times New Roman" w:hAnsi="Times New Roman" w:eastAsia="方正仿宋_GBK" w:cs="Times New Roman"/>
          <w:color w:val="auto"/>
          <w:sz w:val="32"/>
          <w:szCs w:val="32"/>
        </w:rPr>
        <w:t>78.75</w:t>
      </w:r>
      <w:r>
        <w:rPr>
          <w:rFonts w:hint="default" w:ascii="Times New Roman" w:hAnsi="Times New Roman" w:eastAsia="方正仿宋_GBK" w:cs="Times New Roman"/>
          <w:color w:val="auto"/>
          <w:sz w:val="32"/>
          <w:szCs w:val="32"/>
          <w:shd w:val="clear" w:color="auto" w:fill="FFFFFF"/>
        </w:rPr>
        <w:t>万元，占23.18%；经营支出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Style w:val="11"/>
          <w:rFonts w:hint="default" w:ascii="Times New Roman" w:hAnsi="Times New Roman" w:eastAsia="方正仿宋_GBK" w:cs="Times New Roman"/>
          <w:b w:val="0"/>
          <w:bCs/>
          <w:color w:val="auto"/>
          <w:sz w:val="32"/>
          <w:szCs w:val="32"/>
          <w:shd w:val="clear" w:color="auto" w:fill="FFFFFF"/>
        </w:rPr>
        <w:t>4.</w:t>
      </w:r>
      <w:r>
        <w:rPr>
          <w:rStyle w:val="11"/>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2023年度财政拨款收、支总计339.76万元。与2022年相比，财政拨款收、支总计各增加339.76万元，增长100.00%。主要原因是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w:t>
      </w:r>
      <w:r>
        <w:rPr>
          <w:rStyle w:val="11"/>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339.76</w:t>
      </w:r>
      <w:r>
        <w:rPr>
          <w:rFonts w:hint="default" w:ascii="Times New Roman" w:hAnsi="Times New Roman" w:eastAsia="方正仿宋_GBK" w:cs="Times New Roman"/>
          <w:color w:val="auto"/>
          <w:sz w:val="32"/>
          <w:szCs w:val="32"/>
          <w:shd w:val="clear" w:color="auto" w:fill="FFFFFF"/>
        </w:rPr>
        <w:t>万元，较上年决算数增加339.76万元，增长100.00%。主要原因是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default" w:ascii="Times New Roman" w:hAnsi="Times New Roman" w:eastAsia="方正仿宋_GBK" w:cs="Times New Roman"/>
          <w:color w:val="auto"/>
          <w:sz w:val="32"/>
          <w:szCs w:val="32"/>
          <w:shd w:val="clear" w:color="auto" w:fill="FFFFFF"/>
        </w:rPr>
        <w:t>较年初预算数增加48.61万元，增长16.70%。主要原因是</w:t>
      </w:r>
      <w:r>
        <w:rPr>
          <w:rFonts w:hint="default" w:ascii="Times New Roman" w:hAnsi="Times New Roman" w:eastAsia="方正仿宋_GBK" w:cs="Times New Roman"/>
          <w:color w:val="auto"/>
          <w:sz w:val="32"/>
          <w:szCs w:val="32"/>
          <w:lang w:val="en-US" w:eastAsia="zh-CN"/>
        </w:rPr>
        <w:t>2023年新招录事业人员2人，年中追加第五届西洽会活动经费等。</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2.</w:t>
      </w:r>
      <w:r>
        <w:rPr>
          <w:rStyle w:val="11"/>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339.76</w:t>
      </w:r>
      <w:r>
        <w:rPr>
          <w:rFonts w:hint="default" w:ascii="Times New Roman" w:hAnsi="Times New Roman" w:eastAsia="方正仿宋_GBK" w:cs="Times New Roman"/>
          <w:color w:val="auto"/>
          <w:sz w:val="32"/>
          <w:szCs w:val="32"/>
          <w:shd w:val="clear" w:color="auto" w:fill="FFFFFF"/>
        </w:rPr>
        <w:t>万元，较上年决算数增加339.76万元，增长100.00%。主要原因是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default" w:ascii="Times New Roman" w:hAnsi="Times New Roman" w:eastAsia="方正仿宋_GBK" w:cs="Times New Roman"/>
          <w:color w:val="auto"/>
          <w:sz w:val="32"/>
          <w:szCs w:val="32"/>
          <w:shd w:val="clear" w:color="auto" w:fill="FFFFFF"/>
        </w:rPr>
        <w:t>。较年初预算数增加48.61万元，增长16.70%。主要原因是</w:t>
      </w:r>
      <w:r>
        <w:rPr>
          <w:rFonts w:hint="default" w:ascii="Times New Roman" w:hAnsi="Times New Roman" w:eastAsia="方正仿宋_GBK" w:cs="Times New Roman"/>
          <w:color w:val="auto"/>
          <w:sz w:val="32"/>
          <w:szCs w:val="32"/>
          <w:lang w:val="en-US" w:eastAsia="zh-CN"/>
        </w:rPr>
        <w:t>2023年新招录事业人员2人，年中追加第五届西洽会活动经费等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3.</w:t>
      </w:r>
      <w:r>
        <w:rPr>
          <w:rStyle w:val="11"/>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4.</w:t>
      </w:r>
      <w:r>
        <w:rPr>
          <w:rStyle w:val="11"/>
          <w:rFonts w:hint="default" w:ascii="Times New Roman" w:hAnsi="Times New Roman" w:eastAsia="方正仿宋_GBK" w:cs="Times New Roman"/>
          <w:color w:val="auto"/>
          <w:sz w:val="32"/>
          <w:szCs w:val="32"/>
          <w:shd w:val="clear" w:color="auto" w:fill="FFFFFF"/>
        </w:rPr>
        <w:t>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291.97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85.94</w:t>
      </w:r>
      <w:r>
        <w:rPr>
          <w:rFonts w:hint="default" w:ascii="Times New Roman" w:hAnsi="Times New Roman" w:eastAsia="方正仿宋_GBK" w:cs="Times New Roman"/>
          <w:color w:val="auto"/>
          <w:sz w:val="32"/>
          <w:szCs w:val="32"/>
          <w:shd w:val="clear" w:color="auto" w:fill="FFFFFF"/>
        </w:rPr>
        <w:t>%，较年初预算数增加48.60万元，增长19.97%，主要原因是</w:t>
      </w:r>
      <w:r>
        <w:rPr>
          <w:rFonts w:hint="default" w:ascii="Times New Roman" w:hAnsi="Times New Roman" w:eastAsia="方正仿宋_GBK" w:cs="Times New Roman"/>
          <w:color w:val="auto"/>
          <w:sz w:val="32"/>
          <w:szCs w:val="32"/>
          <w:lang w:val="en-US" w:eastAsia="zh-CN"/>
        </w:rPr>
        <w:t>2023年新招录事业人员2人，年中追加第五届西洽会活动经费等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24.93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7.34</w:t>
      </w:r>
      <w:r>
        <w:rPr>
          <w:rFonts w:hint="default" w:ascii="Times New Roman" w:hAnsi="Times New Roman" w:eastAsia="方正仿宋_GBK" w:cs="Times New Roman"/>
          <w:color w:val="auto"/>
          <w:sz w:val="32"/>
          <w:szCs w:val="32"/>
          <w:shd w:val="clear" w:color="auto" w:fill="FFFFFF"/>
        </w:rPr>
        <w:t>%，较年初预算数无增减。</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10.39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3.06</w:t>
      </w:r>
      <w:r>
        <w:rPr>
          <w:rFonts w:hint="default" w:ascii="Times New Roman" w:hAnsi="Times New Roman" w:eastAsia="方正仿宋_GBK" w:cs="Times New Roman"/>
          <w:color w:val="auto"/>
          <w:sz w:val="32"/>
          <w:szCs w:val="32"/>
          <w:shd w:val="clear" w:color="auto" w:fill="FFFFFF"/>
        </w:rPr>
        <w:t>%，较年初预算数无增减。</w:t>
      </w:r>
    </w:p>
    <w:p>
      <w:pPr>
        <w:keepNext w:val="0"/>
        <w:keepLines w:val="0"/>
        <w:pageBreakBefore w:val="0"/>
        <w:shd w:val="clear"/>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住房保障支出12.46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3.67</w:t>
      </w:r>
      <w:r>
        <w:rPr>
          <w:rFonts w:hint="default" w:ascii="Times New Roman" w:hAnsi="Times New Roman" w:eastAsia="方正仿宋_GBK" w:cs="Times New Roman"/>
          <w:color w:val="auto"/>
          <w:sz w:val="32"/>
          <w:szCs w:val="32"/>
          <w:shd w:val="clear" w:color="auto" w:fill="FFFFFF"/>
        </w:rPr>
        <w:t>%，较年初预算数无增减。</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2023年度一般公共财政拨款基本支出</w:t>
      </w:r>
      <w:r>
        <w:rPr>
          <w:rFonts w:hint="default" w:ascii="Times New Roman" w:hAnsi="Times New Roman" w:eastAsia="方正仿宋_GBK" w:cs="Times New Roman"/>
          <w:color w:val="auto"/>
          <w:sz w:val="32"/>
          <w:szCs w:val="32"/>
        </w:rPr>
        <w:t>261.01</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241.88</w:t>
      </w:r>
      <w:r>
        <w:rPr>
          <w:rFonts w:hint="default" w:ascii="Times New Roman" w:hAnsi="Times New Roman" w:eastAsia="方正仿宋_GBK" w:cs="Times New Roman"/>
          <w:color w:val="auto"/>
          <w:sz w:val="32"/>
          <w:szCs w:val="32"/>
          <w:shd w:val="clear" w:color="auto" w:fill="FFFFFF"/>
        </w:rPr>
        <w:t>万元，较上年决算数增加241.88万元，增长100.00%，主要原因是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职工工资、津贴、绩效社会保险费用等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19.13</w:t>
      </w:r>
      <w:r>
        <w:rPr>
          <w:rFonts w:hint="default" w:ascii="Times New Roman" w:hAnsi="Times New Roman" w:eastAsia="方正仿宋_GBK" w:cs="Times New Roman"/>
          <w:color w:val="auto"/>
          <w:sz w:val="32"/>
          <w:szCs w:val="32"/>
          <w:shd w:val="clear" w:color="auto" w:fill="FFFFFF"/>
        </w:rPr>
        <w:t>万元，较上年决算数增加19.13万元，增长100.00%，主要原因是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办公费、印刷费、差旅费、接待费等</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本单位2023年度无政府性基金预算财政拨款收支。</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本单位2023年度无国有资本经营预算财政拨款支出。</w:t>
      </w:r>
    </w:p>
    <w:p>
      <w:pPr>
        <w:pStyle w:val="7"/>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三、</w:t>
      </w:r>
      <w:r>
        <w:rPr>
          <w:rStyle w:val="11"/>
          <w:rFonts w:hint="eastAsia" w:ascii="方正黑体_GBK" w:hAnsi="方正黑体_GBK" w:eastAsia="方正黑体_GBK" w:cs="方正黑体_GBK"/>
          <w:b w:val="0"/>
          <w:bCs/>
          <w:color w:val="auto"/>
          <w:sz w:val="32"/>
          <w:szCs w:val="32"/>
          <w:shd w:val="clear" w:color="auto" w:fill="FFFFFF"/>
          <w:lang w:eastAsia="zh-CN"/>
        </w:rPr>
        <w:t>“</w:t>
      </w:r>
      <w:r>
        <w:rPr>
          <w:rStyle w:val="11"/>
          <w:rFonts w:hint="eastAsia" w:ascii="方正黑体_GBK" w:hAnsi="方正黑体_GBK" w:eastAsia="方正黑体_GBK" w:cs="方正黑体_GBK"/>
          <w:b w:val="0"/>
          <w:bCs/>
          <w:color w:val="auto"/>
          <w:sz w:val="32"/>
          <w:szCs w:val="32"/>
          <w:shd w:val="clear" w:color="auto" w:fill="FFFFFF"/>
        </w:rPr>
        <w:t>三公</w:t>
      </w:r>
      <w:r>
        <w:rPr>
          <w:rStyle w:val="11"/>
          <w:rFonts w:hint="eastAsia" w:ascii="方正黑体_GBK" w:hAnsi="方正黑体_GBK" w:eastAsia="方正黑体_GBK" w:cs="方正黑体_GBK"/>
          <w:b w:val="0"/>
          <w:bCs/>
          <w:color w:val="auto"/>
          <w:sz w:val="32"/>
          <w:szCs w:val="32"/>
          <w:shd w:val="clear" w:color="auto" w:fill="FFFFFF"/>
          <w:lang w:eastAsia="zh-CN"/>
        </w:rPr>
        <w:t>”</w:t>
      </w:r>
      <w:r>
        <w:rPr>
          <w:rStyle w:val="11"/>
          <w:rFonts w:hint="eastAsia" w:ascii="方正黑体_GBK" w:hAnsi="方正黑体_GBK" w:eastAsia="方正黑体_GBK" w:cs="方正黑体_GBK"/>
          <w:b w:val="0"/>
          <w:bCs/>
          <w:color w:val="auto"/>
          <w:sz w:val="32"/>
          <w:szCs w:val="32"/>
          <w:shd w:val="clear" w:color="auto" w:fill="FFFFFF"/>
        </w:rPr>
        <w:t>经费情况说明</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三公</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经费支出总体情况说明</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三公</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经费支出共计</w:t>
      </w:r>
      <w:r>
        <w:rPr>
          <w:rFonts w:hint="default" w:ascii="Times New Roman" w:hAnsi="Times New Roman" w:eastAsia="方正仿宋_GBK" w:cs="Times New Roman"/>
          <w:color w:val="auto"/>
          <w:sz w:val="32"/>
          <w:szCs w:val="32"/>
        </w:rPr>
        <w:t>4.96</w:t>
      </w:r>
      <w:r>
        <w:rPr>
          <w:rFonts w:hint="default" w:ascii="Times New Roman" w:hAnsi="Times New Roman" w:eastAsia="方正仿宋_GBK" w:cs="Times New Roman"/>
          <w:color w:val="auto"/>
          <w:sz w:val="32"/>
          <w:szCs w:val="32"/>
          <w:shd w:val="clear" w:color="auto" w:fill="FFFFFF"/>
        </w:rPr>
        <w:t>万元，较年初预算数减少0.04万元，下降0.80%，主要原因是</w:t>
      </w:r>
      <w:r>
        <w:rPr>
          <w:rFonts w:hint="default" w:ascii="Times New Roman" w:hAnsi="Times New Roman" w:eastAsia="方正仿宋_GBK" w:cs="Times New Roman"/>
          <w:color w:val="auto"/>
          <w:sz w:val="32"/>
          <w:szCs w:val="32"/>
          <w:shd w:val="clear" w:color="auto" w:fill="FFFFFF"/>
          <w:lang w:val="en-US" w:eastAsia="zh-CN"/>
        </w:rPr>
        <w:t>本单位厉行节约原则，坚持贯彻过紧日子的要求</w:t>
      </w:r>
      <w:r>
        <w:rPr>
          <w:rFonts w:hint="default" w:ascii="Times New Roman" w:hAnsi="Times New Roman" w:eastAsia="方正仿宋_GBK" w:cs="Times New Roman"/>
          <w:color w:val="auto"/>
          <w:sz w:val="32"/>
          <w:szCs w:val="32"/>
          <w:shd w:val="clear" w:color="auto" w:fill="FFFFFF"/>
        </w:rPr>
        <w:t>。较上年支出数增加4.96万元，增长100.00%，主要原因是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三公</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经费分项支出情况</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w:t>
      </w:r>
      <w:r>
        <w:rPr>
          <w:rFonts w:hint="default"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因公出国（境）费用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3.96</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公务车油费、通行费、维修费等</w:t>
      </w:r>
      <w:r>
        <w:rPr>
          <w:rFonts w:hint="default" w:ascii="Times New Roman" w:hAnsi="Times New Roman" w:eastAsia="方正仿宋_GBK" w:cs="Times New Roman"/>
          <w:color w:val="auto"/>
          <w:sz w:val="32"/>
          <w:szCs w:val="32"/>
          <w:shd w:val="clear" w:color="auto" w:fill="FFFFFF"/>
        </w:rPr>
        <w:t>。费用支出较年初预算数减少0.04万元，下降1.00%，主要原因是</w:t>
      </w:r>
      <w:r>
        <w:rPr>
          <w:rFonts w:hint="default" w:ascii="Times New Roman" w:hAnsi="Times New Roman" w:eastAsia="方正仿宋_GBK" w:cs="Times New Roman"/>
          <w:color w:val="auto"/>
          <w:sz w:val="32"/>
          <w:szCs w:val="32"/>
          <w:shd w:val="clear" w:color="auto" w:fill="FFFFFF"/>
          <w:lang w:val="en-US" w:eastAsia="zh-CN"/>
        </w:rPr>
        <w:t>本单位厉行节约原则，坚持贯彻过紧日子的要求</w:t>
      </w:r>
      <w:r>
        <w:rPr>
          <w:rFonts w:hint="default" w:ascii="Times New Roman" w:hAnsi="Times New Roman" w:eastAsia="方正仿宋_GBK" w:cs="Times New Roman"/>
          <w:color w:val="auto"/>
          <w:sz w:val="32"/>
          <w:szCs w:val="32"/>
          <w:shd w:val="clear" w:color="auto" w:fill="FFFFFF"/>
        </w:rPr>
        <w:t>。较上年支出数增加3.96万元，增长100.00%，主要原因是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1.00</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val="en-US" w:eastAsia="zh-CN"/>
        </w:rPr>
        <w:t>市级主管部门指导工作及周边区县招商单位交流考察等</w:t>
      </w:r>
      <w:r>
        <w:rPr>
          <w:rFonts w:hint="default" w:ascii="Times New Roman" w:hAnsi="Times New Roman" w:eastAsia="方正仿宋_GBK" w:cs="Times New Roman"/>
          <w:color w:val="auto"/>
          <w:sz w:val="32"/>
          <w:szCs w:val="32"/>
          <w:shd w:val="clear" w:color="auto" w:fill="FFFFFF"/>
        </w:rPr>
        <w:t>。费用支出较年初预算数无增减。较上年支出数增加1.00万元，增长100.00%，主要原因是</w:t>
      </w:r>
      <w:r>
        <w:rPr>
          <w:rFonts w:hint="default" w:ascii="Times New Roman" w:hAnsi="Times New Roman" w:eastAsia="方正仿宋_GBK" w:cs="Times New Roman"/>
          <w:color w:val="auto"/>
          <w:sz w:val="32"/>
          <w:szCs w:val="32"/>
          <w:shd w:val="clear" w:color="auto" w:fill="FFFFFF"/>
          <w:lang w:val="en-US" w:eastAsia="zh-CN"/>
        </w:rPr>
        <w:t>本单位自2023年</w:t>
      </w:r>
      <w:r>
        <w:rPr>
          <w:rFonts w:hint="default" w:ascii="Times New Roman" w:hAnsi="Times New Roman" w:eastAsia="方正仿宋_GBK" w:cs="Times New Roman"/>
          <w:color w:val="auto"/>
          <w:sz w:val="32"/>
          <w:szCs w:val="32"/>
          <w:lang w:val="en-US" w:eastAsia="zh-CN"/>
        </w:rPr>
        <w:t>独立预算，因此2022年度无数据</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三公</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经费实物量情况</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12</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110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90.91</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3.96</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四、其他需要说明的事项</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本年度</w:t>
      </w:r>
      <w:r>
        <w:rPr>
          <w:rFonts w:hint="default"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会议费支出</w:t>
      </w:r>
      <w:r>
        <w:rPr>
          <w:rFonts w:hint="default" w:ascii="Times New Roman" w:hAnsi="Times New Roman" w:eastAsia="方正仿宋_GBK" w:cs="Times New Roman"/>
          <w:color w:val="auto"/>
          <w:sz w:val="32"/>
          <w:szCs w:val="32"/>
          <w:shd w:val="clear" w:color="auto" w:fill="FFFFFF"/>
          <w:lang w:val="en-US" w:eastAsia="zh-CN"/>
        </w:rPr>
        <w:t>及</w:t>
      </w:r>
      <w:r>
        <w:rPr>
          <w:rFonts w:hint="default" w:ascii="Times New Roman" w:hAnsi="Times New Roman" w:eastAsia="方正仿宋_GBK" w:cs="Times New Roman"/>
          <w:color w:val="auto"/>
          <w:sz w:val="32"/>
          <w:szCs w:val="32"/>
          <w:shd w:val="clear" w:color="auto" w:fill="FFFFFF"/>
        </w:rPr>
        <w:t>培训费支出</w:t>
      </w:r>
      <w:r>
        <w:rPr>
          <w:rFonts w:hint="default" w:ascii="Times New Roman" w:hAnsi="Times New Roman" w:eastAsia="方正仿宋_GBK" w:cs="Times New Roman"/>
          <w:color w:val="auto"/>
          <w:sz w:val="32"/>
          <w:szCs w:val="32"/>
          <w:shd w:val="clear" w:color="auto" w:fill="FFFFFF"/>
          <w:lang w:eastAsia="zh-CN"/>
        </w:rPr>
        <w:t>。</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截至2023年12月31日，本单位共有车辆</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7"/>
        <w:keepNext w:val="0"/>
        <w:keepLines w:val="0"/>
        <w:pageBreakBefore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lang w:val="en-US" w:eastAsia="zh-CN"/>
        </w:rPr>
        <w:t>五、</w:t>
      </w:r>
      <w:r>
        <w:rPr>
          <w:rStyle w:val="11"/>
          <w:rFonts w:hint="default" w:ascii="方正黑体_GBK" w:hAnsi="方正黑体_GBK" w:eastAsia="方正黑体_GBK" w:cs="方正黑体_GBK"/>
          <w:b w:val="0"/>
          <w:bCs/>
          <w:color w:val="auto"/>
          <w:sz w:val="32"/>
          <w:szCs w:val="32"/>
          <w:shd w:val="clear" w:color="auto" w:fill="FFFFFF"/>
        </w:rPr>
        <w:t>预算绩效管理情况说明</w:t>
      </w:r>
    </w:p>
    <w:p>
      <w:pPr>
        <w:pStyle w:val="12"/>
        <w:keepNext w:val="0"/>
        <w:keepLines w:val="0"/>
        <w:pageBreakBefore w:val="0"/>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（一）单位自评情况</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sz w:val="32"/>
          <w:szCs w:val="32"/>
          <w:shd w:val="clear" w:color="auto" w:fill="FFFFFF"/>
        </w:rPr>
        <w:t>根据预算绩效管理要求</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kern w:val="0"/>
          <w:sz w:val="32"/>
          <w:szCs w:val="32"/>
          <w:lang w:val="en-US" w:eastAsia="zh-CN" w:bidi="ar"/>
        </w:rPr>
        <w:t>2023年本单位对</w:t>
      </w:r>
      <w:r>
        <w:rPr>
          <w:rFonts w:hint="eastAsia" w:ascii="Times New Roman" w:hAnsi="Times New Roman" w:eastAsia="方正仿宋_GBK" w:cs="Times New Roman"/>
          <w:color w:val="auto"/>
          <w:kern w:val="0"/>
          <w:sz w:val="32"/>
          <w:szCs w:val="32"/>
          <w:lang w:val="en-US" w:eastAsia="zh-CN" w:bidi="ar"/>
        </w:rPr>
        <w:t>3</w:t>
      </w:r>
      <w:r>
        <w:rPr>
          <w:rFonts w:hint="default" w:ascii="Times New Roman" w:hAnsi="Times New Roman" w:eastAsia="方正仿宋_GBK" w:cs="Times New Roman"/>
          <w:color w:val="auto"/>
          <w:kern w:val="0"/>
          <w:sz w:val="32"/>
          <w:szCs w:val="32"/>
          <w:lang w:val="en-US" w:eastAsia="zh-CN" w:bidi="ar"/>
        </w:rPr>
        <w:t>个</w:t>
      </w:r>
      <w:r>
        <w:rPr>
          <w:rFonts w:hint="eastAsia" w:ascii="Times New Roman" w:hAnsi="Times New Roman" w:eastAsia="方正仿宋_GBK" w:cs="Times New Roman"/>
          <w:color w:val="auto"/>
          <w:kern w:val="0"/>
          <w:sz w:val="32"/>
          <w:szCs w:val="32"/>
          <w:lang w:val="en-US" w:eastAsia="zh-CN" w:bidi="ar"/>
        </w:rPr>
        <w:t>二级</w:t>
      </w:r>
      <w:r>
        <w:rPr>
          <w:rFonts w:hint="default" w:ascii="Times New Roman" w:hAnsi="Times New Roman" w:eastAsia="方正仿宋_GBK" w:cs="Times New Roman"/>
          <w:color w:val="auto"/>
          <w:kern w:val="0"/>
          <w:sz w:val="32"/>
          <w:szCs w:val="32"/>
          <w:lang w:val="en-US" w:eastAsia="zh-CN" w:bidi="ar"/>
        </w:rPr>
        <w:t>项目开展了绩效</w:t>
      </w:r>
      <w:r>
        <w:rPr>
          <w:rFonts w:hint="eastAsia" w:ascii="Times New Roman" w:hAnsi="Times New Roman" w:eastAsia="方正仿宋_GBK" w:cs="Times New Roman"/>
          <w:color w:val="auto"/>
          <w:kern w:val="0"/>
          <w:sz w:val="32"/>
          <w:szCs w:val="32"/>
          <w:lang w:val="en-US" w:eastAsia="zh-CN" w:bidi="ar"/>
        </w:rPr>
        <w:t>自评</w:t>
      </w:r>
      <w:r>
        <w:rPr>
          <w:rFonts w:hint="default" w:ascii="Times New Roman" w:hAnsi="Times New Roman" w:eastAsia="方正仿宋_GBK" w:cs="Times New Roman"/>
          <w:color w:val="auto"/>
          <w:kern w:val="0"/>
          <w:sz w:val="32"/>
          <w:szCs w:val="32"/>
          <w:lang w:val="en-US" w:eastAsia="zh-CN" w:bidi="ar"/>
        </w:rPr>
        <w:t>，涉及</w:t>
      </w:r>
      <w:r>
        <w:rPr>
          <w:rFonts w:hint="eastAsia" w:ascii="Times New Roman" w:hAnsi="Times New Roman" w:eastAsia="方正仿宋_GBK" w:cs="Times New Roman"/>
          <w:color w:val="auto"/>
          <w:kern w:val="0"/>
          <w:sz w:val="32"/>
          <w:szCs w:val="32"/>
          <w:lang w:val="en-US" w:eastAsia="zh-CN" w:bidi="ar"/>
        </w:rPr>
        <w:t>财政拨款项目支出78.75</w:t>
      </w:r>
      <w:r>
        <w:rPr>
          <w:rFonts w:hint="default" w:ascii="Times New Roman" w:hAnsi="Times New Roman" w:eastAsia="方正仿宋_GBK" w:cs="Times New Roman"/>
          <w:color w:val="auto"/>
          <w:kern w:val="0"/>
          <w:sz w:val="32"/>
          <w:szCs w:val="32"/>
          <w:lang w:val="en-US" w:eastAsia="zh-CN" w:bidi="ar"/>
        </w:rPr>
        <w:t>万元。</w:t>
      </w:r>
    </w:p>
    <w:tbl>
      <w:tblPr>
        <w:tblStyle w:val="8"/>
        <w:tblW w:w="87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5"/>
        <w:gridCol w:w="790"/>
        <w:gridCol w:w="723"/>
        <w:gridCol w:w="968"/>
        <w:gridCol w:w="1268"/>
        <w:gridCol w:w="968"/>
        <w:gridCol w:w="778"/>
        <w:gridCol w:w="106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877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2023</w:t>
            </w:r>
            <w:r>
              <w:rPr>
                <w:rStyle w:val="17"/>
                <w:rFonts w:hint="default" w:ascii="Times New Roman" w:hAnsi="Times New Roman" w:eastAsia="方正仿宋_GBK" w:cs="Times New Roman"/>
                <w:sz w:val="24"/>
                <w:szCs w:val="24"/>
                <w:lang w:val="en-US" w:eastAsia="zh-CN" w:bidi="ar"/>
              </w:rPr>
              <w:t>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77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项目名称</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2023</w:t>
            </w:r>
            <w:r>
              <w:rPr>
                <w:rStyle w:val="18"/>
                <w:rFonts w:hint="default" w:ascii="Times New Roman" w:hAnsi="Times New Roman" w:eastAsia="方正仿宋_GBK" w:cs="Times New Roman"/>
                <w:b w:val="0"/>
                <w:bCs w:val="0"/>
                <w:sz w:val="24"/>
                <w:szCs w:val="24"/>
                <w:lang w:val="en-US" w:eastAsia="zh-CN" w:bidi="ar"/>
              </w:rPr>
              <w:t>年招商引资活动工作经费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项目编码</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50023823T000003444546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自评总分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b w:val="0"/>
                <w:bCs w:val="0"/>
                <w:i w:val="0"/>
                <w:iCs w:val="0"/>
                <w:color w:val="000000"/>
                <w:sz w:val="24"/>
                <w:szCs w:val="24"/>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项目主管部门</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032-</w:t>
            </w:r>
            <w:r>
              <w:rPr>
                <w:rStyle w:val="18"/>
                <w:rFonts w:hint="default" w:ascii="Times New Roman" w:hAnsi="Times New Roman" w:eastAsia="方正仿宋_GBK" w:cs="Times New Roman"/>
                <w:b w:val="0"/>
                <w:bCs w:val="0"/>
                <w:sz w:val="24"/>
                <w:szCs w:val="24"/>
                <w:lang w:val="en-US" w:eastAsia="zh-CN" w:bidi="ar"/>
              </w:rPr>
              <w:t>巫溪县发展和改革委员会</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财政归口处室</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005-</w:t>
            </w:r>
            <w:r>
              <w:rPr>
                <w:rStyle w:val="19"/>
                <w:rFonts w:hint="default" w:ascii="Times New Roman" w:hAnsi="Times New Roman" w:eastAsia="方正仿宋_GBK" w:cs="Times New Roman"/>
                <w:b w:val="0"/>
                <w:bCs w:val="0"/>
                <w:sz w:val="24"/>
                <w:szCs w:val="24"/>
                <w:lang w:val="en-US" w:eastAsia="zh-CN" w:bidi="ar"/>
              </w:rPr>
              <w:t>行财科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部门联系人</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张丽</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联系电话</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18883545426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877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年初预算数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全年（调整）预算数</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全年执行数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执行率权重</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年度总金额</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 </w:t>
            </w:r>
          </w:p>
        </w:tc>
        <w:tc>
          <w:tcPr>
            <w:tcW w:w="12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000000"/>
                <w:sz w:val="24"/>
                <w:szCs w:val="24"/>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其中：财政拨款</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 </w:t>
            </w:r>
          </w:p>
        </w:tc>
        <w:tc>
          <w:tcPr>
            <w:tcW w:w="12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一般公共预算</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 </w:t>
            </w:r>
          </w:p>
        </w:tc>
        <w:tc>
          <w:tcPr>
            <w:tcW w:w="12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000000"/>
                <w:sz w:val="24"/>
                <w:szCs w:val="24"/>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77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年初绩效目标</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全年（调整）绩效目标</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完成县委县政府下达</w:t>
            </w:r>
            <w:r>
              <w:rPr>
                <w:rStyle w:val="20"/>
                <w:rFonts w:hint="default" w:ascii="Times New Roman" w:hAnsi="Times New Roman" w:eastAsia="方正仿宋_GBK" w:cs="Times New Roman"/>
                <w:b w:val="0"/>
                <w:bCs w:val="0"/>
                <w:sz w:val="24"/>
                <w:szCs w:val="24"/>
                <w:lang w:val="en-US" w:eastAsia="zh-CN" w:bidi="ar"/>
              </w:rPr>
              <w:t>2023</w:t>
            </w:r>
            <w:r>
              <w:rPr>
                <w:rStyle w:val="18"/>
                <w:rFonts w:hint="default" w:ascii="Times New Roman" w:hAnsi="Times New Roman" w:eastAsia="方正仿宋_GBK" w:cs="Times New Roman"/>
                <w:b w:val="0"/>
                <w:bCs w:val="0"/>
                <w:sz w:val="24"/>
                <w:szCs w:val="24"/>
                <w:lang w:val="en-US" w:eastAsia="zh-CN" w:bidi="ar"/>
              </w:rPr>
              <w:t>年招商引资工作任务，开展各类招商引资工作及活动，招引优质企业来巫投资兴业。</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4"/>
                <w:szCs w:val="24"/>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超额完成县委县政府下达的</w:t>
            </w:r>
            <w:r>
              <w:rPr>
                <w:rStyle w:val="20"/>
                <w:rFonts w:hint="default" w:ascii="Times New Roman" w:hAnsi="Times New Roman" w:eastAsia="方正仿宋_GBK" w:cs="Times New Roman"/>
                <w:b w:val="0"/>
                <w:bCs w:val="0"/>
                <w:sz w:val="24"/>
                <w:szCs w:val="24"/>
                <w:lang w:val="en-US" w:eastAsia="zh-CN" w:bidi="ar"/>
              </w:rPr>
              <w:t>2023</w:t>
            </w:r>
            <w:r>
              <w:rPr>
                <w:rStyle w:val="18"/>
                <w:rFonts w:hint="default" w:ascii="Times New Roman" w:hAnsi="Times New Roman" w:eastAsia="方正仿宋_GBK" w:cs="Times New Roman"/>
                <w:b w:val="0"/>
                <w:bCs w:val="0"/>
                <w:sz w:val="24"/>
                <w:szCs w:val="24"/>
                <w:lang w:val="en-US" w:eastAsia="zh-CN" w:bidi="ar"/>
              </w:rPr>
              <w:t>年招商引资工作任务，签约正式合同额</w:t>
            </w:r>
            <w:r>
              <w:rPr>
                <w:rStyle w:val="20"/>
                <w:rFonts w:hint="default" w:ascii="Times New Roman" w:hAnsi="Times New Roman" w:eastAsia="方正仿宋_GBK" w:cs="Times New Roman"/>
                <w:b w:val="0"/>
                <w:bCs w:val="0"/>
                <w:sz w:val="24"/>
                <w:szCs w:val="24"/>
                <w:lang w:val="en-US" w:eastAsia="zh-CN" w:bidi="ar"/>
              </w:rPr>
              <w:t>73.98</w:t>
            </w:r>
            <w:r>
              <w:rPr>
                <w:rStyle w:val="18"/>
                <w:rFonts w:hint="default" w:ascii="Times New Roman" w:hAnsi="Times New Roman" w:eastAsia="方正仿宋_GBK" w:cs="Times New Roman"/>
                <w:b w:val="0"/>
                <w:bCs w:val="0"/>
                <w:sz w:val="24"/>
                <w:szCs w:val="24"/>
                <w:lang w:val="en-US" w:eastAsia="zh-CN" w:bidi="ar"/>
              </w:rPr>
              <w:t>亿元，招引优质企业来巫投资兴业，成功开展各类招商引资工作及活动。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77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指标名称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计量单位</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指标性质</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全年完成值</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得分系数（</w:t>
            </w:r>
            <w:r>
              <w:rPr>
                <w:rStyle w:val="21"/>
                <w:rFonts w:hint="default" w:ascii="Times New Roman" w:hAnsi="Times New Roman" w:eastAsia="方正仿宋_GBK" w:cs="Times New Roman"/>
                <w:b w:val="0"/>
                <w:bCs w:val="0"/>
                <w:sz w:val="24"/>
                <w:szCs w:val="24"/>
                <w:lang w:val="en-US" w:eastAsia="zh-CN" w:bidi="ar"/>
              </w:rPr>
              <w:t>%</w:t>
            </w:r>
            <w:r>
              <w:rPr>
                <w:rStyle w:val="17"/>
                <w:rFonts w:hint="default" w:ascii="Times New Roman" w:hAnsi="Times New Roman" w:eastAsia="方正仿宋_GBK" w:cs="Times New Roman"/>
                <w:b w:val="0"/>
                <w:bCs w:val="0"/>
                <w:sz w:val="24"/>
                <w:szCs w:val="24"/>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指标权重</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是否核心指标</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资金总额</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万</w:t>
            </w:r>
            <w:r>
              <w:rPr>
                <w:rFonts w:hint="default" w:ascii="Times New Roman" w:hAnsi="Times New Roman" w:eastAsia="方正仿宋_GBK" w:cs="Times New Roman"/>
                <w:b w:val="0"/>
                <w:bCs w:val="0"/>
                <w:i w:val="0"/>
                <w:iCs w:val="0"/>
                <w:color w:val="000000"/>
                <w:kern w:val="0"/>
                <w:sz w:val="24"/>
                <w:szCs w:val="24"/>
                <w:u w:val="none"/>
                <w:lang w:val="en-US" w:eastAsia="zh-CN" w:bidi="ar"/>
              </w:rPr>
              <w:t>元</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50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否</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通过开展招商活动完成签约合同额</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亿元</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否</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服务对象满意度</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93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93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否</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4"/>
                <w:szCs w:val="24"/>
                <w:u w:val="none"/>
              </w:rPr>
            </w:pPr>
          </w:p>
        </w:tc>
      </w:tr>
    </w:tbl>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（二）单位绩效评价情况</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我单位未组织开展绩效评价。</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（三）财政绩效评价情况</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县</w:t>
      </w:r>
      <w:r>
        <w:rPr>
          <w:rFonts w:hint="default" w:ascii="Times New Roman" w:hAnsi="Times New Roman" w:eastAsia="方正仿宋_GBK" w:cs="Times New Roman"/>
          <w:color w:val="auto"/>
          <w:sz w:val="32"/>
          <w:szCs w:val="32"/>
          <w:shd w:val="clear" w:color="auto" w:fill="FFFFFF"/>
          <w:lang w:val="en-US" w:eastAsia="zh-CN" w:bidi="ar-SA"/>
        </w:rPr>
        <w:t>财政局未委托第三方对我单位开展绩效评价。</w:t>
      </w:r>
    </w:p>
    <w:p>
      <w:pPr>
        <w:pStyle w:val="7"/>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六、专业名词解释</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（四）其他收入：</w:t>
      </w:r>
      <w:r>
        <w:rPr>
          <w:rFonts w:hint="default" w:ascii="Times New Roman" w:hAnsi="Times New Roman" w:eastAsia="方正仿宋_GBK" w:cs="Times New Roman"/>
          <w:color w:val="auto"/>
          <w:sz w:val="32"/>
          <w:szCs w:val="32"/>
          <w:shd w:val="clear" w:color="auto" w:fill="FFFFFF"/>
        </w:rPr>
        <w:t>指单位取得的除</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财政拨款收入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（五）使用非财政拨款结余：</w:t>
      </w:r>
      <w:r>
        <w:rPr>
          <w:rFonts w:hint="default" w:ascii="Times New Roman" w:hAnsi="Times New Roman" w:eastAsia="方正仿宋_GBK" w:cs="Times New Roman"/>
          <w:color w:val="auto"/>
          <w:sz w:val="32"/>
          <w:szCs w:val="32"/>
          <w:shd w:val="clear" w:color="auto" w:fill="FFFFFF"/>
        </w:rPr>
        <w:t>指单位在当年的</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财政拨款收入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其他收入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等不足以安排当年支出的情况下，使用以前年度积累的非财政拨款结余弥补本年度收支缺口的资金。</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工资福利支出</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和</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对个人和家庭的补助</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；公用经费指政府收支分类经济科目中除</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工资福利支出</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和</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对个人和家庭的补助</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外的其他支出。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（十一）经营支出：</w:t>
      </w:r>
      <w:r>
        <w:rPr>
          <w:rFonts w:hint="default" w:ascii="Times New Roman" w:hAnsi="Times New Roman" w:eastAsia="方正仿宋_GBK" w:cs="Times New Roman"/>
          <w:color w:val="auto"/>
          <w:sz w:val="32"/>
          <w:szCs w:val="32"/>
          <w:shd w:val="clear" w:color="auto" w:fill="FFFFFF"/>
        </w:rPr>
        <w:t>指事业单位在专业业务活动及其辅助活</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动之外开展非独立核算经营活动发生的支出。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（十二）</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default" w:ascii="方正楷体_GBK" w:hAnsi="方正楷体_GBK" w:eastAsia="方正楷体_GBK" w:cs="方正楷体_GBK"/>
          <w:b w:val="0"/>
          <w:bCs w:val="0"/>
          <w:color w:val="auto"/>
          <w:sz w:val="32"/>
          <w:szCs w:val="32"/>
          <w:shd w:val="clear" w:color="auto" w:fill="FFFFFF"/>
        </w:rPr>
        <w:t>三公</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default" w:ascii="方正楷体_GBK" w:hAnsi="方正楷体_GBK" w:eastAsia="方正楷体_GBK" w:cs="方正楷体_GBK"/>
          <w:b w:val="0"/>
          <w:bCs w:val="0"/>
          <w:color w:val="auto"/>
          <w:sz w:val="32"/>
          <w:szCs w:val="32"/>
          <w:shd w:val="clear" w:color="auto" w:fill="FFFFFF"/>
        </w:rPr>
        <w:t>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七、决算公开联系方式及信息反馈渠道</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08" w:firstLineChars="200"/>
        <w:jc w:val="both"/>
        <w:textAlignment w:val="auto"/>
        <w:rPr>
          <w:rFonts w:hint="eastAsia" w:ascii="方正仿宋_GBK" w:hAnsi="方正仿宋_GBK" w:eastAsia="方正仿宋_GBK" w:cs="方正仿宋_GBK"/>
          <w:sz w:val="32"/>
          <w:szCs w:val="32"/>
        </w:rPr>
        <w:sectPr>
          <w:footerReference r:id="rId3" w:type="default"/>
          <w:pgSz w:w="11915" w:h="16840"/>
          <w:pgMar w:top="2098" w:right="1474" w:bottom="1474" w:left="1587" w:header="851" w:footer="992" w:gutter="0"/>
          <w:pgNumType w:fmt="numberInDash"/>
          <w:cols w:space="0" w:num="1"/>
          <w:rtlGutter w:val="0"/>
          <w:docGrid w:type="lines" w:linePitch="331" w:charSpace="0"/>
        </w:sectPr>
      </w:pPr>
      <w:r>
        <w:rPr>
          <w:rFonts w:hint="eastAsia" w:ascii="方正仿宋_GBK" w:hAnsi="方正仿宋_GBK" w:eastAsia="方正仿宋_GBK" w:cs="方正仿宋_GBK"/>
          <w:w w:val="95"/>
          <w:sz w:val="32"/>
          <w:szCs w:val="32"/>
        </w:rPr>
        <w:t>本单位决算公开信息反馈和联系方式：</w:t>
      </w:r>
      <w:r>
        <w:rPr>
          <w:rFonts w:hint="eastAsia" w:ascii="Times New Roman" w:hAnsi="Times New Roman" w:eastAsia="方正仿宋_GBK" w:cs="Times New Roman"/>
          <w:color w:val="auto"/>
          <w:sz w:val="32"/>
          <w:szCs w:val="32"/>
          <w:shd w:val="clear" w:color="auto" w:fill="FFFFFF"/>
          <w:lang w:val="en-US" w:eastAsia="zh-CN"/>
        </w:rPr>
        <w:t xml:space="preserve">张丽 </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5151953</w:t>
      </w:r>
      <w:r>
        <w:rPr>
          <w:rFonts w:hint="eastAsia" w:ascii="Times New Roman" w:hAnsi="Times New Roman" w:eastAsia="方正仿宋_GBK" w:cs="Times New Roman"/>
          <w:color w:val="auto"/>
          <w:sz w:val="32"/>
          <w:szCs w:val="32"/>
          <w:shd w:val="clear" w:color="auto" w:fill="FFFFFF"/>
          <w:lang w:val="en-US" w:eastAsia="zh-CN"/>
        </w:rPr>
        <w:t>3</w:t>
      </w:r>
    </w:p>
    <w:p>
      <w:pPr>
        <w:shd w:val="clear"/>
        <w:rPr>
          <w:rFonts w:hint="default" w:ascii="Times New Roman" w:hAnsi="Times New Roman" w:cs="Times New Roman"/>
          <w:color w:val="auto"/>
          <w:sz w:val="21"/>
          <w:szCs w:val="21"/>
        </w:rPr>
      </w:pPr>
    </w:p>
    <w:tbl>
      <w:tblPr>
        <w:tblStyle w:val="8"/>
        <w:tblW w:w="4960" w:type="pct"/>
        <w:tblInd w:w="0" w:type="dxa"/>
        <w:tblLayout w:type="autofit"/>
        <w:tblCellMar>
          <w:top w:w="0" w:type="dxa"/>
          <w:left w:w="0" w:type="dxa"/>
          <w:bottom w:w="0" w:type="dxa"/>
          <w:right w:w="0" w:type="dxa"/>
        </w:tblCellMar>
      </w:tblPr>
      <w:tblGrid>
        <w:gridCol w:w="4553"/>
        <w:gridCol w:w="1797"/>
        <w:gridCol w:w="4274"/>
        <w:gridCol w:w="3074"/>
      </w:tblGrid>
      <w:tr>
        <w:tblPrEx>
          <w:tblCellMar>
            <w:top w:w="0" w:type="dxa"/>
            <w:left w:w="0" w:type="dxa"/>
            <w:bottom w:w="0" w:type="dxa"/>
            <w:right w:w="0" w:type="dxa"/>
          </w:tblCellMar>
        </w:tblPrEx>
        <w:trPr>
          <w:trHeight w:val="154"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CellMar>
            <w:top w:w="0" w:type="dxa"/>
            <w:left w:w="0" w:type="dxa"/>
            <w:bottom w:w="0" w:type="dxa"/>
            <w:right w:w="0" w:type="dxa"/>
          </w:tblCellMar>
        </w:tblPrEx>
        <w:trPr>
          <w:trHeight w:val="110" w:hRule="atLeast"/>
        </w:trPr>
        <w:tc>
          <w:tcPr>
            <w:tcW w:w="166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Times New Roman"/>
                <w:color w:val="auto"/>
                <w:sz w:val="20"/>
                <w:szCs w:val="20"/>
              </w:rPr>
            </w:pPr>
          </w:p>
        </w:tc>
        <w:tc>
          <w:tcPr>
            <w:tcW w:w="1560"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20"/>
                <w:szCs w:val="20"/>
              </w:rPr>
            </w:pPr>
          </w:p>
        </w:tc>
        <w:tc>
          <w:tcPr>
            <w:tcW w:w="1120"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CellMar>
            <w:top w:w="0" w:type="dxa"/>
            <w:left w:w="0" w:type="dxa"/>
            <w:bottom w:w="0" w:type="dxa"/>
            <w:right w:w="0" w:type="dxa"/>
          </w:tblCellMar>
        </w:tblPrEx>
        <w:trPr>
          <w:trHeight w:val="110" w:hRule="atLeast"/>
        </w:trPr>
        <w:tc>
          <w:tcPr>
            <w:tcW w:w="2318" w:type="pct"/>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重庆市巫溪县投资促进服务中心</w:t>
            </w:r>
          </w:p>
        </w:tc>
        <w:tc>
          <w:tcPr>
            <w:tcW w:w="1560"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22"/>
                <w:szCs w:val="22"/>
              </w:rPr>
            </w:pPr>
          </w:p>
        </w:tc>
        <w:tc>
          <w:tcPr>
            <w:tcW w:w="1120"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9" w:hRule="atLeast"/>
        </w:trPr>
        <w:tc>
          <w:tcPr>
            <w:tcW w:w="231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2681"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1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339.76</w:t>
            </w: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291.97</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24.93</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9"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10.39</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9"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9"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9"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9"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rPr>
                <w:rFonts w:hint="default" w:ascii="Times New Roman" w:hAnsi="Times New Roman" w:cs="Times New Roman"/>
                <w:b/>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auto"/>
                <w:sz w:val="20"/>
                <w:szCs w:val="20"/>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339.76</w:t>
            </w: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339.76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95"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12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102"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339.76</w:t>
            </w:r>
            <w:r>
              <w:rPr>
                <w:rFonts w:hint="default" w:ascii="Times New Roman" w:hAnsi="Times New Roman" w:cs="Times New Roman"/>
                <w:color w:val="auto"/>
                <w:sz w:val="20"/>
                <w:u w:color="auto"/>
              </w:rPr>
              <w:t xml:space="preserve"> </w:t>
            </w:r>
          </w:p>
        </w:tc>
        <w:tc>
          <w:tcPr>
            <w:tcW w:w="1560"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1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339.76</w:t>
            </w:r>
            <w:r>
              <w:rPr>
                <w:rFonts w:hint="default" w:ascii="Times New Roman" w:hAnsi="Times New Roman" w:cs="Times New Roman"/>
                <w:color w:val="auto"/>
                <w:sz w:val="20"/>
                <w:u w:color="auto"/>
              </w:rPr>
              <w:t xml:space="preserve"> </w:t>
            </w:r>
          </w:p>
        </w:tc>
      </w:tr>
    </w:tbl>
    <w:p>
      <w:pPr>
        <w:shd w:val="clea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pStyle w:val="2"/>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tbl>
      <w:tblPr>
        <w:tblStyle w:val="8"/>
        <w:tblW w:w="5000" w:type="pct"/>
        <w:tblInd w:w="0" w:type="dxa"/>
        <w:tblLayout w:type="fixed"/>
        <w:tblCellMar>
          <w:top w:w="0" w:type="dxa"/>
          <w:left w:w="0" w:type="dxa"/>
          <w:bottom w:w="0" w:type="dxa"/>
          <w:right w:w="0" w:type="dxa"/>
        </w:tblCellMar>
      </w:tblPr>
      <w:tblGrid>
        <w:gridCol w:w="1528"/>
        <w:gridCol w:w="2847"/>
        <w:gridCol w:w="1107"/>
        <w:gridCol w:w="1107"/>
        <w:gridCol w:w="1107"/>
        <w:gridCol w:w="1107"/>
        <w:gridCol w:w="1227"/>
        <w:gridCol w:w="1174"/>
        <w:gridCol w:w="1292"/>
        <w:gridCol w:w="1312"/>
      </w:tblGrid>
      <w:tr>
        <w:tblPrEx>
          <w:tblCellMar>
            <w:top w:w="0" w:type="dxa"/>
            <w:left w:w="0" w:type="dxa"/>
            <w:bottom w:w="0" w:type="dxa"/>
            <w:right w:w="0" w:type="dxa"/>
          </w:tblCellMar>
        </w:tblPrEx>
        <w:trPr>
          <w:trHeight w:val="544"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重庆市巫溪县投资促进服务中心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shd w:val="clea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339.76</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339.76</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291.97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291.97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54.94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54.94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50.25</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50.25</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237.03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237.03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28.50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28.50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208.53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208.53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16.62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16.62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8.31</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8.31</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10.39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10.39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shd w:val="clear"/>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shd w:val="clear"/>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8"/>
        <w:tblW w:w="5000" w:type="pct"/>
        <w:tblInd w:w="0" w:type="dxa"/>
        <w:tblLayout w:type="autofit"/>
        <w:tblCellMar>
          <w:top w:w="0" w:type="dxa"/>
          <w:left w:w="0" w:type="dxa"/>
          <w:bottom w:w="0" w:type="dxa"/>
          <w:right w:w="0" w:type="dxa"/>
        </w:tblCellMar>
      </w:tblPr>
      <w:tblGrid>
        <w:gridCol w:w="1930"/>
        <w:gridCol w:w="3819"/>
        <w:gridCol w:w="1461"/>
        <w:gridCol w:w="986"/>
        <w:gridCol w:w="986"/>
        <w:gridCol w:w="1455"/>
        <w:gridCol w:w="986"/>
        <w:gridCol w:w="2185"/>
      </w:tblGrid>
      <w:tr>
        <w:tblPrEx>
          <w:tblCellMar>
            <w:top w:w="0" w:type="dxa"/>
            <w:left w:w="0" w:type="dxa"/>
            <w:bottom w:w="0" w:type="dxa"/>
            <w:right w:w="0" w:type="dxa"/>
          </w:tblCellMar>
        </w:tblPrEx>
        <w:trPr>
          <w:trHeight w:val="23"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CellMar>
            <w:top w:w="0" w:type="dxa"/>
            <w:left w:w="0" w:type="dxa"/>
            <w:bottom w:w="0" w:type="dxa"/>
            <w:right w:w="0" w:type="dxa"/>
          </w:tblCellMar>
        </w:tblPrEx>
        <w:trPr>
          <w:trHeight w:val="23" w:hRule="atLeast"/>
        </w:trPr>
        <w:tc>
          <w:tcPr>
            <w:tcW w:w="2611"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重庆市巫溪县投资促进服务中心 </w:t>
            </w:r>
          </w:p>
        </w:tc>
        <w:tc>
          <w:tcPr>
            <w:tcW w:w="35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35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35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789"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CellMar>
            <w:top w:w="0" w:type="dxa"/>
            <w:left w:w="0" w:type="dxa"/>
            <w:bottom w:w="0" w:type="dxa"/>
            <w:right w:w="0" w:type="dxa"/>
          </w:tblCellMar>
        </w:tblPrEx>
        <w:trPr>
          <w:trHeight w:val="23" w:hRule="atLeast"/>
        </w:trPr>
        <w:tc>
          <w:tcPr>
            <w:tcW w:w="2611"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35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35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35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789"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23" w:hRule="atLeast"/>
        </w:trPr>
        <w:tc>
          <w:tcPr>
            <w:tcW w:w="2082"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CellMar>
            <w:top w:w="0" w:type="dxa"/>
            <w:left w:w="0" w:type="dxa"/>
            <w:bottom w:w="0" w:type="dxa"/>
            <w:right w:w="0" w:type="dxa"/>
          </w:tblCellMar>
        </w:tblPrEx>
        <w:trPr>
          <w:trHeight w:val="312" w:hRule="atLeast"/>
        </w:trPr>
        <w:tc>
          <w:tcPr>
            <w:tcW w:w="69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382"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12" w:hRule="atLeast"/>
        </w:trPr>
        <w:tc>
          <w:tcPr>
            <w:tcW w:w="69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38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12" w:hRule="atLeast"/>
        </w:trPr>
        <w:tc>
          <w:tcPr>
            <w:tcW w:w="69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38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12" w:hRule="atLeast"/>
        </w:trPr>
        <w:tc>
          <w:tcPr>
            <w:tcW w:w="69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38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23" w:hRule="atLeast"/>
        </w:trPr>
        <w:tc>
          <w:tcPr>
            <w:tcW w:w="208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339.76</w:t>
            </w:r>
            <w:r>
              <w:rPr>
                <w:rFonts w:hint="default" w:ascii="Times New Roman" w:hAnsi="Times New Roman" w:cs="Times New Roman"/>
                <w:b/>
                <w:color w:val="auto"/>
                <w:sz w:val="20"/>
                <w:u w:color="auto"/>
              </w:rPr>
              <w:t xml:space="preserve">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261.01</w:t>
            </w:r>
            <w:r>
              <w:rPr>
                <w:rFonts w:hint="default" w:ascii="Times New Roman" w:hAnsi="Times New Roman" w:cs="Times New Roman"/>
                <w:b/>
                <w:color w:val="auto"/>
                <w:sz w:val="20"/>
                <w:u w:color="auto"/>
              </w:rPr>
              <w:t xml:space="preserve">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78.75</w:t>
            </w:r>
            <w:r>
              <w:rPr>
                <w:rFonts w:hint="default" w:ascii="Times New Roman" w:hAnsi="Times New Roman" w:cs="Times New Roman"/>
                <w:b/>
                <w:color w:val="auto"/>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291.97</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213.22</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78.75</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20104</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发展与改革事务</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54.94</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4.69</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50.25</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2010450</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4.69</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4.69</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2010499</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其他发展与改革事务支出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50.25</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50.25</w:t>
            </w: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20113</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商贸事务</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237.03</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208.53</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28.50</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2011308</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招商引资</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28.50</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28.50</w:t>
            </w: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2011350</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208.53</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208.53</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16.62</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16.62</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8.31</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8.31</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10.39</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10.39</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3" w:hRule="atLeast"/>
        </w:trPr>
        <w:tc>
          <w:tcPr>
            <w:tcW w:w="6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12.46</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12.46</w:t>
            </w: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shd w:val="clea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shd w:val="clea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shd w:val="clear"/>
        <w:rPr>
          <w:rFonts w:hint="default" w:ascii="Times New Roman" w:hAnsi="Times New Roman" w:cs="Times New Roman"/>
          <w:color w:val="auto"/>
          <w:sz w:val="21"/>
          <w:szCs w:val="21"/>
        </w:rPr>
      </w:pPr>
    </w:p>
    <w:tbl>
      <w:tblPr>
        <w:tblStyle w:val="8"/>
        <w:tblW w:w="4940" w:type="pct"/>
        <w:tblInd w:w="0" w:type="dxa"/>
        <w:tblLayout w:type="autofit"/>
        <w:tblCellMar>
          <w:top w:w="0" w:type="dxa"/>
          <w:left w:w="0" w:type="dxa"/>
          <w:bottom w:w="0" w:type="dxa"/>
          <w:right w:w="0" w:type="dxa"/>
        </w:tblCellMar>
      </w:tblPr>
      <w:tblGrid>
        <w:gridCol w:w="2671"/>
        <w:gridCol w:w="1370"/>
        <w:gridCol w:w="2865"/>
        <w:gridCol w:w="1525"/>
        <w:gridCol w:w="1525"/>
        <w:gridCol w:w="1525"/>
        <w:gridCol w:w="216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531" w:type="pct"/>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重庆市巫溪县投资促进服务中心</w:t>
            </w:r>
          </w:p>
        </w:tc>
        <w:tc>
          <w:tcPr>
            <w:tcW w:w="55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5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5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789" w:type="pct"/>
            <w:tcBorders>
              <w:top w:val="nil"/>
              <w:left w:val="nil"/>
              <w:bottom w:val="nil"/>
              <w:right w:val="nil"/>
            </w:tcBorders>
            <w:shd w:val="clear" w:color="auto" w:fill="auto"/>
            <w:noWrap/>
            <w:tcMar>
              <w:top w:w="15" w:type="dxa"/>
              <w:left w:w="15" w:type="dxa"/>
              <w:right w:w="15" w:type="dxa"/>
            </w:tcMar>
            <w:vAlign w:val="bottom"/>
          </w:tcPr>
          <w:p>
            <w:pPr>
              <w:shd w:val="clea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CellMar>
            <w:top w:w="0" w:type="dxa"/>
            <w:left w:w="0" w:type="dxa"/>
            <w:bottom w:w="0" w:type="dxa"/>
            <w:right w:w="0" w:type="dxa"/>
          </w:tblCellMar>
        </w:tblPrEx>
        <w:trPr>
          <w:trHeight w:val="90" w:hRule="atLeast"/>
        </w:trPr>
        <w:tc>
          <w:tcPr>
            <w:tcW w:w="2531"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5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5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5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789"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0" w:hRule="atLeast"/>
        </w:trPr>
        <w:tc>
          <w:tcPr>
            <w:tcW w:w="148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3518"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CellMar>
            <w:top w:w="0" w:type="dxa"/>
            <w:left w:w="0" w:type="dxa"/>
            <w:bottom w:w="0" w:type="dxa"/>
            <w:right w:w="0" w:type="dxa"/>
          </w:tblCellMar>
        </w:tblPrEx>
        <w:trPr>
          <w:trHeight w:val="90" w:hRule="atLeast"/>
        </w:trPr>
        <w:tc>
          <w:tcPr>
            <w:tcW w:w="97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04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246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CellMar>
            <w:top w:w="0" w:type="dxa"/>
            <w:left w:w="0" w:type="dxa"/>
            <w:bottom w:w="0" w:type="dxa"/>
            <w:right w:w="0" w:type="dxa"/>
          </w:tblCellMar>
        </w:tblPrEx>
        <w:trPr>
          <w:trHeight w:val="90" w:hRule="atLeast"/>
        </w:trPr>
        <w:tc>
          <w:tcPr>
            <w:tcW w:w="9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10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5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55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55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78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339.76</w:t>
            </w:r>
            <w:r>
              <w:rPr>
                <w:rFonts w:hint="default" w:ascii="Times New Roman" w:hAnsi="Times New Roman" w:cs="Times New Roman"/>
                <w:color w:val="auto"/>
                <w:sz w:val="18"/>
                <w:u w:color="auto"/>
              </w:rPr>
              <w:t xml:space="preserve"> </w:t>
            </w: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291.97</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291.97</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24.93</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24.93</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10.39</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10.39</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12.46</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12.46</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339.76</w:t>
            </w:r>
            <w:r>
              <w:rPr>
                <w:rFonts w:hint="default" w:ascii="Times New Roman" w:hAnsi="Times New Roman" w:cs="Times New Roman"/>
                <w:color w:val="auto"/>
                <w:sz w:val="18"/>
                <w:u w:color="auto"/>
              </w:rPr>
              <w:t xml:space="preserve"> </w:t>
            </w: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339.76</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339.76</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4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97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339.76</w:t>
            </w:r>
            <w:r>
              <w:rPr>
                <w:rFonts w:hint="default" w:ascii="Times New Roman" w:hAnsi="Times New Roman" w:cs="Times New Roman"/>
                <w:color w:val="auto"/>
                <w:sz w:val="18"/>
                <w:u w:color="auto"/>
              </w:rPr>
              <w:t xml:space="preserve"> </w:t>
            </w:r>
          </w:p>
        </w:tc>
        <w:tc>
          <w:tcPr>
            <w:tcW w:w="10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339.76</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339.76</w:t>
            </w:r>
            <w:r>
              <w:rPr>
                <w:rFonts w:hint="default" w:ascii="Times New Roman" w:hAnsi="Times New Roman" w:cs="Times New Roman"/>
                <w:color w:val="auto"/>
                <w:sz w:val="18"/>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shd w:val="clea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8"/>
        <w:tblW w:w="5000" w:type="pct"/>
        <w:tblInd w:w="0" w:type="dxa"/>
        <w:tblLayout w:type="autofit"/>
        <w:tblCellMar>
          <w:top w:w="0" w:type="dxa"/>
          <w:left w:w="0" w:type="dxa"/>
          <w:bottom w:w="0" w:type="dxa"/>
          <w:right w:w="0" w:type="dxa"/>
        </w:tblCellMar>
      </w:tblPr>
      <w:tblGrid>
        <w:gridCol w:w="1657"/>
        <w:gridCol w:w="3230"/>
        <w:gridCol w:w="2969"/>
        <w:gridCol w:w="2969"/>
        <w:gridCol w:w="298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重庆市巫溪县投资促进服务中心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339.76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261.01</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78.75</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291.97</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213.22</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78.75</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54.94</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4.69</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50.25</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4.69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4.69</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50.25</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50.25</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237.03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208.53</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28.50</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28.50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28.50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208.53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208.53</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24.93</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16.62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16.62</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8.31</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8.31</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10.39</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10.39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10.39</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12.46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12.46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12.46</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shd w:val="clea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shd w:val="clea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4994" w:type="pct"/>
        <w:tblInd w:w="0" w:type="dxa"/>
        <w:tblLayout w:type="fixed"/>
        <w:tblCellMar>
          <w:top w:w="0" w:type="dxa"/>
          <w:left w:w="0" w:type="dxa"/>
          <w:bottom w:w="0" w:type="dxa"/>
          <w:right w:w="0" w:type="dxa"/>
        </w:tblCellMar>
      </w:tblPr>
      <w:tblGrid>
        <w:gridCol w:w="543"/>
        <w:gridCol w:w="2460"/>
        <w:gridCol w:w="1235"/>
        <w:gridCol w:w="751"/>
        <w:gridCol w:w="1727"/>
        <w:gridCol w:w="1487"/>
        <w:gridCol w:w="725"/>
        <w:gridCol w:w="3167"/>
        <w:gridCol w:w="1696"/>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hd w:val="clea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重庆市巫溪县投资促进服务中心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款</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款</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款</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241.88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19.13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58.65</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11.20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4.58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130.32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16.62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8.31</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10.39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0.55</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12.46</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0.64</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3.96</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241.88</w:t>
            </w:r>
            <w:r>
              <w:rPr>
                <w:rFonts w:hint="default" w:ascii="Times New Roman" w:hAnsi="Times New Roman" w:cs="Times New Roman"/>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19.13</w:t>
            </w:r>
            <w:r>
              <w:rPr>
                <w:rFonts w:hint="default" w:ascii="Times New Roman" w:hAnsi="Times New Roman" w:cs="Times New Roman"/>
                <w:color w:val="auto"/>
                <w:sz w:val="18"/>
                <w:u w:color="auto"/>
              </w:rPr>
              <w:t xml:space="preserve"> </w:t>
            </w:r>
          </w:p>
        </w:tc>
      </w:tr>
    </w:tbl>
    <w:p>
      <w:pPr>
        <w:shd w:val="clea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8"/>
        <w:tblW w:w="5000" w:type="pct"/>
        <w:tblInd w:w="0" w:type="dxa"/>
        <w:tblLayout w:type="autofit"/>
        <w:tblCellMar>
          <w:top w:w="0" w:type="dxa"/>
          <w:left w:w="0" w:type="dxa"/>
          <w:bottom w:w="0" w:type="dxa"/>
          <w:right w:w="0" w:type="dxa"/>
        </w:tblCellMar>
      </w:tblPr>
      <w:tblGrid>
        <w:gridCol w:w="1664"/>
        <w:gridCol w:w="2772"/>
        <w:gridCol w:w="1533"/>
        <w:gridCol w:w="1533"/>
        <w:gridCol w:w="1533"/>
        <w:gridCol w:w="1533"/>
        <w:gridCol w:w="1591"/>
        <w:gridCol w:w="164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重庆市巫溪县投资促进服务中心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shd w:val="clea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shd w:val="clea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5000" w:type="pct"/>
        <w:tblInd w:w="0" w:type="dxa"/>
        <w:tblLayout w:type="autofit"/>
        <w:tblCellMar>
          <w:top w:w="0" w:type="dxa"/>
          <w:left w:w="0" w:type="dxa"/>
          <w:bottom w:w="0" w:type="dxa"/>
          <w:right w:w="0" w:type="dxa"/>
        </w:tblCellMar>
      </w:tblPr>
      <w:tblGrid>
        <w:gridCol w:w="1689"/>
        <w:gridCol w:w="2748"/>
        <w:gridCol w:w="2941"/>
        <w:gridCol w:w="180"/>
        <w:gridCol w:w="3121"/>
        <w:gridCol w:w="69"/>
        <w:gridCol w:w="306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重庆市巫溪县投资促进服务中心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Times New Roman" w:hAnsi="Times New Roman" w:cs="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shd w:val="clea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8"/>
        <w:tblW w:w="4877" w:type="pct"/>
        <w:tblInd w:w="0" w:type="dxa"/>
        <w:tblLayout w:type="fixed"/>
        <w:tblCellMar>
          <w:top w:w="0" w:type="dxa"/>
          <w:left w:w="170" w:type="dxa"/>
          <w:bottom w:w="0" w:type="dxa"/>
          <w:right w:w="170" w:type="dxa"/>
        </w:tblCellMar>
      </w:tblPr>
      <w:tblGrid>
        <w:gridCol w:w="3628"/>
        <w:gridCol w:w="1945"/>
        <w:gridCol w:w="1899"/>
        <w:gridCol w:w="4062"/>
        <w:gridCol w:w="193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Times New Roman"/>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center"/>
              <w:rPr>
                <w:rFonts w:hint="default" w:ascii="Times New Roman" w:hAnsi="Times New Roman" w:cs="Times New Roman"/>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Times New Roman"/>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Times New Roman"/>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重庆市巫溪县投资促进服务中心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Times New Roman"/>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Times New Roman"/>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一、</w:t>
            </w:r>
            <w:r>
              <w:rPr>
                <w:rFonts w:hint="eastAsia" w:ascii="Times New Roman" w:hAnsi="Times New Roman" w:cs="Times New Roman"/>
                <w:color w:val="auto"/>
                <w:sz w:val="16"/>
                <w:szCs w:val="16"/>
                <w:lang w:eastAsia="zh-CN"/>
              </w:rPr>
              <w:t>“</w:t>
            </w:r>
            <w:r>
              <w:rPr>
                <w:rFonts w:hint="default" w:ascii="Times New Roman" w:hAnsi="Times New Roman" w:cs="Times New Roman"/>
                <w:color w:val="auto"/>
                <w:sz w:val="16"/>
                <w:szCs w:val="16"/>
              </w:rPr>
              <w:t>三公</w:t>
            </w:r>
            <w:r>
              <w:rPr>
                <w:rFonts w:hint="eastAsia" w:ascii="Times New Roman" w:hAnsi="Times New Roman" w:cs="Times New Roman"/>
                <w:color w:val="auto"/>
                <w:sz w:val="16"/>
                <w:szCs w:val="16"/>
                <w:lang w:eastAsia="zh-CN"/>
              </w:rPr>
              <w:t>”</w:t>
            </w:r>
            <w:r>
              <w:rPr>
                <w:rFonts w:hint="default" w:ascii="Times New Roman" w:hAnsi="Times New Roman" w:cs="Times New Roman"/>
                <w:color w:val="auto"/>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4.96</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4.96</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3.96</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3.96</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3.96</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3.96</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1.00</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1.00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1.00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12</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110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Times New Roman"/>
                <w:color w:val="auto"/>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Times New Roman"/>
                <w:color w:val="auto"/>
                <w:sz w:val="16"/>
                <w:szCs w:val="16"/>
              </w:rPr>
            </w:pPr>
          </w:p>
        </w:tc>
      </w:tr>
    </w:tbl>
    <w:p>
      <w:pPr>
        <w:shd w:val="clea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三公</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经费支出预决算情况。其中，预算数为</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三公</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footerReference r:id="rId5" w:type="default"/>
      <w:pgSz w:w="16839" w:h="11907" w:orient="landscape"/>
      <w:pgMar w:top="2098" w:right="1474" w:bottom="1474" w:left="1587" w:header="0" w:footer="283" w:gutter="0"/>
      <w:pgNumType w:fmt="decimal"/>
      <w:cols w:space="72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6A17A9"/>
    <w:rsid w:val="0A86124A"/>
    <w:rsid w:val="0AB54CC0"/>
    <w:rsid w:val="0B9335CE"/>
    <w:rsid w:val="0BF2311A"/>
    <w:rsid w:val="0C7927C4"/>
    <w:rsid w:val="0C9B098C"/>
    <w:rsid w:val="0D673E11"/>
    <w:rsid w:val="0DDA54E4"/>
    <w:rsid w:val="0E3A5F83"/>
    <w:rsid w:val="0F836721"/>
    <w:rsid w:val="0FA25D96"/>
    <w:rsid w:val="0FF90E5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F86B99"/>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BA372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9E42D8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8A369C"/>
    <w:rsid w:val="36C9128A"/>
    <w:rsid w:val="37841E99"/>
    <w:rsid w:val="37BF1123"/>
    <w:rsid w:val="37D23FA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0358E2"/>
    <w:rsid w:val="5842572D"/>
    <w:rsid w:val="5A3B59D6"/>
    <w:rsid w:val="5AD134D8"/>
    <w:rsid w:val="5C263CE4"/>
    <w:rsid w:val="5C5D2777"/>
    <w:rsid w:val="5CF66BF3"/>
    <w:rsid w:val="5D290C69"/>
    <w:rsid w:val="5E532442"/>
    <w:rsid w:val="5F2D4A41"/>
    <w:rsid w:val="601F172F"/>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8437F3"/>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02974"/>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720C0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font41"/>
    <w:basedOn w:val="10"/>
    <w:qFormat/>
    <w:uiPriority w:val="0"/>
    <w:rPr>
      <w:rFonts w:ascii="方正仿宋_GBK" w:hAnsi="方正仿宋_GBK" w:eastAsia="方正仿宋_GBK" w:cs="方正仿宋_GBK"/>
      <w:b/>
      <w:bCs/>
      <w:color w:val="000000"/>
      <w:sz w:val="18"/>
      <w:szCs w:val="18"/>
      <w:u w:val="none"/>
    </w:rPr>
  </w:style>
  <w:style w:type="character" w:customStyle="1" w:styleId="18">
    <w:name w:val="font71"/>
    <w:basedOn w:val="10"/>
    <w:qFormat/>
    <w:uiPriority w:val="0"/>
    <w:rPr>
      <w:rFonts w:hint="eastAsia" w:ascii="方正仿宋_GBK" w:hAnsi="方正仿宋_GBK" w:eastAsia="方正仿宋_GBK" w:cs="方正仿宋_GBK"/>
      <w:color w:val="000000"/>
      <w:sz w:val="18"/>
      <w:szCs w:val="18"/>
      <w:u w:val="none"/>
    </w:rPr>
  </w:style>
  <w:style w:type="character" w:customStyle="1" w:styleId="19">
    <w:name w:val="font101"/>
    <w:basedOn w:val="10"/>
    <w:qFormat/>
    <w:uiPriority w:val="0"/>
    <w:rPr>
      <w:rFonts w:hint="eastAsia" w:ascii="方正仿宋_GBK" w:hAnsi="方正仿宋_GBK" w:eastAsia="方正仿宋_GBK" w:cs="方正仿宋_GBK"/>
      <w:color w:val="000000"/>
      <w:sz w:val="18"/>
      <w:szCs w:val="18"/>
      <w:u w:val="none"/>
    </w:rPr>
  </w:style>
  <w:style w:type="character" w:customStyle="1" w:styleId="20">
    <w:name w:val="font51"/>
    <w:basedOn w:val="10"/>
    <w:qFormat/>
    <w:uiPriority w:val="0"/>
    <w:rPr>
      <w:rFonts w:hint="default" w:ascii="Times New Roman" w:hAnsi="Times New Roman" w:cs="Times New Roman"/>
      <w:color w:val="000000"/>
      <w:sz w:val="18"/>
      <w:szCs w:val="18"/>
      <w:u w:val="none"/>
    </w:rPr>
  </w:style>
  <w:style w:type="character" w:customStyle="1" w:styleId="21">
    <w:name w:val="font11"/>
    <w:basedOn w:val="10"/>
    <w:qFormat/>
    <w:uiPriority w:val="0"/>
    <w:rPr>
      <w:rFonts w:hint="default" w:ascii="Times New Roman" w:hAnsi="Times New Roman" w:cs="Times New Roman"/>
      <w:b/>
      <w:b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8451</Words>
  <Characters>10326</Characters>
  <Lines>190</Lines>
  <Paragraphs>53</Paragraphs>
  <TotalTime>29</TotalTime>
  <ScaleCrop>false</ScaleCrop>
  <LinksUpToDate>false</LinksUpToDate>
  <CharactersWithSpaces>11363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2024-09-29T09:19:28Z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F1949CE2204041E3998F69872B4FF4F2_13</vt:lpwstr>
  </property>
</Properties>
</file>