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48EA7">
      <w:pPr>
        <w:widowControl/>
        <w:jc w:val="both"/>
        <w:rPr>
          <w:rFonts w:hint="eastAsia" w:ascii="仿宋_GB2312" w:hAnsi="仿宋_GB2312" w:eastAsia="仿宋_GB2312" w:cs="仿宋_GB2312"/>
          <w:b/>
          <w:bCs/>
          <w:color w:val="auto"/>
          <w:kern w:val="0"/>
          <w:sz w:val="32"/>
          <w:szCs w:val="32"/>
          <w:highlight w:val="none"/>
          <w:lang w:eastAsia="zh-CN"/>
        </w:rPr>
      </w:pPr>
      <w:r>
        <w:rPr>
          <w:rFonts w:hint="eastAsia" w:ascii="仿宋_GB2312" w:hAnsi="仿宋_GB2312" w:eastAsia="仿宋_GB2312" w:cs="仿宋_GB2312"/>
          <w:b/>
          <w:bCs/>
          <w:color w:val="auto"/>
          <w:kern w:val="0"/>
          <w:sz w:val="32"/>
          <w:szCs w:val="32"/>
          <w:highlight w:val="none"/>
        </w:rPr>
        <w:t>附件</w:t>
      </w:r>
      <w:r>
        <w:rPr>
          <w:rFonts w:hint="eastAsia" w:ascii="仿宋_GB2312" w:hAnsi="仿宋_GB2312" w:eastAsia="仿宋_GB2312" w:cs="仿宋_GB2312"/>
          <w:b/>
          <w:bCs/>
          <w:color w:val="auto"/>
          <w:kern w:val="0"/>
          <w:sz w:val="32"/>
          <w:szCs w:val="32"/>
          <w:highlight w:val="none"/>
          <w:lang w:val="en-US" w:eastAsia="zh-CN"/>
        </w:rPr>
        <w:t>1</w:t>
      </w:r>
      <w:r>
        <w:rPr>
          <w:rFonts w:hint="eastAsia" w:ascii="仿宋_GB2312" w:hAnsi="仿宋_GB2312" w:eastAsia="仿宋_GB2312" w:cs="仿宋_GB2312"/>
          <w:b/>
          <w:bCs/>
          <w:color w:val="auto"/>
          <w:kern w:val="0"/>
          <w:sz w:val="32"/>
          <w:szCs w:val="32"/>
          <w:highlight w:val="none"/>
          <w:lang w:eastAsia="zh-CN"/>
        </w:rPr>
        <w:t>：</w:t>
      </w:r>
    </w:p>
    <w:p w14:paraId="08481208">
      <w:pPr>
        <w:keepNext w:val="0"/>
        <w:keepLines w:val="0"/>
        <w:pageBreakBefore w:val="0"/>
        <w:widowControl w:val="0"/>
        <w:kinsoku/>
        <w:overflowPunct/>
        <w:topLinePunct w:val="0"/>
        <w:autoSpaceDE w:val="0"/>
        <w:autoSpaceDN w:val="0"/>
        <w:bidi w:val="0"/>
        <w:spacing w:line="460" w:lineRule="exact"/>
        <w:jc w:val="center"/>
        <w:rPr>
          <w:rFonts w:hint="eastAsia" w:ascii="仿宋_GB2312" w:hAnsi="仿宋_GB2312" w:eastAsia="仿宋_GB2312" w:cs="仿宋_GB2312"/>
          <w:color w:val="auto"/>
          <w:sz w:val="32"/>
          <w:szCs w:val="32"/>
          <w:highlight w:val="none"/>
        </w:rPr>
      </w:pPr>
      <w:bookmarkStart w:id="0" w:name="_Toc1084"/>
      <w:bookmarkStart w:id="1" w:name="_Toc27635"/>
      <w:bookmarkStart w:id="2" w:name="_Toc3854"/>
      <w:bookmarkStart w:id="3" w:name="_Toc16820"/>
      <w:bookmarkStart w:id="4" w:name="_Toc7527"/>
    </w:p>
    <w:p w14:paraId="1E7CDBE7">
      <w:pPr>
        <w:keepNext w:val="0"/>
        <w:keepLines w:val="0"/>
        <w:pageBreakBefore w:val="0"/>
        <w:widowControl w:val="0"/>
        <w:kinsoku/>
        <w:overflowPunct/>
        <w:topLinePunct w:val="0"/>
        <w:autoSpaceDE w:val="0"/>
        <w:autoSpaceDN w:val="0"/>
        <w:bidi w:val="0"/>
        <w:spacing w:line="460" w:lineRule="exact"/>
        <w:jc w:val="center"/>
        <w:rPr>
          <w:rFonts w:hint="eastAsia" w:ascii="仿宋_GB2312" w:hAnsi="仿宋_GB2312" w:eastAsia="仿宋_GB2312" w:cs="仿宋_GB2312"/>
          <w:color w:val="auto"/>
          <w:sz w:val="32"/>
          <w:szCs w:val="32"/>
          <w:highlight w:val="none"/>
        </w:rPr>
      </w:pPr>
    </w:p>
    <w:p w14:paraId="1276C01E">
      <w:pPr>
        <w:keepNext w:val="0"/>
        <w:keepLines w:val="0"/>
        <w:pageBreakBefore w:val="0"/>
        <w:widowControl w:val="0"/>
        <w:kinsoku/>
        <w:overflowPunct/>
        <w:topLinePunct w:val="0"/>
        <w:autoSpaceDE w:val="0"/>
        <w:autoSpaceDN w:val="0"/>
        <w:bidi w:val="0"/>
        <w:spacing w:line="460" w:lineRule="exact"/>
        <w:jc w:val="center"/>
        <w:rPr>
          <w:rFonts w:hint="eastAsia" w:ascii="仿宋_GB2312" w:hAnsi="仿宋_GB2312" w:eastAsia="仿宋_GB2312" w:cs="仿宋_GB2312"/>
          <w:color w:val="auto"/>
          <w:sz w:val="32"/>
          <w:szCs w:val="32"/>
          <w:highlight w:val="none"/>
        </w:rPr>
      </w:pPr>
    </w:p>
    <w:p w14:paraId="68E57FDA">
      <w:pPr>
        <w:keepNext w:val="0"/>
        <w:keepLines w:val="0"/>
        <w:pageBreakBefore w:val="0"/>
        <w:widowControl w:val="0"/>
        <w:kinsoku/>
        <w:overflowPunct/>
        <w:topLinePunct w:val="0"/>
        <w:autoSpaceDE w:val="0"/>
        <w:autoSpaceDN w:val="0"/>
        <w:bidi w:val="0"/>
        <w:spacing w:line="360" w:lineRule="auto"/>
        <w:jc w:val="center"/>
        <w:rPr>
          <w:rFonts w:hint="eastAsia" w:ascii="仿宋_GB2312" w:hAnsi="仿宋_GB2312" w:eastAsia="仿宋_GB2312" w:cs="仿宋_GB2312"/>
          <w:b/>
          <w:bCs w:val="0"/>
          <w:color w:val="auto"/>
          <w:sz w:val="44"/>
          <w:szCs w:val="44"/>
          <w:highlight w:val="none"/>
          <w:lang w:eastAsia="zh-CN"/>
        </w:rPr>
      </w:pPr>
      <w:r>
        <w:rPr>
          <w:rFonts w:hint="eastAsia" w:ascii="仿宋_GB2312" w:hAnsi="仿宋_GB2312" w:eastAsia="仿宋_GB2312" w:cs="仿宋_GB2312"/>
          <w:b/>
          <w:bCs w:val="0"/>
          <w:color w:val="auto"/>
          <w:sz w:val="44"/>
          <w:szCs w:val="44"/>
          <w:highlight w:val="none"/>
        </w:rPr>
        <w:t>重庆市</w:t>
      </w:r>
      <w:r>
        <w:rPr>
          <w:rFonts w:hint="eastAsia" w:ascii="仿宋_GB2312" w:hAnsi="仿宋_GB2312" w:eastAsia="仿宋_GB2312" w:cs="仿宋_GB2312"/>
          <w:b/>
          <w:bCs w:val="0"/>
          <w:color w:val="auto"/>
          <w:sz w:val="44"/>
          <w:szCs w:val="44"/>
          <w:highlight w:val="none"/>
          <w:lang w:eastAsia="zh-CN"/>
        </w:rPr>
        <w:t>巫溪县</w:t>
      </w:r>
    </w:p>
    <w:p w14:paraId="2ECA7204">
      <w:pPr>
        <w:keepNext w:val="0"/>
        <w:keepLines w:val="0"/>
        <w:pageBreakBefore w:val="0"/>
        <w:widowControl w:val="0"/>
        <w:kinsoku/>
        <w:overflowPunct/>
        <w:topLinePunct w:val="0"/>
        <w:autoSpaceDE w:val="0"/>
        <w:autoSpaceDN w:val="0"/>
        <w:bidi w:val="0"/>
        <w:spacing w:line="360" w:lineRule="auto"/>
        <w:jc w:val="center"/>
        <w:rPr>
          <w:rFonts w:hint="eastAsia" w:ascii="仿宋_GB2312" w:hAnsi="仿宋_GB2312" w:eastAsia="仿宋_GB2312" w:cs="仿宋_GB2312"/>
          <w:b/>
          <w:bCs w:val="0"/>
          <w:color w:val="auto"/>
          <w:sz w:val="44"/>
          <w:szCs w:val="44"/>
          <w:highlight w:val="none"/>
        </w:rPr>
      </w:pPr>
      <w:r>
        <w:rPr>
          <w:rFonts w:hint="eastAsia" w:ascii="仿宋_GB2312" w:hAnsi="仿宋_GB2312" w:eastAsia="仿宋_GB2312" w:cs="仿宋_GB2312"/>
          <w:b/>
          <w:bCs w:val="0"/>
          <w:color w:val="auto"/>
          <w:sz w:val="44"/>
          <w:szCs w:val="44"/>
          <w:highlight w:val="none"/>
        </w:rPr>
        <w:t>矿产资源</w:t>
      </w:r>
      <w:r>
        <w:rPr>
          <w:rFonts w:hint="eastAsia" w:ascii="仿宋_GB2312" w:hAnsi="仿宋_GB2312" w:eastAsia="仿宋_GB2312" w:cs="仿宋_GB2312"/>
          <w:b/>
          <w:bCs w:val="0"/>
          <w:color w:val="auto"/>
          <w:sz w:val="44"/>
          <w:szCs w:val="44"/>
          <w:highlight w:val="none"/>
          <w:lang w:eastAsia="zh-CN"/>
        </w:rPr>
        <w:t>总体</w:t>
      </w:r>
      <w:r>
        <w:rPr>
          <w:rFonts w:hint="eastAsia" w:ascii="仿宋_GB2312" w:hAnsi="仿宋_GB2312" w:eastAsia="仿宋_GB2312" w:cs="仿宋_GB2312"/>
          <w:b/>
          <w:bCs w:val="0"/>
          <w:color w:val="auto"/>
          <w:sz w:val="44"/>
          <w:szCs w:val="44"/>
          <w:highlight w:val="none"/>
        </w:rPr>
        <w:t>规划（20</w:t>
      </w:r>
      <w:r>
        <w:rPr>
          <w:rFonts w:hint="eastAsia" w:ascii="仿宋_GB2312" w:hAnsi="仿宋_GB2312" w:eastAsia="仿宋_GB2312" w:cs="仿宋_GB2312"/>
          <w:b/>
          <w:bCs w:val="0"/>
          <w:color w:val="auto"/>
          <w:sz w:val="44"/>
          <w:szCs w:val="44"/>
          <w:highlight w:val="none"/>
          <w:lang w:val="en-US" w:eastAsia="zh-CN"/>
        </w:rPr>
        <w:t>21</w:t>
      </w:r>
      <w:r>
        <w:rPr>
          <w:rFonts w:hint="eastAsia" w:ascii="仿宋_GB2312" w:hAnsi="仿宋_GB2312" w:eastAsia="仿宋_GB2312" w:cs="仿宋_GB2312"/>
          <w:b/>
          <w:bCs w:val="0"/>
          <w:color w:val="auto"/>
          <w:sz w:val="44"/>
          <w:szCs w:val="44"/>
          <w:highlight w:val="none"/>
        </w:rPr>
        <w:t>-202</w:t>
      </w:r>
      <w:r>
        <w:rPr>
          <w:rFonts w:hint="eastAsia" w:ascii="仿宋_GB2312" w:hAnsi="仿宋_GB2312" w:eastAsia="仿宋_GB2312" w:cs="仿宋_GB2312"/>
          <w:b/>
          <w:bCs w:val="0"/>
          <w:color w:val="auto"/>
          <w:sz w:val="44"/>
          <w:szCs w:val="44"/>
          <w:highlight w:val="none"/>
          <w:lang w:val="en-US" w:eastAsia="zh-CN"/>
        </w:rPr>
        <w:t>5</w:t>
      </w:r>
      <w:r>
        <w:rPr>
          <w:rFonts w:hint="eastAsia" w:ascii="仿宋_GB2312" w:hAnsi="仿宋_GB2312" w:eastAsia="仿宋_GB2312" w:cs="仿宋_GB2312"/>
          <w:b/>
          <w:bCs w:val="0"/>
          <w:color w:val="auto"/>
          <w:sz w:val="44"/>
          <w:szCs w:val="44"/>
          <w:highlight w:val="none"/>
        </w:rPr>
        <w:t>年）</w:t>
      </w:r>
    </w:p>
    <w:p w14:paraId="78A5975E">
      <w:pPr>
        <w:keepNext w:val="0"/>
        <w:keepLines w:val="0"/>
        <w:pageBreakBefore w:val="0"/>
        <w:widowControl w:val="0"/>
        <w:kinsoku/>
        <w:overflowPunct/>
        <w:topLinePunct w:val="0"/>
        <w:bidi w:val="0"/>
        <w:spacing w:before="120" w:beforeLines="50" w:after="120" w:afterLines="50" w:line="360" w:lineRule="auto"/>
        <w:jc w:val="center"/>
        <w:rPr>
          <w:rFonts w:hint="eastAsia" w:ascii="仿宋_GB2312" w:hAnsi="仿宋_GB2312" w:eastAsia="仿宋_GB2312" w:cs="仿宋_GB2312"/>
          <w:b/>
          <w:bCs w:val="0"/>
          <w:color w:val="auto"/>
          <w:sz w:val="44"/>
          <w:szCs w:val="44"/>
          <w:highlight w:val="none"/>
        </w:rPr>
      </w:pPr>
      <w:r>
        <w:rPr>
          <w:rFonts w:hint="eastAsia" w:ascii="仿宋_GB2312" w:hAnsi="仿宋_GB2312" w:eastAsia="仿宋_GB2312" w:cs="仿宋_GB2312"/>
          <w:b/>
          <w:bCs w:val="0"/>
          <w:color w:val="auto"/>
          <w:sz w:val="44"/>
          <w:szCs w:val="44"/>
          <w:highlight w:val="none"/>
        </w:rPr>
        <w:t>环境影响报告书</w:t>
      </w:r>
    </w:p>
    <w:p w14:paraId="46717560">
      <w:pPr>
        <w:keepNext w:val="0"/>
        <w:keepLines w:val="0"/>
        <w:pageBreakBefore w:val="0"/>
        <w:widowControl w:val="0"/>
        <w:kinsoku/>
        <w:overflowPunct/>
        <w:topLinePunct w:val="0"/>
        <w:bidi w:val="0"/>
        <w:spacing w:before="120" w:beforeLines="50" w:after="120" w:afterLines="50"/>
        <w:jc w:val="center"/>
        <w:rPr>
          <w:rFonts w:hint="eastAsia" w:ascii="仿宋_GB2312" w:hAnsi="仿宋_GB2312" w:eastAsia="仿宋_GB2312" w:cs="仿宋_GB2312"/>
          <w:b w:val="0"/>
          <w:bCs/>
          <w:color w:val="auto"/>
          <w:sz w:val="44"/>
          <w:szCs w:val="44"/>
          <w:highlight w:val="none"/>
        </w:rPr>
      </w:pPr>
      <w:r>
        <w:rPr>
          <w:rFonts w:hint="eastAsia" w:ascii="仿宋_GB2312" w:hAnsi="仿宋_GB2312" w:eastAsia="仿宋_GB2312" w:cs="仿宋_GB2312"/>
          <w:b w:val="0"/>
          <w:bCs/>
          <w:color w:val="auto"/>
          <w:sz w:val="36"/>
          <w:szCs w:val="36"/>
          <w:highlight w:val="none"/>
        </w:rPr>
        <w:t>（</w:t>
      </w:r>
      <w:r>
        <w:rPr>
          <w:rFonts w:hint="eastAsia" w:ascii="仿宋_GB2312" w:hAnsi="仿宋_GB2312" w:eastAsia="仿宋_GB2312" w:cs="仿宋_GB2312"/>
          <w:b w:val="0"/>
          <w:bCs/>
          <w:color w:val="auto"/>
          <w:sz w:val="36"/>
          <w:szCs w:val="36"/>
          <w:highlight w:val="none"/>
          <w:lang w:eastAsia="zh-CN"/>
        </w:rPr>
        <w:t>公示简本</w:t>
      </w:r>
      <w:r>
        <w:rPr>
          <w:rFonts w:hint="eastAsia" w:ascii="仿宋_GB2312" w:hAnsi="仿宋_GB2312" w:eastAsia="仿宋_GB2312" w:cs="仿宋_GB2312"/>
          <w:b w:val="0"/>
          <w:bCs/>
          <w:color w:val="auto"/>
          <w:sz w:val="36"/>
          <w:szCs w:val="36"/>
          <w:highlight w:val="none"/>
        </w:rPr>
        <w:t>）</w:t>
      </w:r>
    </w:p>
    <w:p w14:paraId="6A7A5D99">
      <w:pPr>
        <w:keepNext w:val="0"/>
        <w:keepLines w:val="0"/>
        <w:pageBreakBefore w:val="0"/>
        <w:widowControl w:val="0"/>
        <w:kinsoku/>
        <w:overflowPunct/>
        <w:topLinePunct w:val="0"/>
        <w:autoSpaceDE w:val="0"/>
        <w:autoSpaceDN w:val="0"/>
        <w:bidi w:val="0"/>
        <w:jc w:val="center"/>
        <w:rPr>
          <w:rFonts w:hint="eastAsia" w:ascii="仿宋_GB2312" w:hAnsi="仿宋_GB2312" w:eastAsia="仿宋_GB2312" w:cs="仿宋_GB2312"/>
          <w:b/>
          <w:bCs/>
          <w:color w:val="auto"/>
          <w:sz w:val="52"/>
          <w:szCs w:val="52"/>
          <w:highlight w:val="none"/>
        </w:rPr>
      </w:pPr>
    </w:p>
    <w:p w14:paraId="13881627">
      <w:pPr>
        <w:keepNext w:val="0"/>
        <w:keepLines w:val="0"/>
        <w:pageBreakBefore w:val="0"/>
        <w:widowControl w:val="0"/>
        <w:kinsoku/>
        <w:overflowPunct/>
        <w:topLinePunct w:val="0"/>
        <w:autoSpaceDE w:val="0"/>
        <w:autoSpaceDN w:val="0"/>
        <w:bidi w:val="0"/>
        <w:spacing w:line="460" w:lineRule="exact"/>
        <w:rPr>
          <w:rFonts w:hint="eastAsia" w:ascii="仿宋_GB2312" w:hAnsi="仿宋_GB2312" w:eastAsia="仿宋_GB2312" w:cs="仿宋_GB2312"/>
          <w:b/>
          <w:bCs/>
          <w:color w:val="auto"/>
          <w:sz w:val="24"/>
          <w:szCs w:val="24"/>
          <w:highlight w:val="none"/>
        </w:rPr>
      </w:pPr>
    </w:p>
    <w:p w14:paraId="1E28C56C">
      <w:pPr>
        <w:keepNext w:val="0"/>
        <w:keepLines w:val="0"/>
        <w:pageBreakBefore w:val="0"/>
        <w:widowControl w:val="0"/>
        <w:kinsoku/>
        <w:overflowPunct/>
        <w:topLinePunct w:val="0"/>
        <w:autoSpaceDE w:val="0"/>
        <w:autoSpaceDN w:val="0"/>
        <w:bidi w:val="0"/>
        <w:spacing w:line="460" w:lineRule="exact"/>
        <w:rPr>
          <w:rFonts w:hint="eastAsia" w:ascii="仿宋_GB2312" w:hAnsi="仿宋_GB2312" w:eastAsia="仿宋_GB2312" w:cs="仿宋_GB2312"/>
          <w:b/>
          <w:bCs/>
          <w:color w:val="auto"/>
          <w:sz w:val="24"/>
          <w:szCs w:val="24"/>
          <w:highlight w:val="none"/>
        </w:rPr>
      </w:pPr>
    </w:p>
    <w:p w14:paraId="2B8925E5">
      <w:pPr>
        <w:keepNext w:val="0"/>
        <w:keepLines w:val="0"/>
        <w:pageBreakBefore w:val="0"/>
        <w:widowControl w:val="0"/>
        <w:kinsoku/>
        <w:overflowPunct/>
        <w:topLinePunct w:val="0"/>
        <w:autoSpaceDE w:val="0"/>
        <w:autoSpaceDN w:val="0"/>
        <w:bidi w:val="0"/>
        <w:spacing w:line="460" w:lineRule="exact"/>
        <w:rPr>
          <w:rFonts w:hint="eastAsia" w:ascii="仿宋_GB2312" w:hAnsi="仿宋_GB2312" w:eastAsia="仿宋_GB2312" w:cs="仿宋_GB2312"/>
          <w:b/>
          <w:bCs/>
          <w:color w:val="auto"/>
          <w:sz w:val="24"/>
          <w:szCs w:val="24"/>
          <w:highlight w:val="none"/>
        </w:rPr>
      </w:pPr>
    </w:p>
    <w:p w14:paraId="48C0207B">
      <w:pPr>
        <w:keepNext w:val="0"/>
        <w:keepLines w:val="0"/>
        <w:pageBreakBefore w:val="0"/>
        <w:widowControl w:val="0"/>
        <w:kinsoku/>
        <w:overflowPunct/>
        <w:topLinePunct w:val="0"/>
        <w:autoSpaceDE w:val="0"/>
        <w:autoSpaceDN w:val="0"/>
        <w:bidi w:val="0"/>
        <w:spacing w:line="460" w:lineRule="exact"/>
        <w:rPr>
          <w:rFonts w:hint="eastAsia" w:ascii="仿宋_GB2312" w:hAnsi="仿宋_GB2312" w:eastAsia="仿宋_GB2312" w:cs="仿宋_GB2312"/>
          <w:b/>
          <w:bCs/>
          <w:color w:val="auto"/>
          <w:sz w:val="24"/>
          <w:szCs w:val="24"/>
          <w:highlight w:val="none"/>
        </w:rPr>
      </w:pPr>
    </w:p>
    <w:p w14:paraId="13303E61">
      <w:pPr>
        <w:keepNext w:val="0"/>
        <w:keepLines w:val="0"/>
        <w:pageBreakBefore w:val="0"/>
        <w:widowControl w:val="0"/>
        <w:kinsoku/>
        <w:overflowPunct/>
        <w:topLinePunct w:val="0"/>
        <w:autoSpaceDE w:val="0"/>
        <w:autoSpaceDN w:val="0"/>
        <w:bidi w:val="0"/>
        <w:spacing w:line="460" w:lineRule="exact"/>
        <w:rPr>
          <w:rFonts w:hint="eastAsia" w:ascii="仿宋_GB2312" w:hAnsi="仿宋_GB2312" w:eastAsia="仿宋_GB2312" w:cs="仿宋_GB2312"/>
          <w:b/>
          <w:bCs/>
          <w:color w:val="auto"/>
          <w:sz w:val="24"/>
          <w:szCs w:val="24"/>
          <w:highlight w:val="none"/>
        </w:rPr>
      </w:pPr>
    </w:p>
    <w:p w14:paraId="3186F632">
      <w:pPr>
        <w:keepNext w:val="0"/>
        <w:keepLines w:val="0"/>
        <w:pageBreakBefore w:val="0"/>
        <w:widowControl w:val="0"/>
        <w:kinsoku/>
        <w:overflowPunct/>
        <w:topLinePunct w:val="0"/>
        <w:autoSpaceDE w:val="0"/>
        <w:autoSpaceDN w:val="0"/>
        <w:bidi w:val="0"/>
        <w:spacing w:line="460" w:lineRule="exact"/>
        <w:rPr>
          <w:rFonts w:hint="eastAsia" w:ascii="仿宋_GB2312" w:hAnsi="仿宋_GB2312" w:eastAsia="仿宋_GB2312" w:cs="仿宋_GB2312"/>
          <w:b/>
          <w:bCs/>
          <w:color w:val="auto"/>
          <w:sz w:val="24"/>
          <w:szCs w:val="24"/>
          <w:highlight w:val="none"/>
        </w:rPr>
      </w:pPr>
    </w:p>
    <w:p w14:paraId="2C5C38A6">
      <w:pPr>
        <w:keepNext w:val="0"/>
        <w:keepLines w:val="0"/>
        <w:pageBreakBefore w:val="0"/>
        <w:widowControl w:val="0"/>
        <w:kinsoku/>
        <w:overflowPunct/>
        <w:topLinePunct w:val="0"/>
        <w:autoSpaceDE w:val="0"/>
        <w:autoSpaceDN w:val="0"/>
        <w:bidi w:val="0"/>
        <w:spacing w:line="460" w:lineRule="exact"/>
        <w:rPr>
          <w:rFonts w:hint="eastAsia" w:ascii="仿宋_GB2312" w:hAnsi="仿宋_GB2312" w:eastAsia="仿宋_GB2312" w:cs="仿宋_GB2312"/>
          <w:b/>
          <w:bCs/>
          <w:color w:val="auto"/>
          <w:sz w:val="24"/>
          <w:szCs w:val="24"/>
          <w:highlight w:val="none"/>
        </w:rPr>
      </w:pPr>
    </w:p>
    <w:p w14:paraId="0EEAB674">
      <w:pPr>
        <w:keepNext w:val="0"/>
        <w:keepLines w:val="0"/>
        <w:pageBreakBefore w:val="0"/>
        <w:widowControl w:val="0"/>
        <w:kinsoku/>
        <w:overflowPunct/>
        <w:topLinePunct w:val="0"/>
        <w:autoSpaceDE w:val="0"/>
        <w:autoSpaceDN w:val="0"/>
        <w:bidi w:val="0"/>
        <w:spacing w:line="460" w:lineRule="exact"/>
        <w:rPr>
          <w:rFonts w:hint="eastAsia" w:ascii="仿宋_GB2312" w:hAnsi="仿宋_GB2312" w:eastAsia="仿宋_GB2312" w:cs="仿宋_GB2312"/>
          <w:b/>
          <w:bCs/>
          <w:color w:val="auto"/>
          <w:sz w:val="24"/>
          <w:szCs w:val="24"/>
          <w:highlight w:val="none"/>
        </w:rPr>
      </w:pPr>
    </w:p>
    <w:p w14:paraId="428A8E28">
      <w:pPr>
        <w:keepNext w:val="0"/>
        <w:keepLines w:val="0"/>
        <w:pageBreakBefore w:val="0"/>
        <w:widowControl w:val="0"/>
        <w:kinsoku/>
        <w:overflowPunct/>
        <w:topLinePunct w:val="0"/>
        <w:autoSpaceDE w:val="0"/>
        <w:autoSpaceDN w:val="0"/>
        <w:bidi w:val="0"/>
        <w:spacing w:line="460" w:lineRule="exact"/>
        <w:rPr>
          <w:rFonts w:hint="eastAsia" w:ascii="仿宋_GB2312" w:hAnsi="仿宋_GB2312" w:eastAsia="仿宋_GB2312" w:cs="仿宋_GB2312"/>
          <w:b w:val="0"/>
          <w:bCs w:val="0"/>
          <w:color w:val="auto"/>
          <w:sz w:val="24"/>
          <w:szCs w:val="24"/>
          <w:highlight w:val="none"/>
        </w:rPr>
      </w:pPr>
    </w:p>
    <w:p w14:paraId="7929E8BC">
      <w:pPr>
        <w:keepNext w:val="0"/>
        <w:keepLines w:val="0"/>
        <w:pageBreakBefore w:val="0"/>
        <w:widowControl w:val="0"/>
        <w:kinsoku/>
        <w:overflowPunct/>
        <w:topLinePunct w:val="0"/>
        <w:bidi w:val="0"/>
        <w:spacing w:before="120" w:beforeLines="50" w:after="120" w:afterLines="50"/>
        <w:jc w:val="center"/>
        <w:rPr>
          <w:rFonts w:hint="eastAsia" w:ascii="仿宋_GB2312" w:hAnsi="仿宋_GB2312" w:eastAsia="仿宋_GB2312" w:cs="仿宋_GB2312"/>
          <w:b w:val="0"/>
          <w:bCs w:val="0"/>
          <w:color w:val="auto"/>
          <w:sz w:val="36"/>
          <w:szCs w:val="36"/>
          <w:highlight w:val="none"/>
          <w:lang w:eastAsia="zh-CN"/>
        </w:rPr>
      </w:pPr>
    </w:p>
    <w:p w14:paraId="698539D7">
      <w:pPr>
        <w:keepNext w:val="0"/>
        <w:keepLines w:val="0"/>
        <w:pageBreakBefore w:val="0"/>
        <w:widowControl w:val="0"/>
        <w:kinsoku/>
        <w:overflowPunct/>
        <w:topLinePunct w:val="0"/>
        <w:bidi w:val="0"/>
        <w:spacing w:before="120" w:beforeLines="50" w:after="120" w:afterLines="50"/>
        <w:jc w:val="center"/>
        <w:rPr>
          <w:rFonts w:hint="eastAsia" w:ascii="仿宋_GB2312" w:hAnsi="仿宋_GB2312" w:eastAsia="仿宋_GB2312" w:cs="仿宋_GB2312"/>
          <w:b w:val="0"/>
          <w:bCs w:val="0"/>
          <w:color w:val="auto"/>
          <w:sz w:val="36"/>
          <w:szCs w:val="36"/>
          <w:highlight w:val="none"/>
          <w:lang w:eastAsia="zh-CN"/>
        </w:rPr>
      </w:pPr>
    </w:p>
    <w:p w14:paraId="648640CB">
      <w:pPr>
        <w:pStyle w:val="2"/>
        <w:rPr>
          <w:rFonts w:hint="eastAsia" w:ascii="仿宋_GB2312" w:hAnsi="仿宋_GB2312" w:eastAsia="仿宋_GB2312" w:cs="仿宋_GB2312"/>
          <w:b w:val="0"/>
          <w:bCs w:val="0"/>
          <w:color w:val="auto"/>
          <w:sz w:val="36"/>
          <w:szCs w:val="36"/>
          <w:highlight w:val="none"/>
          <w:lang w:eastAsia="zh-CN"/>
        </w:rPr>
      </w:pPr>
    </w:p>
    <w:p w14:paraId="3C6E8C7C">
      <w:pPr>
        <w:pStyle w:val="2"/>
        <w:rPr>
          <w:rFonts w:hint="eastAsia" w:ascii="仿宋_GB2312" w:hAnsi="仿宋_GB2312" w:eastAsia="仿宋_GB2312" w:cs="仿宋_GB2312"/>
          <w:b w:val="0"/>
          <w:bCs w:val="0"/>
          <w:color w:val="auto"/>
          <w:sz w:val="36"/>
          <w:szCs w:val="36"/>
          <w:highlight w:val="none"/>
          <w:lang w:eastAsia="zh-CN"/>
        </w:rPr>
      </w:pPr>
    </w:p>
    <w:p w14:paraId="3398C651">
      <w:pPr>
        <w:keepNext w:val="0"/>
        <w:keepLines w:val="0"/>
        <w:pageBreakBefore w:val="0"/>
        <w:widowControl w:val="0"/>
        <w:kinsoku/>
        <w:overflowPunct/>
        <w:topLinePunct w:val="0"/>
        <w:bidi w:val="0"/>
        <w:spacing w:before="120" w:beforeLines="50" w:after="120" w:afterLines="50"/>
        <w:jc w:val="center"/>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二О二</w:t>
      </w: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五</w:t>
      </w:r>
      <w:r>
        <w:rPr>
          <w:rFonts w:hint="eastAsia" w:ascii="仿宋_GB2312" w:hAnsi="仿宋_GB2312" w:eastAsia="仿宋_GB2312" w:cs="仿宋_GB2312"/>
          <w:b w:val="0"/>
          <w:bCs w:val="0"/>
          <w:color w:val="auto"/>
          <w:sz w:val="32"/>
          <w:szCs w:val="32"/>
          <w:highlight w:val="none"/>
        </w:rPr>
        <w:t>月</w:t>
      </w:r>
    </w:p>
    <w:p w14:paraId="3855398B">
      <w:pPr>
        <w:keepNext w:val="0"/>
        <w:keepLines w:val="0"/>
        <w:pageBreakBefore w:val="0"/>
        <w:widowControl w:val="0"/>
        <w:kinsoku/>
        <w:wordWrap/>
        <w:overflowPunct/>
        <w:topLinePunct w:val="0"/>
        <w:autoSpaceDE/>
        <w:autoSpaceDN/>
        <w:bidi w:val="0"/>
        <w:adjustRightInd w:val="0"/>
        <w:snapToGrid w:val="0"/>
        <w:spacing w:before="120" w:beforeLines="50" w:after="120" w:afterLines="50"/>
        <w:jc w:val="both"/>
        <w:textAlignment w:val="auto"/>
        <w:outlineLvl w:val="0"/>
        <w:rPr>
          <w:rFonts w:hint="eastAsia" w:ascii="仿宋_GB2312" w:hAnsi="仿宋_GB2312" w:eastAsia="仿宋_GB2312" w:cs="仿宋_GB2312"/>
          <w:b/>
          <w:bCs/>
          <w:color w:val="auto"/>
          <w:sz w:val="26"/>
          <w:szCs w:val="26"/>
          <w:highlight w:val="none"/>
        </w:rPr>
        <w:sectPr>
          <w:headerReference r:id="rId3" w:type="default"/>
          <w:pgSz w:w="11906" w:h="16838"/>
          <w:pgMar w:top="1440" w:right="1800" w:bottom="1440" w:left="1800" w:header="851" w:footer="992" w:gutter="0"/>
          <w:cols w:space="720" w:num="1"/>
          <w:docGrid w:type="lines" w:linePitch="312" w:charSpace="0"/>
        </w:sectPr>
      </w:pPr>
    </w:p>
    <w:p w14:paraId="0902832B">
      <w:pPr>
        <w:keepNext w:val="0"/>
        <w:keepLines w:val="0"/>
        <w:pageBreakBefore w:val="0"/>
        <w:widowControl w:val="0"/>
        <w:kinsoku/>
        <w:wordWrap/>
        <w:overflowPunct/>
        <w:topLinePunct w:val="0"/>
        <w:autoSpaceDE/>
        <w:autoSpaceDN/>
        <w:bidi w:val="0"/>
        <w:adjustRightInd w:val="0"/>
        <w:snapToGrid w:val="0"/>
        <w:spacing w:before="120" w:beforeLines="50" w:after="120" w:afterLines="50"/>
        <w:jc w:val="both"/>
        <w:textAlignment w:val="auto"/>
        <w:outlineLvl w:val="0"/>
        <w:rPr>
          <w:rFonts w:hint="eastAsia" w:ascii="仿宋_GB2312" w:hAnsi="仿宋_GB2312" w:eastAsia="仿宋_GB2312" w:cs="仿宋_GB2312"/>
          <w:color w:val="auto"/>
          <w:sz w:val="26"/>
          <w:szCs w:val="26"/>
          <w:highlight w:val="none"/>
        </w:rPr>
      </w:pPr>
      <w:r>
        <w:rPr>
          <w:rFonts w:hint="eastAsia" w:ascii="仿宋_GB2312" w:hAnsi="仿宋_GB2312" w:eastAsia="仿宋_GB2312" w:cs="仿宋_GB2312"/>
          <w:b/>
          <w:bCs/>
          <w:color w:val="auto"/>
          <w:sz w:val="26"/>
          <w:szCs w:val="26"/>
          <w:highlight w:val="none"/>
        </w:rPr>
        <w:t>1 总  则</w:t>
      </w:r>
      <w:bookmarkEnd w:id="0"/>
      <w:bookmarkEnd w:id="1"/>
    </w:p>
    <w:p w14:paraId="7F094737">
      <w:pPr>
        <w:keepNext w:val="0"/>
        <w:keepLines w:val="0"/>
        <w:pageBreakBefore w:val="0"/>
        <w:widowControl w:val="0"/>
        <w:kinsoku/>
        <w:overflowPunct/>
        <w:topLinePunct w:val="0"/>
        <w:bidi w:val="0"/>
        <w:spacing w:before="120" w:beforeLines="50" w:after="120" w:afterLines="50"/>
        <w:jc w:val="both"/>
        <w:outlineLvl w:val="1"/>
        <w:rPr>
          <w:rFonts w:hint="eastAsia" w:ascii="仿宋_GB2312" w:hAnsi="仿宋_GB2312" w:eastAsia="仿宋_GB2312" w:cs="仿宋_GB2312"/>
          <w:b/>
          <w:bCs/>
          <w:color w:val="auto"/>
          <w:sz w:val="26"/>
          <w:szCs w:val="26"/>
          <w:highlight w:val="none"/>
        </w:rPr>
      </w:pPr>
      <w:bookmarkStart w:id="5" w:name="_Toc10145"/>
      <w:bookmarkStart w:id="6" w:name="_Toc27269"/>
      <w:bookmarkStart w:id="7" w:name="_Toc4574"/>
      <w:r>
        <w:rPr>
          <w:rFonts w:hint="eastAsia" w:ascii="仿宋_GB2312" w:hAnsi="仿宋_GB2312" w:eastAsia="仿宋_GB2312" w:cs="仿宋_GB2312"/>
          <w:b/>
          <w:bCs/>
          <w:color w:val="auto"/>
          <w:sz w:val="26"/>
          <w:szCs w:val="26"/>
          <w:highlight w:val="none"/>
        </w:rPr>
        <w:t>1.1 评价目的</w:t>
      </w:r>
      <w:bookmarkEnd w:id="5"/>
      <w:bookmarkEnd w:id="6"/>
      <w:bookmarkEnd w:id="7"/>
      <w:r>
        <w:rPr>
          <w:rFonts w:hint="eastAsia" w:ascii="仿宋_GB2312" w:hAnsi="仿宋_GB2312" w:eastAsia="仿宋_GB2312" w:cs="仿宋_GB2312"/>
          <w:b/>
          <w:bCs/>
          <w:color w:val="auto"/>
          <w:sz w:val="26"/>
          <w:szCs w:val="26"/>
          <w:highlight w:val="none"/>
        </w:rPr>
        <w:t xml:space="preserve">  </w:t>
      </w:r>
    </w:p>
    <w:p w14:paraId="2030C528">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以改善环境质量和保障生态安全为目标，论证</w:t>
      </w:r>
      <w:r>
        <w:rPr>
          <w:rFonts w:hint="eastAsia" w:ascii="仿宋_GB2312" w:hAnsi="仿宋_GB2312" w:eastAsia="仿宋_GB2312" w:cs="仿宋_GB2312"/>
          <w:color w:val="auto"/>
          <w:sz w:val="24"/>
          <w:szCs w:val="24"/>
          <w:highlight w:val="none"/>
          <w:lang w:eastAsia="zh-CN"/>
        </w:rPr>
        <w:t>《重庆市巫溪县矿产资源总体规划（</w:t>
      </w:r>
      <w:r>
        <w:rPr>
          <w:rFonts w:hint="eastAsia" w:ascii="仿宋_GB2312" w:hAnsi="仿宋_GB2312" w:eastAsia="仿宋_GB2312" w:cs="仿宋_GB2312"/>
          <w:color w:val="auto"/>
          <w:sz w:val="24"/>
          <w:szCs w:val="24"/>
          <w:highlight w:val="none"/>
          <w:lang w:val="en-US" w:eastAsia="zh-CN"/>
        </w:rPr>
        <w:t>2021-2025年</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的生态环境合理性和环境效益，提出规划优化调整建议；明确不良生态环境影响的减缓措施，提出生态环境保护建议和管控要求，为规划决策和规划实施过程中的生态环境管理提供依据。</w:t>
      </w:r>
    </w:p>
    <w:p w14:paraId="6E4FFFD8">
      <w:pPr>
        <w:keepNext w:val="0"/>
        <w:keepLines w:val="0"/>
        <w:pageBreakBefore w:val="0"/>
        <w:widowControl w:val="0"/>
        <w:kinsoku/>
        <w:overflowPunct/>
        <w:topLinePunct w:val="0"/>
        <w:bidi w:val="0"/>
        <w:spacing w:before="120" w:beforeLines="50" w:after="120" w:afterLines="50"/>
        <w:jc w:val="both"/>
        <w:outlineLvl w:val="1"/>
        <w:rPr>
          <w:rFonts w:hint="eastAsia" w:ascii="仿宋_GB2312" w:hAnsi="仿宋_GB2312" w:eastAsia="仿宋_GB2312" w:cs="仿宋_GB2312"/>
          <w:b/>
          <w:bCs/>
          <w:color w:val="auto"/>
          <w:sz w:val="26"/>
          <w:szCs w:val="26"/>
          <w:highlight w:val="none"/>
        </w:rPr>
      </w:pPr>
      <w:bookmarkStart w:id="8" w:name="_Toc15920"/>
      <w:bookmarkStart w:id="9" w:name="_Toc15570"/>
      <w:bookmarkStart w:id="10" w:name="_Toc18697"/>
      <w:r>
        <w:rPr>
          <w:rFonts w:hint="eastAsia" w:ascii="仿宋_GB2312" w:hAnsi="仿宋_GB2312" w:eastAsia="仿宋_GB2312" w:cs="仿宋_GB2312"/>
          <w:b/>
          <w:bCs/>
          <w:color w:val="auto"/>
          <w:sz w:val="26"/>
          <w:szCs w:val="26"/>
          <w:highlight w:val="none"/>
        </w:rPr>
        <w:t>1.2 评价原则</w:t>
      </w:r>
      <w:bookmarkEnd w:id="8"/>
      <w:bookmarkEnd w:id="9"/>
      <w:bookmarkEnd w:id="10"/>
    </w:p>
    <w:p w14:paraId="1323530A">
      <w:pPr>
        <w:keepNext w:val="0"/>
        <w:keepLines w:val="0"/>
        <w:pageBreakBefore w:val="0"/>
        <w:widowControl w:val="0"/>
        <w:kinsoku/>
        <w:overflowPunct/>
        <w:topLinePunct w:val="0"/>
        <w:bidi w:val="0"/>
        <w:spacing w:after="0" w:line="46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早期介入、过程互动 </w:t>
      </w:r>
    </w:p>
    <w:p w14:paraId="738192C5">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在规划编制的</w:t>
      </w:r>
      <w:r>
        <w:rPr>
          <w:rFonts w:hint="eastAsia" w:ascii="仿宋_GB2312" w:hAnsi="仿宋_GB2312" w:eastAsia="仿宋_GB2312" w:cs="仿宋_GB2312"/>
          <w:color w:val="auto"/>
          <w:sz w:val="24"/>
          <w:szCs w:val="24"/>
          <w:highlight w:val="none"/>
          <w:lang w:eastAsia="zh-CN"/>
        </w:rPr>
        <w:t>启动</w:t>
      </w:r>
      <w:r>
        <w:rPr>
          <w:rFonts w:hint="eastAsia" w:ascii="仿宋_GB2312" w:hAnsi="仿宋_GB2312" w:eastAsia="仿宋_GB2312" w:cs="仿宋_GB2312"/>
          <w:color w:val="auto"/>
          <w:sz w:val="24"/>
          <w:szCs w:val="24"/>
          <w:highlight w:val="none"/>
        </w:rPr>
        <w:t xml:space="preserve">阶段介入，在规划前期研究和方案编制、论证、审定等关键环节和过程中充分互动，不断优化规划方案，提高环境合理性。 </w:t>
      </w:r>
    </w:p>
    <w:p w14:paraId="7D449A8B">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统筹衔接、分类指导 </w:t>
      </w:r>
    </w:p>
    <w:p w14:paraId="088D441C">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突出</w:t>
      </w:r>
      <w:r>
        <w:rPr>
          <w:rFonts w:hint="eastAsia" w:ascii="仿宋_GB2312" w:hAnsi="仿宋_GB2312" w:eastAsia="仿宋_GB2312" w:cs="仿宋_GB2312"/>
          <w:color w:val="auto"/>
          <w:sz w:val="24"/>
          <w:szCs w:val="24"/>
          <w:highlight w:val="none"/>
          <w:lang w:eastAsia="zh-CN"/>
        </w:rPr>
        <w:t>规划所处区域生态环境特征、县矿产资源总体</w:t>
      </w:r>
      <w:r>
        <w:rPr>
          <w:rFonts w:hint="eastAsia" w:ascii="仿宋_GB2312" w:hAnsi="仿宋_GB2312" w:eastAsia="仿宋_GB2312" w:cs="仿宋_GB2312"/>
          <w:color w:val="auto"/>
          <w:sz w:val="24"/>
          <w:szCs w:val="24"/>
          <w:highlight w:val="none"/>
        </w:rPr>
        <w:t>规划及其环境影响特点，充分衔接</w:t>
      </w:r>
      <w:r>
        <w:rPr>
          <w:rFonts w:hint="eastAsia" w:ascii="仿宋_GB2312" w:hAnsi="仿宋_GB2312" w:eastAsia="仿宋_GB2312" w:cs="仿宋_GB2312"/>
          <w:color w:val="auto"/>
          <w:sz w:val="24"/>
          <w:szCs w:val="24"/>
          <w:highlight w:val="none"/>
          <w:lang w:eastAsia="zh-CN"/>
        </w:rPr>
        <w:t>重庆市</w:t>
      </w:r>
      <w:r>
        <w:rPr>
          <w:rFonts w:hint="eastAsia" w:ascii="仿宋_GB2312" w:hAnsi="仿宋_GB2312" w:eastAsia="仿宋_GB2312" w:cs="仿宋_GB2312"/>
          <w:color w:val="auto"/>
          <w:sz w:val="24"/>
          <w:szCs w:val="24"/>
          <w:highlight w:val="none"/>
        </w:rPr>
        <w:t xml:space="preserve">“三线一单”成果，分类指导规划所包含建设项目的布局和生态环境准入。 </w:t>
      </w:r>
    </w:p>
    <w:p w14:paraId="18C4F2BA">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客观评价、结论科学 </w:t>
      </w:r>
    </w:p>
    <w:p w14:paraId="0BEC786C">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选择</w:t>
      </w:r>
      <w:r>
        <w:rPr>
          <w:rFonts w:hint="eastAsia" w:ascii="仿宋_GB2312" w:hAnsi="仿宋_GB2312" w:eastAsia="仿宋_GB2312" w:cs="仿宋_GB2312"/>
          <w:color w:val="auto"/>
          <w:sz w:val="24"/>
          <w:szCs w:val="24"/>
          <w:highlight w:val="none"/>
        </w:rPr>
        <w:t>成熟可靠</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rPr>
        <w:t>评价方法</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完整可信</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rPr>
        <w:t>数据资料，依据现有知识水平和技术条件对规划实施可能产生的不良环境影响的范围和程度进行客观分析，</w:t>
      </w:r>
      <w:r>
        <w:rPr>
          <w:rFonts w:hint="eastAsia" w:ascii="仿宋_GB2312" w:hAnsi="仿宋_GB2312" w:eastAsia="仿宋_GB2312" w:cs="仿宋_GB2312"/>
          <w:color w:val="auto"/>
          <w:sz w:val="24"/>
          <w:szCs w:val="24"/>
          <w:highlight w:val="none"/>
          <w:lang w:eastAsia="zh-CN"/>
        </w:rPr>
        <w:t>得出</w:t>
      </w:r>
      <w:r>
        <w:rPr>
          <w:rFonts w:hint="eastAsia" w:ascii="仿宋_GB2312" w:hAnsi="仿宋_GB2312" w:eastAsia="仿宋_GB2312" w:cs="仿宋_GB2312"/>
          <w:color w:val="auto"/>
          <w:sz w:val="24"/>
          <w:szCs w:val="24"/>
          <w:highlight w:val="none"/>
        </w:rPr>
        <w:t xml:space="preserve">具体明确且具有可操作性结论建议。 </w:t>
      </w:r>
    </w:p>
    <w:p w14:paraId="74B2521E">
      <w:pPr>
        <w:keepNext w:val="0"/>
        <w:keepLines w:val="0"/>
        <w:pageBreakBefore w:val="0"/>
        <w:widowControl w:val="0"/>
        <w:kinsoku/>
        <w:overflowPunct/>
        <w:topLinePunct w:val="0"/>
        <w:bidi w:val="0"/>
        <w:spacing w:before="120" w:beforeLines="50" w:after="120" w:afterLines="50"/>
        <w:jc w:val="both"/>
        <w:outlineLvl w:val="1"/>
        <w:rPr>
          <w:rFonts w:hint="eastAsia" w:ascii="仿宋_GB2312" w:hAnsi="仿宋_GB2312" w:eastAsia="仿宋_GB2312" w:cs="仿宋_GB2312"/>
          <w:b/>
          <w:bCs/>
          <w:color w:val="auto"/>
          <w:sz w:val="26"/>
          <w:szCs w:val="26"/>
          <w:highlight w:val="none"/>
          <w:lang w:eastAsia="zh-CN"/>
        </w:rPr>
      </w:pPr>
      <w:bookmarkStart w:id="11" w:name="_Toc28535"/>
      <w:r>
        <w:rPr>
          <w:rFonts w:hint="eastAsia" w:ascii="仿宋_GB2312" w:hAnsi="仿宋_GB2312" w:eastAsia="仿宋_GB2312" w:cs="仿宋_GB2312"/>
          <w:b/>
          <w:bCs/>
          <w:color w:val="auto"/>
          <w:sz w:val="26"/>
          <w:szCs w:val="26"/>
          <w:highlight w:val="none"/>
        </w:rPr>
        <w:t>1.</w:t>
      </w:r>
      <w:r>
        <w:rPr>
          <w:rFonts w:hint="eastAsia" w:ascii="仿宋_GB2312" w:hAnsi="仿宋_GB2312" w:eastAsia="仿宋_GB2312" w:cs="仿宋_GB2312"/>
          <w:b/>
          <w:bCs/>
          <w:color w:val="auto"/>
          <w:sz w:val="26"/>
          <w:szCs w:val="26"/>
          <w:highlight w:val="none"/>
          <w:lang w:val="en-US" w:eastAsia="zh-CN"/>
        </w:rPr>
        <w:t>3</w:t>
      </w:r>
      <w:r>
        <w:rPr>
          <w:rFonts w:hint="eastAsia" w:ascii="仿宋_GB2312" w:hAnsi="仿宋_GB2312" w:eastAsia="仿宋_GB2312" w:cs="仿宋_GB2312"/>
          <w:b/>
          <w:bCs/>
          <w:color w:val="auto"/>
          <w:sz w:val="26"/>
          <w:szCs w:val="26"/>
          <w:highlight w:val="none"/>
        </w:rPr>
        <w:t xml:space="preserve"> 评价</w:t>
      </w:r>
      <w:bookmarkEnd w:id="11"/>
      <w:r>
        <w:rPr>
          <w:rFonts w:hint="eastAsia" w:ascii="仿宋_GB2312" w:hAnsi="仿宋_GB2312" w:eastAsia="仿宋_GB2312" w:cs="仿宋_GB2312"/>
          <w:b/>
          <w:bCs/>
          <w:color w:val="auto"/>
          <w:sz w:val="26"/>
          <w:szCs w:val="26"/>
          <w:highlight w:val="none"/>
          <w:lang w:eastAsia="zh-CN"/>
        </w:rPr>
        <w:t>范围、时段及标准</w:t>
      </w:r>
    </w:p>
    <w:p w14:paraId="0B3FFEDA">
      <w:pPr>
        <w:keepNext w:val="0"/>
        <w:keepLines w:val="0"/>
        <w:pageBreakBefore w:val="0"/>
        <w:widowControl w:val="0"/>
        <w:kinsoku/>
        <w:overflowPunct/>
        <w:topLinePunct w:val="0"/>
        <w:bidi w:val="0"/>
        <w:spacing w:before="120" w:beforeLines="50" w:after="120" w:afterLines="50"/>
        <w:jc w:val="both"/>
        <w:outlineLvl w:val="1"/>
        <w:rPr>
          <w:rFonts w:hint="eastAsia" w:ascii="仿宋_GB2312" w:hAnsi="仿宋_GB2312" w:eastAsia="仿宋_GB2312" w:cs="仿宋_GB2312"/>
          <w:b/>
          <w:bCs/>
          <w:color w:val="auto"/>
          <w:sz w:val="26"/>
          <w:szCs w:val="26"/>
          <w:highlight w:val="none"/>
          <w:lang w:eastAsia="zh-CN"/>
        </w:rPr>
      </w:pPr>
      <w:r>
        <w:rPr>
          <w:rFonts w:hint="eastAsia" w:ascii="仿宋_GB2312" w:hAnsi="仿宋_GB2312" w:eastAsia="仿宋_GB2312" w:cs="仿宋_GB2312"/>
          <w:b/>
          <w:bCs/>
          <w:color w:val="auto"/>
          <w:sz w:val="26"/>
          <w:szCs w:val="26"/>
          <w:highlight w:val="none"/>
        </w:rPr>
        <w:t>1.</w:t>
      </w:r>
      <w:r>
        <w:rPr>
          <w:rFonts w:hint="eastAsia" w:ascii="仿宋_GB2312" w:hAnsi="仿宋_GB2312" w:eastAsia="仿宋_GB2312" w:cs="仿宋_GB2312"/>
          <w:b/>
          <w:bCs/>
          <w:color w:val="auto"/>
          <w:sz w:val="26"/>
          <w:szCs w:val="26"/>
          <w:highlight w:val="none"/>
          <w:lang w:val="en-US" w:eastAsia="zh-CN"/>
        </w:rPr>
        <w:t>3.1</w:t>
      </w:r>
      <w:r>
        <w:rPr>
          <w:rFonts w:hint="eastAsia" w:ascii="仿宋_GB2312" w:hAnsi="仿宋_GB2312" w:eastAsia="仿宋_GB2312" w:cs="仿宋_GB2312"/>
          <w:b/>
          <w:bCs/>
          <w:color w:val="auto"/>
          <w:sz w:val="26"/>
          <w:szCs w:val="26"/>
          <w:highlight w:val="none"/>
        </w:rPr>
        <w:t xml:space="preserve"> 评价</w:t>
      </w:r>
      <w:r>
        <w:rPr>
          <w:rFonts w:hint="eastAsia" w:ascii="仿宋_GB2312" w:hAnsi="仿宋_GB2312" w:eastAsia="仿宋_GB2312" w:cs="仿宋_GB2312"/>
          <w:b/>
          <w:bCs/>
          <w:color w:val="auto"/>
          <w:sz w:val="26"/>
          <w:szCs w:val="26"/>
          <w:highlight w:val="none"/>
          <w:lang w:eastAsia="zh-CN"/>
        </w:rPr>
        <w:t>范围与时段</w:t>
      </w:r>
    </w:p>
    <w:p w14:paraId="29BECDF2">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本次规划范围与规划范围一致，为巫溪县全域，其中重点评价范围为规划各分区、探矿权和采矿权区块及周边影响区。</w:t>
      </w:r>
      <w:r>
        <w:rPr>
          <w:rFonts w:hint="eastAsia" w:ascii="仿宋_GB2312" w:hAnsi="仿宋_GB2312" w:eastAsia="仿宋_GB2312" w:cs="仿宋_GB2312"/>
          <w:color w:val="auto"/>
          <w:sz w:val="24"/>
          <w:szCs w:val="24"/>
          <w:highlight w:val="none"/>
        </w:rPr>
        <w:t>规划基期为2020年，目标年为2025年。评价时段</w:t>
      </w:r>
      <w:r>
        <w:rPr>
          <w:rFonts w:hint="eastAsia" w:ascii="仿宋_GB2312" w:hAnsi="仿宋_GB2312" w:eastAsia="仿宋_GB2312" w:cs="仿宋_GB2312"/>
          <w:color w:val="auto"/>
          <w:sz w:val="24"/>
          <w:szCs w:val="24"/>
          <w:highlight w:val="none"/>
          <w:lang w:eastAsia="zh-CN"/>
        </w:rPr>
        <w:t>与</w:t>
      </w:r>
      <w:r>
        <w:rPr>
          <w:rFonts w:hint="eastAsia" w:ascii="仿宋_GB2312" w:hAnsi="仿宋_GB2312" w:eastAsia="仿宋_GB2312" w:cs="仿宋_GB2312"/>
          <w:color w:val="auto"/>
          <w:sz w:val="24"/>
          <w:szCs w:val="24"/>
          <w:highlight w:val="none"/>
        </w:rPr>
        <w:t>规划时段</w:t>
      </w:r>
      <w:r>
        <w:rPr>
          <w:rFonts w:hint="eastAsia" w:ascii="仿宋_GB2312" w:hAnsi="仿宋_GB2312" w:eastAsia="仿宋_GB2312" w:cs="仿宋_GB2312"/>
          <w:color w:val="auto"/>
          <w:sz w:val="24"/>
          <w:szCs w:val="24"/>
          <w:highlight w:val="none"/>
          <w:lang w:eastAsia="zh-CN"/>
        </w:rPr>
        <w:t>一致</w:t>
      </w:r>
      <w:r>
        <w:rPr>
          <w:rFonts w:hint="eastAsia" w:ascii="仿宋_GB2312" w:hAnsi="仿宋_GB2312" w:eastAsia="仿宋_GB2312" w:cs="仿宋_GB2312"/>
          <w:color w:val="auto"/>
          <w:sz w:val="24"/>
          <w:szCs w:val="24"/>
          <w:highlight w:val="none"/>
        </w:rPr>
        <w:t>，即2020-2025年。</w:t>
      </w:r>
    </w:p>
    <w:p w14:paraId="7E4C8B26">
      <w:pPr>
        <w:keepNext w:val="0"/>
        <w:keepLines w:val="0"/>
        <w:pageBreakBefore w:val="0"/>
        <w:widowControl w:val="0"/>
        <w:kinsoku/>
        <w:overflowPunct/>
        <w:topLinePunct w:val="0"/>
        <w:bidi w:val="0"/>
        <w:spacing w:before="120" w:beforeLines="50" w:after="120" w:afterLines="50"/>
        <w:jc w:val="both"/>
        <w:outlineLvl w:val="1"/>
        <w:rPr>
          <w:rFonts w:hint="eastAsia" w:ascii="仿宋_GB2312" w:hAnsi="仿宋_GB2312" w:eastAsia="仿宋_GB2312" w:cs="仿宋_GB2312"/>
          <w:b/>
          <w:bCs/>
          <w:color w:val="auto"/>
          <w:sz w:val="26"/>
          <w:szCs w:val="26"/>
          <w:highlight w:val="none"/>
          <w:lang w:eastAsia="zh-CN"/>
        </w:rPr>
      </w:pPr>
      <w:r>
        <w:rPr>
          <w:rFonts w:hint="eastAsia" w:ascii="仿宋_GB2312" w:hAnsi="仿宋_GB2312" w:eastAsia="仿宋_GB2312" w:cs="仿宋_GB2312"/>
          <w:b/>
          <w:bCs/>
          <w:color w:val="auto"/>
          <w:sz w:val="26"/>
          <w:szCs w:val="26"/>
          <w:highlight w:val="none"/>
        </w:rPr>
        <w:t>1.</w:t>
      </w:r>
      <w:r>
        <w:rPr>
          <w:rFonts w:hint="eastAsia" w:ascii="仿宋_GB2312" w:hAnsi="仿宋_GB2312" w:eastAsia="仿宋_GB2312" w:cs="仿宋_GB2312"/>
          <w:b/>
          <w:bCs/>
          <w:color w:val="auto"/>
          <w:sz w:val="26"/>
          <w:szCs w:val="26"/>
          <w:highlight w:val="none"/>
          <w:lang w:val="en-US" w:eastAsia="zh-CN"/>
        </w:rPr>
        <w:t>3.2</w:t>
      </w:r>
      <w:r>
        <w:rPr>
          <w:rFonts w:hint="eastAsia" w:ascii="仿宋_GB2312" w:hAnsi="仿宋_GB2312" w:eastAsia="仿宋_GB2312" w:cs="仿宋_GB2312"/>
          <w:b/>
          <w:bCs/>
          <w:color w:val="auto"/>
          <w:sz w:val="26"/>
          <w:szCs w:val="26"/>
          <w:highlight w:val="none"/>
        </w:rPr>
        <w:t xml:space="preserve"> 评价</w:t>
      </w:r>
      <w:r>
        <w:rPr>
          <w:rFonts w:hint="eastAsia" w:ascii="仿宋_GB2312" w:hAnsi="仿宋_GB2312" w:eastAsia="仿宋_GB2312" w:cs="仿宋_GB2312"/>
          <w:b/>
          <w:bCs/>
          <w:color w:val="auto"/>
          <w:sz w:val="26"/>
          <w:szCs w:val="26"/>
          <w:highlight w:val="none"/>
          <w:lang w:eastAsia="zh-CN"/>
        </w:rPr>
        <w:t>标准</w:t>
      </w:r>
    </w:p>
    <w:p w14:paraId="3BAFB751">
      <w:pPr>
        <w:keepNext w:val="0"/>
        <w:keepLines w:val="0"/>
        <w:pageBreakBefore w:val="0"/>
        <w:widowControl w:val="0"/>
        <w:kinsoku/>
        <w:wordWrap/>
        <w:overflowPunct/>
        <w:topLinePunct w:val="0"/>
        <w:autoSpaceDE/>
        <w:autoSpaceDN/>
        <w:bidi w:val="0"/>
        <w:adjustRightInd/>
        <w:snapToGrid/>
        <w:spacing w:after="0" w:line="460" w:lineRule="exact"/>
        <w:jc w:val="both"/>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（1）</w:t>
      </w:r>
      <w:r>
        <w:rPr>
          <w:rFonts w:hint="eastAsia" w:ascii="仿宋_GB2312" w:hAnsi="仿宋_GB2312" w:eastAsia="仿宋_GB2312" w:cs="仿宋_GB2312"/>
          <w:color w:val="auto"/>
          <w:sz w:val="24"/>
          <w:szCs w:val="24"/>
          <w:highlight w:val="none"/>
          <w:lang w:eastAsia="zh-CN"/>
        </w:rPr>
        <w:t>环境功能区划</w:t>
      </w:r>
    </w:p>
    <w:p w14:paraId="04E3B96F">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评价区内环境空气功能区划执行《重庆市环境空气质量功能区划分规定》（渝府发〔2016〕19号）和巫溪县相关规定，其中重庆阴条岭国家级自然保护区、红池坝市级风景名胜区、长江三峡国家级风景名胜区（巫溪县部分庙峡景区、宁厂古镇景区）、白果市级森林公园属于一类功能区，一类功能区内的建设用地及其以外所设300米宽的缓冲带，原则上按一类功能区管理，其他区域属于二类功能区。</w:t>
      </w:r>
    </w:p>
    <w:p w14:paraId="7F82C99F">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 xml:space="preserve">评价区内地表水环境功能区划执行《重庆市人民政府批转重庆市地表水环境功能类别调整方案的通知》（渝府发〔2012〕4号）和《关于划分调整巫溪县地表水适用功能类别的批复》（巫溪府函〔2006〕161号）规定。 </w:t>
      </w:r>
    </w:p>
    <w:p w14:paraId="4FBFCEC9">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评价区内声环境功能区划执行《重庆市城市区域环境噪声标准适用区域划分规定》（渝府发〔1998〕90号）、《重庆市环境保护局关于修正城市区域环境噪声标准适用区域划分规定调整方案有关内容的通知》（渝环发〔2007〕78 号）等规定。</w:t>
      </w:r>
    </w:p>
    <w:p w14:paraId="4C171505">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）环境质量标准</w:t>
      </w:r>
    </w:p>
    <w:p w14:paraId="025E8FC6">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环境空气质量标准：一类功能区执行《环境空气质量标准》（GB3095-2012）一级标准；一类功能区内的建设用地及其以外所设300米宽的缓冲带，原则上按一类功能区对应的标准执行；其他区域环境空气质量执行《环境空气质量标准》（GB3095-2012）二级标准。</w:t>
      </w:r>
    </w:p>
    <w:p w14:paraId="403039E5">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水环境质量标准：地表水环境质量执行《地表水环境质量标准》（GB3838-2002）中相应标准；地下水环境质量执行《地下水质量标准》（GB/T14848-2017）中相应标准。</w:t>
      </w:r>
    </w:p>
    <w:p w14:paraId="7A9E0DEB">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声环境质量标准：执行《声环境质量标准》（GB3096-2008）中相应标准。</w:t>
      </w:r>
    </w:p>
    <w:p w14:paraId="4AE70B38">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土壤环境质量标准：执行《土壤环境质量 农用地土壤污染风险管控标准（试行）》(GB 15618-2018)和《土壤环境质量 建设用地土壤污染风险管控标准（试行）》（GB36600-2018）中相应标准。</w:t>
      </w:r>
    </w:p>
    <w:p w14:paraId="4BA52F5E">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生态环境：执行《重庆市生态功能区划（修编）》相关规定。</w:t>
      </w:r>
    </w:p>
    <w:p w14:paraId="4C01F7F8">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土壤侵蚀：参照执行《土壤侵蚀分类分级标准》（SL190-2007）。</w:t>
      </w:r>
    </w:p>
    <w:p w14:paraId="7430CC3A">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）污染物排放标准</w:t>
      </w:r>
    </w:p>
    <w:p w14:paraId="77CC84EB">
      <w:pPr>
        <w:keepNext w:val="0"/>
        <w:keepLines w:val="0"/>
        <w:pageBreakBefore w:val="0"/>
        <w:widowControl w:val="0"/>
        <w:kinsoku/>
        <w:overflowPunct/>
        <w:topLinePunct w:val="0"/>
        <w:bidi w:val="0"/>
        <w:spacing w:after="0" w:line="460" w:lineRule="exact"/>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 xml:space="preserve">    废气：规划区域位于巫溪县，属于除重庆主城区、影响区以外的其他区域，大气污染物排放执行《重庆市大气污染物综合排放标准》（DB50/418-2016）中其他区域限值；餐饮油烟执行《餐饮业大气污染物排放标准》（DB50/859-2018）。其中环境空气一类区禁止新建、扩建污染源，一类区现有污染源改建时执行现有污染源的一级标准。</w:t>
      </w:r>
    </w:p>
    <w:p w14:paraId="4F74F65D">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废水：煤矿矿井涌水排放执行《煤炭工业污染物排放标准》（GB20426-2006）；其他矿产资源开采活动产生的污废水，执行《污水综合排放标准》（GB8978-1996）一级标准；用于农田灌溉的应满足《农田灌溉水质标准》要求。生活污水经深度处理后用于道路浇洒、冲厕和绿化用水等用途执行《城市污水再生利用—城市杂用水水质》（GB/T 18920-2020）。</w:t>
      </w:r>
    </w:p>
    <w:p w14:paraId="34F942DB">
      <w:pPr>
        <w:keepNext w:val="0"/>
        <w:keepLines w:val="0"/>
        <w:pageBreakBefore w:val="0"/>
        <w:widowControl w:val="0"/>
        <w:kinsoku/>
        <w:overflowPunct/>
        <w:topLinePunct w:val="0"/>
        <w:bidi w:val="0"/>
        <w:spacing w:after="0" w:line="460" w:lineRule="exact"/>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 xml:space="preserve">    噪声： 项目施工期执行《建筑施工场界环境噪声排放标准》（GB12523-2011）；运行后执行《工业企业厂界环境噪声排放标准》（GB12348-2008）。 </w:t>
      </w:r>
    </w:p>
    <w:p w14:paraId="15B3D271">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固体废物：矿产资源勘查开发活动中产生的废石等一般工业固体废物执行《一般工业固体废物贮存、处置场污染控制标准》（GB18599-2020）；废油、含油废物等危险废物执行《危险废物储存污染控制标准》（GB18597-2001）及其2013年修改单（生态环境部公告2013年第36号）。</w:t>
      </w:r>
    </w:p>
    <w:p w14:paraId="24E06C76">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）绿色矿山建设标准</w:t>
      </w:r>
    </w:p>
    <w:p w14:paraId="5EFFB092">
      <w:pPr>
        <w:keepNext w:val="0"/>
        <w:keepLines w:val="0"/>
        <w:pageBreakBefore w:val="0"/>
        <w:widowControl w:val="0"/>
        <w:kinsoku/>
        <w:overflowPunct/>
        <w:topLinePunct w:val="0"/>
        <w:bidi w:val="0"/>
        <w:spacing w:after="0" w:line="460" w:lineRule="exact"/>
        <w:ind w:firstLine="480" w:firstLineChars="200"/>
        <w:jc w:val="both"/>
        <w:rPr>
          <w:rFonts w:hint="eastAsia"/>
          <w:color w:val="auto"/>
          <w:highlight w:val="none"/>
        </w:rPr>
      </w:pPr>
      <w:r>
        <w:rPr>
          <w:rFonts w:hint="eastAsia" w:ascii="仿宋_GB2312" w:hAnsi="仿宋_GB2312" w:eastAsia="仿宋_GB2312" w:cs="仿宋_GB2312"/>
          <w:color w:val="auto"/>
          <w:sz w:val="24"/>
          <w:szCs w:val="24"/>
          <w:highlight w:val="none"/>
          <w:lang w:eastAsia="zh-CN"/>
        </w:rPr>
        <w:t xml:space="preserve">绿色矿山建设应满足相应等级绿色矿山建设标准要求，主要有《非金属矿行业绿色矿山建设规范》（DZ/T 0312-2018）、《砂石行业绿色矿山建设规范》（DZ/T 0316-2018）和《重庆市绿色矿山建设标准（2021年版）》（渝规资〔2021〕745号）。 </w:t>
      </w:r>
      <w:r>
        <w:rPr>
          <w:rFonts w:hint="eastAsia" w:ascii="仿宋_GB2312" w:hAnsi="仿宋_GB2312" w:eastAsia="仿宋_GB2312" w:cs="仿宋_GB2312"/>
          <w:color w:val="auto"/>
          <w:sz w:val="24"/>
          <w:szCs w:val="24"/>
          <w:highlight w:val="none"/>
        </w:rPr>
        <w:t xml:space="preserve"> </w:t>
      </w:r>
    </w:p>
    <w:p w14:paraId="5343CB02">
      <w:pPr>
        <w:keepNext w:val="0"/>
        <w:keepLines w:val="0"/>
        <w:pageBreakBefore w:val="0"/>
        <w:widowControl w:val="0"/>
        <w:kinsoku/>
        <w:wordWrap/>
        <w:overflowPunct/>
        <w:topLinePunct w:val="0"/>
        <w:autoSpaceDE/>
        <w:autoSpaceDN/>
        <w:bidi w:val="0"/>
        <w:adjustRightInd w:val="0"/>
        <w:snapToGrid w:val="0"/>
        <w:spacing w:before="120" w:beforeLines="50" w:after="120" w:afterLines="50"/>
        <w:jc w:val="both"/>
        <w:textAlignment w:val="auto"/>
        <w:outlineLvl w:val="0"/>
        <w:rPr>
          <w:rFonts w:hint="eastAsia" w:ascii="仿宋_GB2312" w:hAnsi="仿宋_GB2312" w:eastAsia="仿宋_GB2312" w:cs="仿宋_GB2312"/>
          <w:b/>
          <w:bCs/>
          <w:color w:val="auto"/>
          <w:sz w:val="26"/>
          <w:szCs w:val="26"/>
          <w:highlight w:val="none"/>
        </w:rPr>
      </w:pPr>
      <w:r>
        <w:rPr>
          <w:rFonts w:hint="eastAsia" w:ascii="仿宋_GB2312" w:hAnsi="仿宋_GB2312" w:eastAsia="仿宋_GB2312" w:cs="仿宋_GB2312"/>
          <w:b/>
          <w:bCs/>
          <w:color w:val="auto"/>
          <w:sz w:val="26"/>
          <w:szCs w:val="26"/>
          <w:highlight w:val="none"/>
          <w:lang w:val="en-US" w:eastAsia="zh-CN"/>
        </w:rPr>
        <w:t>2</w:t>
      </w:r>
      <w:r>
        <w:rPr>
          <w:rFonts w:hint="eastAsia" w:ascii="仿宋_GB2312" w:hAnsi="仿宋_GB2312" w:eastAsia="仿宋_GB2312" w:cs="仿宋_GB2312"/>
          <w:b/>
          <w:bCs/>
          <w:color w:val="auto"/>
          <w:sz w:val="26"/>
          <w:szCs w:val="26"/>
          <w:highlight w:val="none"/>
        </w:rPr>
        <w:t xml:space="preserve"> 规划概述</w:t>
      </w:r>
      <w:bookmarkEnd w:id="2"/>
      <w:bookmarkEnd w:id="3"/>
    </w:p>
    <w:p w14:paraId="33C7B662">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规划》以习近平新时代中国特色社会主义思想为指导，坚持新发展理念，立足巫溪县发展要求，以提高矿产资源保障能力为目标，以推进资源合理利用与保护为主线，结合“一区两群”协调发展格局，对巫溪县行政范围内的矿产资源勘查、开发利用与保护等活动进行全面部署。《规划》主要包括规划目标、矿产勘查开发与保护布局、矿产资源勘查开发利用与保护、绿色矿山建设和矿区生态保护等内容，设置勘查规划区块7个（其中已设探矿权保留区块1个、空白区新设区块6个），开采规划区块24个（其中已设采矿权保留区块3个、已设采矿权调整区块8个、空白区新设区块13个）。到2025年，新发现和评价大中型矿产地1～2处；矿山数量控制在26个以内，大中型矿山比例达到60%；大中型生产矿山的绿色矿山建设比例为100％，小型生产矿山参照绿色矿山建设标准规范管理；合理控制开采总量，建筑石料用灰岩、饰面用灰岩、砖瓦用页岩开采总量分别在1000万吨、80万吨和3万吨左右；确定了建筑石料用灰岩等5个重点矿种矿山最低开采规模要求；明确了规划准入管理、矿区生态保护修复及规划保障措施等要求。</w:t>
      </w:r>
    </w:p>
    <w:p w14:paraId="69949A94">
      <w:pPr>
        <w:keepNext w:val="0"/>
        <w:keepLines w:val="0"/>
        <w:pageBreakBefore w:val="0"/>
        <w:widowControl w:val="0"/>
        <w:kinsoku/>
        <w:wordWrap/>
        <w:overflowPunct/>
        <w:topLinePunct w:val="0"/>
        <w:autoSpaceDE/>
        <w:autoSpaceDN/>
        <w:bidi w:val="0"/>
        <w:adjustRightInd w:val="0"/>
        <w:snapToGrid w:val="0"/>
        <w:spacing w:before="120" w:beforeLines="50" w:after="120" w:afterLines="50"/>
        <w:jc w:val="both"/>
        <w:textAlignment w:val="auto"/>
        <w:outlineLvl w:val="0"/>
        <w:rPr>
          <w:rFonts w:hint="eastAsia" w:ascii="仿宋_GB2312" w:hAnsi="仿宋_GB2312" w:eastAsia="仿宋_GB2312" w:cs="仿宋_GB2312"/>
          <w:b/>
          <w:bCs/>
          <w:color w:val="auto"/>
          <w:sz w:val="26"/>
          <w:szCs w:val="26"/>
          <w:highlight w:val="none"/>
        </w:rPr>
      </w:pPr>
      <w:bookmarkStart w:id="12" w:name="_Toc7831"/>
      <w:bookmarkStart w:id="13" w:name="_Toc3359"/>
      <w:r>
        <w:rPr>
          <w:rFonts w:hint="eastAsia" w:ascii="仿宋_GB2312" w:hAnsi="仿宋_GB2312" w:eastAsia="仿宋_GB2312" w:cs="仿宋_GB2312"/>
          <w:b/>
          <w:bCs/>
          <w:color w:val="auto"/>
          <w:sz w:val="26"/>
          <w:szCs w:val="26"/>
          <w:highlight w:val="none"/>
          <w:lang w:val="en-US" w:eastAsia="zh-CN"/>
        </w:rPr>
        <w:t>3</w:t>
      </w:r>
      <w:r>
        <w:rPr>
          <w:rFonts w:hint="eastAsia" w:ascii="仿宋_GB2312" w:hAnsi="仿宋_GB2312" w:eastAsia="仿宋_GB2312" w:cs="仿宋_GB2312"/>
          <w:b/>
          <w:bCs/>
          <w:color w:val="auto"/>
          <w:sz w:val="26"/>
          <w:szCs w:val="26"/>
          <w:highlight w:val="none"/>
        </w:rPr>
        <w:t xml:space="preserve"> 环境现状</w:t>
      </w:r>
      <w:r>
        <w:rPr>
          <w:rFonts w:hint="eastAsia" w:ascii="仿宋_GB2312" w:hAnsi="仿宋_GB2312" w:eastAsia="仿宋_GB2312" w:cs="仿宋_GB2312"/>
          <w:b/>
          <w:bCs/>
          <w:color w:val="auto"/>
          <w:sz w:val="26"/>
          <w:szCs w:val="26"/>
          <w:highlight w:val="none"/>
          <w:lang w:val="en-US" w:eastAsia="zh-CN"/>
        </w:rPr>
        <w:t>调查</w:t>
      </w:r>
      <w:r>
        <w:rPr>
          <w:rFonts w:hint="eastAsia" w:ascii="仿宋_GB2312" w:hAnsi="仿宋_GB2312" w:eastAsia="仿宋_GB2312" w:cs="仿宋_GB2312"/>
          <w:b/>
          <w:bCs/>
          <w:color w:val="auto"/>
          <w:sz w:val="26"/>
          <w:szCs w:val="26"/>
          <w:highlight w:val="none"/>
        </w:rPr>
        <w:t>与评价</w:t>
      </w:r>
      <w:bookmarkEnd w:id="12"/>
      <w:bookmarkEnd w:id="13"/>
    </w:p>
    <w:p w14:paraId="11877E29">
      <w:pPr>
        <w:keepNext w:val="0"/>
        <w:keepLines w:val="0"/>
        <w:pageBreakBefore w:val="0"/>
        <w:widowControl w:val="0"/>
        <w:kinsoku/>
        <w:overflowPunct/>
        <w:topLinePunct w:val="0"/>
        <w:bidi w:val="0"/>
        <w:spacing w:before="120" w:beforeLines="50" w:after="120" w:afterLines="50"/>
        <w:jc w:val="both"/>
        <w:outlineLvl w:val="1"/>
        <w:rPr>
          <w:rFonts w:hint="eastAsia" w:ascii="仿宋_GB2312" w:hAnsi="仿宋_GB2312" w:eastAsia="仿宋_GB2312" w:cs="仿宋_GB2312"/>
          <w:b/>
          <w:bCs/>
          <w:color w:val="auto"/>
          <w:sz w:val="26"/>
          <w:szCs w:val="26"/>
          <w:highlight w:val="none"/>
          <w:lang w:val="en-US" w:eastAsia="zh-CN"/>
        </w:rPr>
      </w:pPr>
      <w:bookmarkStart w:id="14" w:name="_Toc16761"/>
      <w:r>
        <w:rPr>
          <w:rFonts w:hint="eastAsia" w:ascii="仿宋_GB2312" w:hAnsi="仿宋_GB2312" w:eastAsia="仿宋_GB2312" w:cs="仿宋_GB2312"/>
          <w:b/>
          <w:bCs/>
          <w:color w:val="auto"/>
          <w:sz w:val="26"/>
          <w:szCs w:val="26"/>
          <w:highlight w:val="none"/>
          <w:lang w:val="en-US" w:eastAsia="zh-CN"/>
        </w:rPr>
        <w:t>3.1 环境质量现状和变化趋势</w:t>
      </w:r>
      <w:bookmarkEnd w:id="14"/>
    </w:p>
    <w:p w14:paraId="467A1FC8">
      <w:pPr>
        <w:keepNext w:val="0"/>
        <w:keepLines w:val="0"/>
        <w:pageBreakBefore w:val="0"/>
        <w:widowControl w:val="0"/>
        <w:kinsoku/>
        <w:overflowPunct/>
        <w:topLinePunct w:val="0"/>
        <w:bidi w:val="0"/>
        <w:spacing w:after="0" w:line="460" w:lineRule="exact"/>
        <w:ind w:firstLine="520"/>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“十三五”期间，巫溪县除2016年9月至12月（PM</w:t>
      </w:r>
      <w:r>
        <w:rPr>
          <w:rFonts w:hint="eastAsia" w:ascii="仿宋_GB2312" w:hAnsi="仿宋_GB2312" w:eastAsia="仿宋_GB2312" w:cs="仿宋_GB2312"/>
          <w:color w:val="auto"/>
          <w:sz w:val="24"/>
          <w:szCs w:val="24"/>
          <w:vertAlign w:val="subscript"/>
          <w:lang w:val="en-US" w:eastAsia="zh-CN"/>
        </w:rPr>
        <w:t>10</w:t>
      </w:r>
      <w:r>
        <w:rPr>
          <w:rFonts w:hint="eastAsia" w:ascii="仿宋_GB2312" w:hAnsi="仿宋_GB2312" w:eastAsia="仿宋_GB2312" w:cs="仿宋_GB2312"/>
          <w:color w:val="auto"/>
          <w:sz w:val="24"/>
          <w:szCs w:val="24"/>
          <w:lang w:val="en-US" w:eastAsia="zh-CN"/>
        </w:rPr>
        <w:t>超标）、2017年、2018年PM</w:t>
      </w:r>
      <w:r>
        <w:rPr>
          <w:rFonts w:hint="eastAsia" w:ascii="仿宋_GB2312" w:hAnsi="仿宋_GB2312" w:eastAsia="仿宋_GB2312" w:cs="仿宋_GB2312"/>
          <w:color w:val="auto"/>
          <w:sz w:val="24"/>
          <w:szCs w:val="24"/>
          <w:vertAlign w:val="subscript"/>
          <w:lang w:val="en-US" w:eastAsia="zh-CN"/>
        </w:rPr>
        <w:t>2.5</w:t>
      </w:r>
      <w:r>
        <w:rPr>
          <w:rFonts w:hint="eastAsia" w:ascii="仿宋_GB2312" w:hAnsi="仿宋_GB2312" w:eastAsia="仿宋_GB2312" w:cs="仿宋_GB2312"/>
          <w:color w:val="auto"/>
          <w:sz w:val="24"/>
          <w:szCs w:val="24"/>
          <w:lang w:val="en-US" w:eastAsia="zh-CN"/>
        </w:rPr>
        <w:t>超标属于大气环境不达标地区外，其余时段环境空气质量指标均达标，并在2019年首次实现了六项指标全部达标，2020年</w:t>
      </w:r>
      <w:r>
        <w:rPr>
          <w:rFonts w:hint="eastAsia" w:ascii="仿宋_GB2312" w:hAnsi="仿宋_GB2312" w:eastAsia="仿宋_GB2312" w:cs="仿宋_GB2312"/>
          <w:color w:val="auto"/>
          <w:sz w:val="24"/>
          <w:szCs w:val="24"/>
        </w:rPr>
        <w:t>空气优良天数</w:t>
      </w:r>
      <w:r>
        <w:rPr>
          <w:rFonts w:hint="eastAsia" w:ascii="仿宋_GB2312" w:hAnsi="仿宋_GB2312" w:eastAsia="仿宋_GB2312" w:cs="仿宋_GB2312"/>
          <w:color w:val="auto"/>
          <w:sz w:val="24"/>
          <w:szCs w:val="24"/>
          <w:lang w:eastAsia="zh-CN"/>
        </w:rPr>
        <w:t>优于重庆市空气优良天数</w:t>
      </w:r>
      <w:r>
        <w:rPr>
          <w:rFonts w:hint="eastAsia" w:ascii="仿宋_GB2312" w:hAnsi="仿宋_GB2312" w:eastAsia="仿宋_GB2312" w:cs="仿宋_GB2312"/>
          <w:color w:val="auto"/>
          <w:sz w:val="24"/>
          <w:szCs w:val="24"/>
          <w:lang w:val="en-US" w:eastAsia="zh-CN"/>
        </w:rPr>
        <w:t>14天</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为347天</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区域水环境质量整体较好，4个地表水控制断面和2个地表水监测断面水质均满足水域功能要求；全县集中式饮用水源地水质达标率和县内主次河流水域功能达标率100%。区域</w:t>
      </w:r>
      <w:r>
        <w:rPr>
          <w:rFonts w:hint="eastAsia" w:ascii="仿宋_GB2312" w:hAnsi="仿宋_GB2312" w:eastAsia="仿宋_GB2312" w:cs="仿宋_GB2312"/>
          <w:color w:val="auto"/>
          <w:sz w:val="24"/>
          <w:szCs w:val="24"/>
          <w:lang w:val="en-US" w:eastAsia="zh-CN" w:bidi="ar-SA"/>
        </w:rPr>
        <w:t>地下水水质和土壤环境质量稳定，区域声环境质量保持较好，均满足相应声环境功能区划要求。矿产资源集中开采相关区域大气、地表水和地下水环境质量均满足区域环境质量标准，符合相应环境功能区要求，采矿活动未造成区域生态环境质量恶化。</w:t>
      </w:r>
    </w:p>
    <w:p w14:paraId="3C1C7F0C">
      <w:pPr>
        <w:keepNext w:val="0"/>
        <w:keepLines w:val="0"/>
        <w:pageBreakBefore w:val="0"/>
        <w:widowControl w:val="0"/>
        <w:kinsoku/>
        <w:wordWrap/>
        <w:overflowPunct/>
        <w:topLinePunct w:val="0"/>
        <w:autoSpaceDE/>
        <w:autoSpaceDN/>
        <w:bidi w:val="0"/>
        <w:adjustRightInd w:val="0"/>
        <w:snapToGrid w:val="0"/>
        <w:spacing w:after="0" w:line="460" w:lineRule="exact"/>
        <w:ind w:firstLine="522"/>
        <w:jc w:val="both"/>
        <w:textAlignment w:val="auto"/>
        <w:outlineLvl w:val="9"/>
        <w:rPr>
          <w:rFonts w:hint="eastAsia"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b w:val="0"/>
          <w:bCs w:val="0"/>
          <w:color w:val="auto"/>
          <w:sz w:val="24"/>
          <w:szCs w:val="24"/>
          <w:lang w:val="en-US" w:eastAsia="zh-CN"/>
        </w:rPr>
        <w:t>总体来看，“十三五”期间巫溪县生态环境质量整体向好发展，矿产资源开发活动对环境空气质量、地表水、地下水、土壤和声环境质量影响很小</w:t>
      </w:r>
      <w:r>
        <w:rPr>
          <w:rFonts w:hint="eastAsia" w:ascii="仿宋_GB2312" w:hAnsi="仿宋_GB2312" w:eastAsia="仿宋_GB2312" w:cs="仿宋_GB2312"/>
          <w:color w:val="auto"/>
          <w:kern w:val="2"/>
          <w:sz w:val="24"/>
          <w:szCs w:val="24"/>
          <w:highlight w:val="none"/>
          <w:lang w:val="en-US" w:eastAsia="zh-CN"/>
        </w:rPr>
        <w:t>。</w:t>
      </w:r>
    </w:p>
    <w:p w14:paraId="3750000D">
      <w:pPr>
        <w:keepNext w:val="0"/>
        <w:keepLines w:val="0"/>
        <w:pageBreakBefore w:val="0"/>
        <w:widowControl w:val="0"/>
        <w:kinsoku/>
        <w:overflowPunct/>
        <w:topLinePunct w:val="0"/>
        <w:bidi w:val="0"/>
        <w:spacing w:before="120" w:beforeLines="50" w:after="120" w:afterLines="50"/>
        <w:jc w:val="both"/>
        <w:outlineLvl w:val="1"/>
        <w:rPr>
          <w:rFonts w:hint="eastAsia" w:ascii="仿宋_GB2312" w:hAnsi="仿宋_GB2312" w:eastAsia="仿宋_GB2312" w:cs="仿宋_GB2312"/>
          <w:b/>
          <w:bCs/>
          <w:color w:val="auto"/>
          <w:sz w:val="26"/>
          <w:szCs w:val="26"/>
          <w:highlight w:val="none"/>
          <w:lang w:val="en-US" w:eastAsia="zh-CN"/>
        </w:rPr>
      </w:pPr>
      <w:bookmarkStart w:id="15" w:name="_Toc18631"/>
      <w:r>
        <w:rPr>
          <w:rFonts w:hint="eastAsia" w:ascii="仿宋_GB2312" w:hAnsi="仿宋_GB2312" w:eastAsia="仿宋_GB2312" w:cs="仿宋_GB2312"/>
          <w:b/>
          <w:bCs/>
          <w:color w:val="auto"/>
          <w:sz w:val="26"/>
          <w:szCs w:val="26"/>
          <w:highlight w:val="none"/>
          <w:lang w:val="en-US" w:eastAsia="zh-CN"/>
        </w:rPr>
        <w:t>3.2 生态环境现状和生态功能</w:t>
      </w:r>
      <w:bookmarkEnd w:id="15"/>
    </w:p>
    <w:p w14:paraId="2612D09F">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巫溪县生物多样性丰富，生态功能系统完整。根据《全国主体功能区规划》、《全国生态功能区划》（修编）及《中国生物多样性保护优先区域范围》，巫溪县地处秦巴生物多样性生态功能区、秦岭－大巴山生物多样性保护与水源涵养重要区、三峡库区土壤保持重要区和大巴山生物多样性保护优先区域。巫溪县有重庆阴条岭国家级自然保护区、红池坝国家级森林公园、长江三峡国家级风景名胜区、白果市级森林公园、红池坝市级风景名胜区和32处集中式饮用水水源保护区等重要环境敏感区。《规划》应严格遵守依法划定的各类保护区域相关规定和管控要求，加强空间管制和规划准入，严禁非法开展矿业活动。根据规划实施生态环境影响评价结果，规划勘查开发布局与上述重要生态环境敏感区不存在范围重叠。</w:t>
      </w:r>
    </w:p>
    <w:p w14:paraId="2F2C43BD">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lang w:val="en-US" w:eastAsia="zh-CN"/>
        </w:rPr>
        <w:t>近几年来巫溪县切实加强生态建设，生态环境质量全市领先。到2020年末，巫溪林地面积为495.9万亩，森林面积420.6万亩，活立木蓄积1412万m</w:t>
      </w:r>
      <w:r>
        <w:rPr>
          <w:rFonts w:hint="eastAsia" w:ascii="仿宋_GB2312" w:hAnsi="仿宋_GB2312" w:eastAsia="仿宋_GB2312" w:cs="仿宋_GB2312"/>
          <w:color w:val="auto"/>
          <w:sz w:val="24"/>
          <w:szCs w:val="24"/>
          <w:vertAlign w:val="superscript"/>
          <w:lang w:val="en-US" w:eastAsia="zh-CN"/>
        </w:rPr>
        <w:t>3</w:t>
      </w:r>
      <w:r>
        <w:rPr>
          <w:rFonts w:hint="eastAsia" w:ascii="仿宋_GB2312" w:hAnsi="仿宋_GB2312" w:eastAsia="仿宋_GB2312" w:cs="仿宋_GB2312"/>
          <w:color w:val="auto"/>
          <w:sz w:val="24"/>
          <w:szCs w:val="24"/>
          <w:lang w:val="en-US" w:eastAsia="zh-CN"/>
        </w:rPr>
        <w:t>，林木绿化率82.98%，森林覆盖率达69.7%，林草覆盖率达到71.18%。同时，根据《重庆市环境质量报告书》（2015-2019年），巫溪县生态环境状况等级均为优（EI≥75，植被覆盖度较高，生物多样性较丰富，生态系统稳定）。“十三五”期间，全县完成历史遗留矿山地质环境恢复治理面积与土地复垦面积各50公顷</w:t>
      </w:r>
      <w:r>
        <w:rPr>
          <w:rFonts w:hint="eastAsia" w:ascii="仿宋_GB2312" w:hAnsi="仿宋_GB2312" w:eastAsia="仿宋_GB2312" w:cs="仿宋_GB2312"/>
          <w:color w:val="auto"/>
          <w:sz w:val="24"/>
          <w:szCs w:val="24"/>
          <w:highlight w:val="none"/>
          <w:lang w:val="en-US" w:eastAsia="zh-CN"/>
        </w:rPr>
        <w:t>。</w:t>
      </w:r>
    </w:p>
    <w:p w14:paraId="0EE578B7">
      <w:pPr>
        <w:keepNext w:val="0"/>
        <w:keepLines w:val="0"/>
        <w:pageBreakBefore w:val="0"/>
        <w:widowControl w:val="0"/>
        <w:kinsoku/>
        <w:overflowPunct/>
        <w:topLinePunct w:val="0"/>
        <w:bidi w:val="0"/>
        <w:spacing w:before="120" w:beforeLines="50" w:after="120" w:afterLines="50"/>
        <w:jc w:val="both"/>
        <w:outlineLvl w:val="1"/>
        <w:rPr>
          <w:rFonts w:hint="eastAsia" w:ascii="仿宋_GB2312" w:hAnsi="仿宋_GB2312" w:eastAsia="仿宋_GB2312" w:cs="仿宋_GB2312"/>
          <w:b/>
          <w:bCs/>
          <w:color w:val="auto"/>
          <w:sz w:val="26"/>
          <w:szCs w:val="26"/>
          <w:highlight w:val="none"/>
          <w:lang w:val="en-US"/>
        </w:rPr>
      </w:pPr>
      <w:bookmarkStart w:id="16" w:name="_Toc19772"/>
      <w:r>
        <w:rPr>
          <w:rFonts w:hint="eastAsia" w:ascii="仿宋_GB2312" w:hAnsi="仿宋_GB2312" w:eastAsia="仿宋_GB2312" w:cs="仿宋_GB2312"/>
          <w:b/>
          <w:bCs/>
          <w:color w:val="auto"/>
          <w:sz w:val="26"/>
          <w:szCs w:val="26"/>
          <w:highlight w:val="none"/>
          <w:lang w:val="en-US" w:eastAsia="zh-CN"/>
        </w:rPr>
        <w:t>3</w:t>
      </w:r>
      <w:r>
        <w:rPr>
          <w:rFonts w:hint="eastAsia" w:ascii="仿宋_GB2312" w:hAnsi="仿宋_GB2312" w:eastAsia="仿宋_GB2312" w:cs="仿宋_GB2312"/>
          <w:b/>
          <w:bCs/>
          <w:color w:val="auto"/>
          <w:sz w:val="26"/>
          <w:szCs w:val="26"/>
          <w:highlight w:val="none"/>
        </w:rPr>
        <w:t>.</w:t>
      </w:r>
      <w:r>
        <w:rPr>
          <w:rFonts w:hint="eastAsia" w:ascii="仿宋_GB2312" w:hAnsi="仿宋_GB2312" w:eastAsia="仿宋_GB2312" w:cs="仿宋_GB2312"/>
          <w:b/>
          <w:bCs/>
          <w:color w:val="auto"/>
          <w:sz w:val="26"/>
          <w:szCs w:val="26"/>
          <w:highlight w:val="none"/>
          <w:lang w:val="en-US" w:eastAsia="zh-CN"/>
        </w:rPr>
        <w:t>3</w:t>
      </w:r>
      <w:r>
        <w:rPr>
          <w:rFonts w:hint="eastAsia" w:ascii="仿宋_GB2312" w:hAnsi="仿宋_GB2312" w:eastAsia="仿宋_GB2312" w:cs="仿宋_GB2312"/>
          <w:b/>
          <w:bCs/>
          <w:color w:val="auto"/>
          <w:sz w:val="26"/>
          <w:szCs w:val="26"/>
          <w:highlight w:val="none"/>
        </w:rPr>
        <w:t xml:space="preserve"> </w:t>
      </w:r>
      <w:r>
        <w:rPr>
          <w:rFonts w:hint="eastAsia" w:ascii="仿宋_GB2312" w:hAnsi="仿宋_GB2312" w:eastAsia="仿宋_GB2312" w:cs="仿宋_GB2312"/>
          <w:b/>
          <w:bCs/>
          <w:color w:val="auto"/>
          <w:sz w:val="26"/>
          <w:szCs w:val="26"/>
          <w:highlight w:val="none"/>
          <w:lang w:eastAsia="zh-CN"/>
        </w:rPr>
        <w:t>重庆市</w:t>
      </w:r>
      <w:r>
        <w:rPr>
          <w:rFonts w:hint="eastAsia" w:ascii="仿宋_GB2312" w:hAnsi="仿宋_GB2312" w:eastAsia="仿宋_GB2312" w:cs="仿宋_GB2312"/>
          <w:b/>
          <w:bCs/>
          <w:color w:val="auto"/>
          <w:sz w:val="26"/>
          <w:szCs w:val="26"/>
          <w:highlight w:val="none"/>
          <w:lang w:val="en-US" w:eastAsia="zh-CN"/>
        </w:rPr>
        <w:t>生态空间（</w:t>
      </w:r>
      <w:r>
        <w:rPr>
          <w:rFonts w:hint="eastAsia" w:ascii="仿宋_GB2312" w:hAnsi="仿宋_GB2312" w:eastAsia="仿宋_GB2312" w:cs="仿宋_GB2312"/>
          <w:b/>
          <w:bCs/>
          <w:color w:val="auto"/>
          <w:sz w:val="26"/>
          <w:szCs w:val="26"/>
          <w:highlight w:val="none"/>
          <w:lang w:eastAsia="zh-CN"/>
        </w:rPr>
        <w:t>生态保护红线</w:t>
      </w:r>
      <w:r>
        <w:rPr>
          <w:rFonts w:hint="eastAsia" w:ascii="仿宋_GB2312" w:hAnsi="仿宋_GB2312" w:eastAsia="仿宋_GB2312" w:cs="仿宋_GB2312"/>
          <w:b/>
          <w:bCs/>
          <w:color w:val="auto"/>
          <w:sz w:val="26"/>
          <w:szCs w:val="26"/>
          <w:highlight w:val="none"/>
          <w:lang w:val="en-US" w:eastAsia="zh-CN"/>
        </w:rPr>
        <w:t>和一般生态空间）</w:t>
      </w:r>
      <w:bookmarkEnd w:id="16"/>
    </w:p>
    <w:p w14:paraId="772752CC">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生态保护红线</w:t>
      </w:r>
    </w:p>
    <w:p w14:paraId="5C7886C3">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rPr>
        <w:t>根据《重庆市人民政府关于发布重庆市生态保护红线的通知》（渝府发〔2018〕25号），巫溪县共划定生态保护红线面积1972.71 km</w:t>
      </w:r>
      <w:r>
        <w:rPr>
          <w:rFonts w:hint="eastAsia" w:ascii="仿宋_GB2312" w:hAnsi="仿宋_GB2312" w:eastAsia="仿宋_GB2312" w:cs="仿宋_GB2312"/>
          <w:color w:val="auto"/>
          <w:sz w:val="24"/>
          <w:szCs w:val="24"/>
          <w:vertAlign w:val="superscript"/>
        </w:rPr>
        <w:t>2</w:t>
      </w:r>
      <w:r>
        <w:rPr>
          <w:rFonts w:hint="eastAsia" w:ascii="仿宋_GB2312" w:hAnsi="仿宋_GB2312" w:eastAsia="仿宋_GB2312" w:cs="仿宋_GB2312"/>
          <w:color w:val="auto"/>
          <w:sz w:val="24"/>
          <w:szCs w:val="24"/>
        </w:rPr>
        <w:t>，占幅员面积49.07%，主要分布在中北部山区，其它区域分布生态保护红线面积相对较少。</w:t>
      </w:r>
      <w:r>
        <w:rPr>
          <w:rFonts w:hint="eastAsia" w:ascii="仿宋_GB2312" w:hAnsi="仿宋_GB2312" w:eastAsia="仿宋_GB2312" w:cs="仿宋_GB2312"/>
          <w:color w:val="auto"/>
          <w:sz w:val="24"/>
          <w:szCs w:val="24"/>
          <w:lang w:eastAsia="zh-CN"/>
        </w:rPr>
        <w:t>生态保护红线区域执行国家及重庆市制定的生态保护红线管理制度，原则上参照禁止开发区域进行管理</w:t>
      </w:r>
      <w:r>
        <w:rPr>
          <w:rFonts w:hint="eastAsia" w:ascii="仿宋_GB2312" w:hAnsi="仿宋_GB2312" w:eastAsia="仿宋_GB2312" w:cs="仿宋_GB2312"/>
          <w:color w:val="auto"/>
          <w:sz w:val="24"/>
          <w:szCs w:val="24"/>
          <w:highlight w:val="none"/>
          <w:lang w:eastAsia="zh-CN"/>
        </w:rPr>
        <w:t>。</w:t>
      </w:r>
    </w:p>
    <w:p w14:paraId="422DAA40">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（2）一般生态空间</w:t>
      </w:r>
    </w:p>
    <w:p w14:paraId="31254BD4">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lang w:val="en-US" w:eastAsia="zh-CN"/>
        </w:rPr>
        <w:t>根据《长江经济带战略环境影响评价重庆市“三线一单”》《长江经济带战略环境影响评价重庆市巫溪县“三线一单”》，</w:t>
      </w:r>
      <w:r>
        <w:rPr>
          <w:rFonts w:hint="eastAsia" w:ascii="仿宋_GB2312" w:hAnsi="仿宋_GB2312" w:eastAsia="仿宋_GB2312" w:cs="仿宋_GB2312"/>
          <w:color w:val="auto"/>
          <w:sz w:val="24"/>
          <w:szCs w:val="24"/>
          <w:lang w:eastAsia="zh-CN"/>
        </w:rPr>
        <w:t>将</w:t>
      </w:r>
      <w:r>
        <w:rPr>
          <w:rFonts w:hint="eastAsia" w:ascii="仿宋_GB2312" w:hAnsi="仿宋_GB2312" w:eastAsia="仿宋_GB2312" w:cs="仿宋_GB2312"/>
          <w:color w:val="auto"/>
          <w:sz w:val="24"/>
          <w:szCs w:val="24"/>
        </w:rPr>
        <w:t>秦巴山区水源涵养及生物多样性保护区</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大巴山水源涵养－生物多样性保护生态功能区</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秦巴山区水土流失重点防治区</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长江三峡风景名胜区</w:t>
      </w:r>
      <w:r>
        <w:rPr>
          <w:rFonts w:hint="eastAsia" w:ascii="仿宋_GB2312" w:hAnsi="仿宋_GB2312" w:eastAsia="仿宋_GB2312" w:cs="仿宋_GB2312"/>
          <w:color w:val="auto"/>
          <w:sz w:val="24"/>
          <w:szCs w:val="24"/>
          <w:lang w:eastAsia="zh-CN"/>
        </w:rPr>
        <w:t>和</w:t>
      </w:r>
      <w:r>
        <w:rPr>
          <w:rFonts w:hint="eastAsia" w:ascii="仿宋_GB2312" w:hAnsi="仿宋_GB2312" w:eastAsia="仿宋_GB2312" w:cs="仿宋_GB2312"/>
          <w:color w:val="auto"/>
          <w:sz w:val="24"/>
          <w:szCs w:val="24"/>
        </w:rPr>
        <w:t>生态公益林、三峡水库消落带、永久基本农田、石漠化区域等</w:t>
      </w:r>
      <w:r>
        <w:rPr>
          <w:rFonts w:hint="eastAsia" w:ascii="仿宋_GB2312" w:hAnsi="仿宋_GB2312" w:eastAsia="仿宋_GB2312" w:cs="仿宋_GB2312"/>
          <w:color w:val="auto"/>
          <w:sz w:val="24"/>
          <w:szCs w:val="24"/>
          <w:lang w:eastAsia="zh-CN"/>
        </w:rPr>
        <w:t>区域划入</w:t>
      </w:r>
      <w:r>
        <w:rPr>
          <w:rFonts w:hint="eastAsia" w:ascii="仿宋_GB2312" w:hAnsi="仿宋_GB2312" w:eastAsia="仿宋_GB2312" w:cs="仿宋_GB2312"/>
          <w:color w:val="auto"/>
          <w:sz w:val="24"/>
          <w:szCs w:val="24"/>
        </w:rPr>
        <w:t>一般生态空间</w:t>
      </w:r>
      <w:r>
        <w:rPr>
          <w:rFonts w:hint="eastAsia" w:ascii="仿宋_GB2312" w:hAnsi="仿宋_GB2312" w:eastAsia="仿宋_GB2312" w:cs="仿宋_GB2312"/>
          <w:color w:val="auto"/>
          <w:sz w:val="24"/>
          <w:szCs w:val="24"/>
          <w:lang w:eastAsia="zh-CN"/>
        </w:rPr>
        <w:t>，面积</w:t>
      </w:r>
      <w:r>
        <w:rPr>
          <w:rFonts w:hint="eastAsia" w:ascii="仿宋_GB2312" w:hAnsi="仿宋_GB2312" w:eastAsia="仿宋_GB2312" w:cs="仿宋_GB2312"/>
          <w:color w:val="auto"/>
          <w:sz w:val="24"/>
          <w:szCs w:val="24"/>
          <w:lang w:val="en-US" w:eastAsia="zh-CN"/>
        </w:rPr>
        <w:t>321.58</w:t>
      </w:r>
      <w:r>
        <w:rPr>
          <w:rFonts w:hint="eastAsia" w:ascii="仿宋_GB2312" w:hAnsi="仿宋_GB2312" w:eastAsia="仿宋_GB2312" w:cs="仿宋_GB2312"/>
          <w:color w:val="auto"/>
          <w:sz w:val="24"/>
          <w:szCs w:val="24"/>
        </w:rPr>
        <w:t>km</w:t>
      </w:r>
      <w:r>
        <w:rPr>
          <w:rFonts w:hint="eastAsia" w:ascii="仿宋_GB2312" w:hAnsi="仿宋_GB2312" w:eastAsia="仿宋_GB2312" w:cs="仿宋_GB2312"/>
          <w:color w:val="auto"/>
          <w:sz w:val="24"/>
          <w:szCs w:val="24"/>
          <w:vertAlign w:val="superscript"/>
        </w:rPr>
        <w:t>2</w:t>
      </w:r>
      <w:r>
        <w:rPr>
          <w:rFonts w:hint="eastAsia" w:ascii="仿宋_GB2312" w:hAnsi="仿宋_GB2312" w:eastAsia="仿宋_GB2312" w:cs="仿宋_GB2312"/>
          <w:color w:val="auto"/>
          <w:sz w:val="24"/>
          <w:szCs w:val="24"/>
        </w:rPr>
        <w:t>，占全</w:t>
      </w:r>
      <w:r>
        <w:rPr>
          <w:rFonts w:hint="eastAsia" w:ascii="仿宋_GB2312" w:hAnsi="仿宋_GB2312" w:eastAsia="仿宋_GB2312" w:cs="仿宋_GB2312"/>
          <w:color w:val="auto"/>
          <w:sz w:val="24"/>
          <w:szCs w:val="24"/>
          <w:lang w:eastAsia="zh-CN"/>
        </w:rPr>
        <w:t>县</w:t>
      </w:r>
      <w:r>
        <w:rPr>
          <w:rFonts w:hint="eastAsia" w:ascii="仿宋_GB2312" w:hAnsi="仿宋_GB2312" w:eastAsia="仿宋_GB2312" w:cs="仿宋_GB2312"/>
          <w:color w:val="auto"/>
          <w:sz w:val="24"/>
          <w:szCs w:val="24"/>
        </w:rPr>
        <w:t>幅员面积的</w:t>
      </w:r>
      <w:r>
        <w:rPr>
          <w:rFonts w:hint="eastAsia" w:ascii="仿宋_GB2312" w:hAnsi="仿宋_GB2312" w:eastAsia="仿宋_GB2312" w:cs="仿宋_GB2312"/>
          <w:color w:val="auto"/>
          <w:sz w:val="24"/>
          <w:szCs w:val="24"/>
          <w:lang w:val="en-US" w:eastAsia="zh-CN"/>
        </w:rPr>
        <w:t>7.98</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。一般生态空间中“功能评价区”、“脆弱评价区”，应当按照限制性开发管理要求，严格控制建设活动范围和强度，保证其结构和主要功能不受破坏</w:t>
      </w:r>
      <w:r>
        <w:rPr>
          <w:rFonts w:hint="eastAsia" w:ascii="仿宋_GB2312" w:hAnsi="仿宋_GB2312" w:eastAsia="仿宋_GB2312" w:cs="仿宋_GB2312"/>
          <w:color w:val="auto"/>
          <w:sz w:val="24"/>
          <w:szCs w:val="24"/>
          <w:highlight w:val="none"/>
          <w:lang w:eastAsia="zh-CN"/>
        </w:rPr>
        <w:t>。</w:t>
      </w:r>
    </w:p>
    <w:p w14:paraId="66DDAD02">
      <w:pPr>
        <w:keepNext w:val="0"/>
        <w:keepLines w:val="0"/>
        <w:pageBreakBefore w:val="0"/>
        <w:widowControl w:val="0"/>
        <w:kinsoku/>
        <w:overflowPunct/>
        <w:topLinePunct w:val="0"/>
        <w:bidi w:val="0"/>
        <w:spacing w:before="120" w:beforeLines="50" w:after="120" w:afterLines="50"/>
        <w:jc w:val="both"/>
        <w:outlineLvl w:val="1"/>
        <w:rPr>
          <w:rFonts w:hint="eastAsia" w:ascii="仿宋_GB2312" w:hAnsi="仿宋_GB2312" w:eastAsia="仿宋_GB2312" w:cs="仿宋_GB2312"/>
          <w:b/>
          <w:bCs/>
          <w:color w:val="auto"/>
          <w:sz w:val="26"/>
          <w:szCs w:val="26"/>
          <w:highlight w:val="none"/>
          <w:lang w:eastAsia="zh-CN"/>
        </w:rPr>
      </w:pPr>
      <w:bookmarkStart w:id="17" w:name="_Toc6768"/>
      <w:r>
        <w:rPr>
          <w:rFonts w:hint="eastAsia" w:ascii="仿宋_GB2312" w:hAnsi="仿宋_GB2312" w:eastAsia="仿宋_GB2312" w:cs="仿宋_GB2312"/>
          <w:b/>
          <w:bCs/>
          <w:color w:val="auto"/>
          <w:sz w:val="26"/>
          <w:szCs w:val="26"/>
          <w:highlight w:val="none"/>
          <w:lang w:val="en-US" w:eastAsia="zh-CN"/>
        </w:rPr>
        <w:t>3</w:t>
      </w:r>
      <w:r>
        <w:rPr>
          <w:rFonts w:hint="eastAsia" w:ascii="仿宋_GB2312" w:hAnsi="仿宋_GB2312" w:eastAsia="仿宋_GB2312" w:cs="仿宋_GB2312"/>
          <w:b/>
          <w:bCs/>
          <w:color w:val="auto"/>
          <w:sz w:val="26"/>
          <w:szCs w:val="26"/>
          <w:highlight w:val="none"/>
        </w:rPr>
        <w:t>.</w:t>
      </w:r>
      <w:r>
        <w:rPr>
          <w:rFonts w:hint="eastAsia" w:ascii="仿宋_GB2312" w:hAnsi="仿宋_GB2312" w:eastAsia="仿宋_GB2312" w:cs="仿宋_GB2312"/>
          <w:b/>
          <w:bCs/>
          <w:color w:val="auto"/>
          <w:sz w:val="26"/>
          <w:szCs w:val="26"/>
          <w:highlight w:val="none"/>
          <w:lang w:val="en-US" w:eastAsia="zh-CN"/>
        </w:rPr>
        <w:t>4</w:t>
      </w:r>
      <w:r>
        <w:rPr>
          <w:rFonts w:hint="eastAsia" w:ascii="仿宋_GB2312" w:hAnsi="仿宋_GB2312" w:eastAsia="仿宋_GB2312" w:cs="仿宋_GB2312"/>
          <w:b/>
          <w:bCs/>
          <w:color w:val="auto"/>
          <w:sz w:val="26"/>
          <w:szCs w:val="26"/>
          <w:highlight w:val="none"/>
        </w:rPr>
        <w:t xml:space="preserve"> 环境影响回顾性</w:t>
      </w:r>
      <w:r>
        <w:rPr>
          <w:rFonts w:hint="eastAsia" w:ascii="仿宋_GB2312" w:hAnsi="仿宋_GB2312" w:eastAsia="仿宋_GB2312" w:cs="仿宋_GB2312"/>
          <w:b/>
          <w:bCs/>
          <w:color w:val="auto"/>
          <w:sz w:val="26"/>
          <w:szCs w:val="26"/>
          <w:highlight w:val="none"/>
          <w:lang w:val="en-US" w:eastAsia="zh-CN"/>
        </w:rPr>
        <w:t>分析</w:t>
      </w:r>
      <w:bookmarkEnd w:id="17"/>
    </w:p>
    <w:p w14:paraId="15AF0950">
      <w:pPr>
        <w:keepNext w:val="0"/>
        <w:keepLines w:val="0"/>
        <w:pageBreakBefore w:val="0"/>
        <w:widowControl w:val="0"/>
        <w:kinsoku/>
        <w:wordWrap/>
        <w:overflowPunct/>
        <w:topLinePunct w:val="0"/>
        <w:autoSpaceDE/>
        <w:autoSpaceDN/>
        <w:bidi w:val="0"/>
        <w:adjustRightInd w:val="0"/>
        <w:snapToGrid w:val="0"/>
        <w:spacing w:after="0" w:line="460" w:lineRule="exact"/>
        <w:ind w:firstLine="522"/>
        <w:jc w:val="both"/>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lang w:eastAsia="zh-CN"/>
        </w:rPr>
        <w:t>截至</w:t>
      </w:r>
      <w:r>
        <w:rPr>
          <w:rFonts w:hint="eastAsia" w:ascii="仿宋_GB2312" w:hAnsi="仿宋_GB2312" w:eastAsia="仿宋_GB2312" w:cs="仿宋_GB2312"/>
          <w:color w:val="auto"/>
          <w:sz w:val="24"/>
          <w:szCs w:val="24"/>
          <w:lang w:val="en-US" w:eastAsia="zh-CN"/>
        </w:rPr>
        <w:t>2020年底，第三轮矿规实施取得了较大成绩，基础性地质调查工作覆盖率从70%提升到了80%，新发现大中型矿产地3处，完成3个饰面用灰岩详查，矿山数量由2015年的59个减少到11个，大中型矿山比例由24%提高到64%，矿山“三率”达标率100%，完成历史遗留矿山废弃土地复垦面积50公顷，建成市级绿色矿山1个，完成了全县现有的8个露天开采矿山综合整治工作。</w:t>
      </w:r>
    </w:p>
    <w:p w14:paraId="4457FEC5">
      <w:pPr>
        <w:keepNext w:val="0"/>
        <w:keepLines w:val="0"/>
        <w:pageBreakBefore w:val="0"/>
        <w:widowControl w:val="0"/>
        <w:kinsoku/>
        <w:wordWrap/>
        <w:overflowPunct/>
        <w:topLinePunct w:val="0"/>
        <w:autoSpaceDE/>
        <w:autoSpaceDN/>
        <w:bidi w:val="0"/>
        <w:adjustRightInd w:val="0"/>
        <w:snapToGrid w:val="0"/>
        <w:spacing w:after="0" w:line="460" w:lineRule="exact"/>
        <w:ind w:firstLine="522"/>
        <w:jc w:val="both"/>
        <w:textAlignment w:val="auto"/>
        <w:outlineLvl w:val="9"/>
        <w:rPr>
          <w:rFonts w:hint="eastAsia"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rPr>
        <w:t>第三轮矿规环评及审查意见、主要环境目标基本得到了落实，规划实施期间未对巫溪县环境质量造成明显不良影响，环境影响可控。调查的重点矿产品集中分布区域环境空气、地表水和地下水等环境质量现状总体较好，满足相应环境质量标准要求。另外目前仍存在采矿权与生态保护红线、一般生态空间等有范围重叠；露天开采没有完全执行平台开采，边开采边修复制度未完全落实到位；历史遗留及关闭矿山地质环境恢复治理与土地复垦欠账多、推进工作滞后，历史遗留煤矿废水未得到有效处置。</w:t>
      </w:r>
    </w:p>
    <w:p w14:paraId="50904912">
      <w:pPr>
        <w:keepNext w:val="0"/>
        <w:keepLines w:val="0"/>
        <w:pageBreakBefore w:val="0"/>
        <w:widowControl w:val="0"/>
        <w:kinsoku/>
        <w:overflowPunct/>
        <w:topLinePunct w:val="0"/>
        <w:bidi w:val="0"/>
        <w:spacing w:before="120" w:beforeLines="50" w:after="120" w:afterLines="50"/>
        <w:jc w:val="both"/>
        <w:outlineLvl w:val="1"/>
        <w:rPr>
          <w:rFonts w:hint="eastAsia" w:ascii="仿宋_GB2312" w:hAnsi="仿宋_GB2312" w:eastAsia="仿宋_GB2312" w:cs="仿宋_GB2312"/>
          <w:b/>
          <w:bCs/>
          <w:color w:val="auto"/>
          <w:sz w:val="26"/>
          <w:szCs w:val="26"/>
          <w:highlight w:val="none"/>
        </w:rPr>
      </w:pPr>
      <w:bookmarkStart w:id="18" w:name="_Toc26120"/>
      <w:r>
        <w:rPr>
          <w:rFonts w:hint="eastAsia" w:ascii="仿宋_GB2312" w:hAnsi="仿宋_GB2312" w:eastAsia="仿宋_GB2312" w:cs="仿宋_GB2312"/>
          <w:b/>
          <w:bCs/>
          <w:color w:val="auto"/>
          <w:sz w:val="26"/>
          <w:szCs w:val="26"/>
          <w:highlight w:val="none"/>
          <w:lang w:val="en-US" w:eastAsia="zh-CN"/>
        </w:rPr>
        <w:t>3</w:t>
      </w:r>
      <w:r>
        <w:rPr>
          <w:rFonts w:hint="eastAsia" w:ascii="仿宋_GB2312" w:hAnsi="仿宋_GB2312" w:eastAsia="仿宋_GB2312" w:cs="仿宋_GB2312"/>
          <w:b/>
          <w:bCs/>
          <w:color w:val="auto"/>
          <w:sz w:val="26"/>
          <w:szCs w:val="26"/>
          <w:highlight w:val="none"/>
        </w:rPr>
        <w:t>.</w:t>
      </w:r>
      <w:r>
        <w:rPr>
          <w:rFonts w:hint="eastAsia" w:ascii="仿宋_GB2312" w:hAnsi="仿宋_GB2312" w:eastAsia="仿宋_GB2312" w:cs="仿宋_GB2312"/>
          <w:b/>
          <w:bCs/>
          <w:color w:val="auto"/>
          <w:sz w:val="26"/>
          <w:szCs w:val="26"/>
          <w:highlight w:val="none"/>
          <w:lang w:val="en-US" w:eastAsia="zh-CN"/>
        </w:rPr>
        <w:t>5</w:t>
      </w:r>
      <w:r>
        <w:rPr>
          <w:rFonts w:hint="eastAsia" w:ascii="仿宋_GB2312" w:hAnsi="仿宋_GB2312" w:eastAsia="仿宋_GB2312" w:cs="仿宋_GB2312"/>
          <w:b/>
          <w:bCs/>
          <w:color w:val="auto"/>
          <w:sz w:val="26"/>
          <w:szCs w:val="26"/>
          <w:highlight w:val="none"/>
        </w:rPr>
        <w:t xml:space="preserve"> </w:t>
      </w:r>
      <w:r>
        <w:rPr>
          <w:rFonts w:hint="eastAsia" w:ascii="仿宋_GB2312" w:hAnsi="仿宋_GB2312" w:eastAsia="仿宋_GB2312" w:cs="仿宋_GB2312"/>
          <w:b/>
          <w:bCs/>
          <w:color w:val="auto"/>
          <w:sz w:val="26"/>
          <w:szCs w:val="26"/>
          <w:highlight w:val="none"/>
          <w:lang w:val="en-US" w:eastAsia="zh-CN"/>
        </w:rPr>
        <w:t>存在的主要生态环境问题及解决方案</w:t>
      </w:r>
      <w:bookmarkEnd w:id="18"/>
    </w:p>
    <w:p w14:paraId="75CF1D5D">
      <w:pPr>
        <w:keepNext w:val="0"/>
        <w:keepLines w:val="0"/>
        <w:pageBreakBefore w:val="0"/>
        <w:widowControl w:val="0"/>
        <w:numPr>
          <w:ilvl w:val="0"/>
          <w:numId w:val="1"/>
        </w:numPr>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与生态保护红线、一般生态空间和城镇开发边界存在范围重叠。</w:t>
      </w:r>
    </w:p>
    <w:p w14:paraId="1195B64B">
      <w:pPr>
        <w:keepNext w:val="0"/>
        <w:keepLines w:val="0"/>
        <w:pageBreakBefore w:val="0"/>
        <w:widowControl w:val="0"/>
        <w:numPr>
          <w:ilvl w:val="0"/>
          <w:numId w:val="0"/>
        </w:numPr>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评价要求，应严守生态空间管控要求，合理优化现有矿山空间布局。</w:t>
      </w:r>
      <w:r>
        <w:rPr>
          <w:rFonts w:hint="eastAsia" w:ascii="仿宋_GB2312" w:hAnsi="仿宋_GB2312" w:eastAsia="仿宋_GB2312" w:cs="仿宋_GB2312"/>
          <w:color w:val="auto"/>
          <w:sz w:val="24"/>
          <w:szCs w:val="24"/>
          <w:highlight w:val="none"/>
        </w:rPr>
        <w:t>对于与生态保护红线有范围重叠的采矿权，应严格执行生态保护红线相关管控要求及《自然资源部 国家林业和草原局关于生态保护红线自然保护地内矿业权差别化管理的通知》（自然资函〔2020〕861号）要求。对于小部分或部分范围重叠的采矿权，建议调整区块范围，主动避让，不与发生重叠；对于大部分或全部范围重叠的采矿权，建议取消或另行选址规划。对于与一般生态空间</w:t>
      </w:r>
      <w:r>
        <w:rPr>
          <w:rFonts w:hint="eastAsia" w:ascii="仿宋_GB2312" w:hAnsi="仿宋_GB2312" w:eastAsia="仿宋_GB2312" w:cs="仿宋_GB2312"/>
          <w:color w:val="auto"/>
          <w:sz w:val="24"/>
          <w:szCs w:val="24"/>
          <w:highlight w:val="none"/>
          <w:lang w:eastAsia="zh-CN"/>
        </w:rPr>
        <w:t>、城镇开发边界</w:t>
      </w:r>
      <w:r>
        <w:rPr>
          <w:rFonts w:hint="eastAsia" w:ascii="仿宋_GB2312" w:hAnsi="仿宋_GB2312" w:eastAsia="仿宋_GB2312" w:cs="仿宋_GB2312"/>
          <w:color w:val="auto"/>
          <w:sz w:val="24"/>
          <w:szCs w:val="24"/>
          <w:highlight w:val="none"/>
        </w:rPr>
        <w:t>有范围重叠的采矿权，应严格执行《长江经济带战略环境影响评价重庆市“三线一单”》等管控要求，在</w:t>
      </w:r>
      <w:r>
        <w:rPr>
          <w:rFonts w:hint="eastAsia" w:ascii="仿宋_GB2312" w:hAnsi="仿宋_GB2312" w:eastAsia="仿宋_GB2312" w:cs="仿宋_GB2312"/>
          <w:color w:val="auto"/>
          <w:sz w:val="24"/>
          <w:szCs w:val="24"/>
          <w:highlight w:val="none"/>
          <w:lang w:eastAsia="zh-CN"/>
        </w:rPr>
        <w:t>保护区范围</w:t>
      </w:r>
      <w:r>
        <w:rPr>
          <w:rFonts w:hint="eastAsia" w:ascii="仿宋_GB2312" w:hAnsi="仿宋_GB2312" w:eastAsia="仿宋_GB2312" w:cs="仿宋_GB2312"/>
          <w:color w:val="auto"/>
          <w:sz w:val="24"/>
          <w:szCs w:val="24"/>
          <w:highlight w:val="none"/>
        </w:rPr>
        <w:t>内不允许再扩大规模和范围，并严格执行绿色开采与矿山生态保护修复相关要求，边开采边治理。</w:t>
      </w:r>
    </w:p>
    <w:p w14:paraId="376C916E">
      <w:pPr>
        <w:keepNext w:val="0"/>
        <w:keepLines w:val="0"/>
        <w:pageBreakBefore w:val="0"/>
        <w:widowControl w:val="0"/>
        <w:numPr>
          <w:ilvl w:val="0"/>
          <w:numId w:val="1"/>
        </w:numPr>
        <w:kinsoku/>
        <w:overflowPunct/>
        <w:topLinePunct w:val="0"/>
        <w:bidi w:val="0"/>
        <w:spacing w:after="0" w:line="460" w:lineRule="exact"/>
        <w:ind w:left="0" w:leftChars="0"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矿产资源勘查、开发与生态环境保护和社会经济发展的要求不相适应的矛盾仍然突出，矿产供需尚不平衡。露天开采没有完全执行平台开采，边开采边修复制度未完全落实到位。</w:t>
      </w:r>
    </w:p>
    <w:p w14:paraId="05397C06">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评价要求，应</w:t>
      </w:r>
      <w:r>
        <w:rPr>
          <w:rFonts w:hint="eastAsia" w:ascii="仿宋_GB2312" w:hAnsi="仿宋_GB2312" w:eastAsia="仿宋_GB2312" w:cs="仿宋_GB2312"/>
          <w:color w:val="auto"/>
          <w:sz w:val="24"/>
          <w:szCs w:val="24"/>
          <w:highlight w:val="none"/>
        </w:rPr>
        <w:t>加强矿山规模结构调整，提升矿产资源节约集约利用水平，推进矿业绿色发展</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严格执行《关于加快建设绿色矿山的实施意见》（国土资规〔2017〕4号）、《重庆市绿色矿山建设标准》（渝国土房管规发〔2018〕2号）和《重庆市绿色矿山管理办法》（渝规资规范〔2020〕13号）等规定和要求，加快推进绿色矿山建设工作，依法关闭不满足绿色矿山建设标准和生态环境保护要求的矿山，鼓励和引导矿山企业重组改造、转型升级，促进矿产资源规模化开发利用，提高大中型矿山建设比例和绿色矿山建设比例。同时，建立矿产资源开发利用水平调查评估制度，强化对矿山企业的监管，督促其采用符合国家标准的采矿方法和选矿工艺，提高矿产资源开采回收率、选矿回收率和综合利用率。执行露天矿山平台开采制度，落实矿山边开采边修复制度。构建税费减免等激励机制，促进矿产资源节约集约利用，促进废石的综合利用，提高矿山固体废物和废水资源化综合利用水平。</w:t>
      </w:r>
    </w:p>
    <w:p w14:paraId="24CBA1D5">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（3）矿山开采地质环境恢复治理与土地复垦等</w:t>
      </w:r>
      <w:r>
        <w:rPr>
          <w:rFonts w:hint="eastAsia" w:ascii="仿宋_GB2312" w:hAnsi="仿宋_GB2312" w:eastAsia="仿宋_GB2312" w:cs="仿宋_GB2312"/>
          <w:color w:val="auto"/>
          <w:sz w:val="24"/>
          <w:szCs w:val="24"/>
          <w:highlight w:val="none"/>
          <w:lang w:eastAsia="zh-CN"/>
        </w:rPr>
        <w:t>生态环境问题</w:t>
      </w:r>
      <w:r>
        <w:rPr>
          <w:rFonts w:hint="eastAsia" w:ascii="仿宋_GB2312" w:hAnsi="仿宋_GB2312" w:eastAsia="仿宋_GB2312" w:cs="仿宋_GB2312"/>
          <w:color w:val="auto"/>
          <w:sz w:val="24"/>
          <w:szCs w:val="24"/>
          <w:highlight w:val="none"/>
        </w:rPr>
        <w:t>历史欠账多</w:t>
      </w:r>
      <w:r>
        <w:rPr>
          <w:rFonts w:hint="eastAsia" w:ascii="仿宋_GB2312" w:hAnsi="仿宋_GB2312" w:eastAsia="仿宋_GB2312" w:cs="仿宋_GB2312"/>
          <w:color w:val="auto"/>
          <w:sz w:val="24"/>
          <w:szCs w:val="24"/>
          <w:highlight w:val="none"/>
          <w:lang w:eastAsia="zh-CN"/>
        </w:rPr>
        <w:t>，采煤</w:t>
      </w:r>
      <w:r>
        <w:rPr>
          <w:rFonts w:hint="eastAsia" w:ascii="仿宋_GB2312" w:hAnsi="仿宋_GB2312" w:eastAsia="仿宋_GB2312" w:cs="仿宋_GB2312"/>
          <w:color w:val="auto"/>
          <w:sz w:val="24"/>
          <w:szCs w:val="24"/>
          <w:highlight w:val="none"/>
        </w:rPr>
        <w:t>地表塌陷、地下水漏失、矿井水</w:t>
      </w:r>
      <w:r>
        <w:rPr>
          <w:rFonts w:hint="eastAsia" w:ascii="仿宋_GB2312" w:hAnsi="仿宋_GB2312" w:eastAsia="仿宋_GB2312" w:cs="仿宋_GB2312"/>
          <w:color w:val="auto"/>
          <w:sz w:val="24"/>
          <w:szCs w:val="24"/>
          <w:highlight w:val="none"/>
          <w:lang w:eastAsia="zh-CN"/>
        </w:rPr>
        <w:t>等遗留问题，</w:t>
      </w:r>
      <w:r>
        <w:rPr>
          <w:rFonts w:hint="eastAsia" w:ascii="仿宋_GB2312" w:hAnsi="仿宋_GB2312" w:eastAsia="仿宋_GB2312" w:cs="仿宋_GB2312"/>
          <w:color w:val="auto"/>
          <w:sz w:val="24"/>
          <w:szCs w:val="24"/>
          <w:highlight w:val="none"/>
        </w:rPr>
        <w:t>部分矿山企业存在重开发、轻保护</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生态保护修复和污染防治措施落实不到位</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环保设施未验收及投入运行，少数企业</w:t>
      </w:r>
      <w:r>
        <w:rPr>
          <w:rFonts w:hint="eastAsia" w:ascii="仿宋_GB2312" w:hAnsi="仿宋_GB2312" w:eastAsia="仿宋_GB2312" w:cs="仿宋_GB2312"/>
          <w:color w:val="auto"/>
          <w:sz w:val="24"/>
          <w:szCs w:val="24"/>
          <w:highlight w:val="none"/>
          <w:lang w:eastAsia="zh-CN"/>
        </w:rPr>
        <w:t>环评手续落实不到位</w:t>
      </w:r>
      <w:r>
        <w:rPr>
          <w:rFonts w:hint="eastAsia" w:ascii="仿宋_GB2312" w:hAnsi="仿宋_GB2312" w:eastAsia="仿宋_GB2312" w:cs="仿宋_GB2312"/>
          <w:color w:val="auto"/>
          <w:sz w:val="24"/>
          <w:szCs w:val="24"/>
          <w:highlight w:val="none"/>
        </w:rPr>
        <w:t>，有极少数企业存在无证排污和超标排污的情形。</w:t>
      </w:r>
    </w:p>
    <w:p w14:paraId="2CA7D867">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评价要求，应全面推进矿山生态保护修复工作，有效解决矿山遗留生态环境问题。严格按照《重庆市历史遗留和关闭矿山地质环境治理恢复与土地复垦工作方案》（渝府办发〔2018〕55号）要求，落实矿山责任主体，有序推进关闭（含新关闭矿山）及历史遗留矿山治理恢复或土地复垦，确保年度目标和总体目标任务圆满完成。严格执行《矿山地质环境保护规定》《重庆市贯彻落实土壤污染防治行动计划工作方案》等规定和要求，有序推进关闭煤矿矿井水有效治理及矿山生态恢复治理等工作。现有矿山企业应严格按照《环境保护法》《环境影响评价法》《排污许可管理条例》及《矿山生态环境保护与恢复治理技术规范（试行）》等相关规定和要求，完善各项环保手续，建设并正常运行污染治理设备设施，确保污染物达标排放，并边开采边治理矿山生态环境。同时，应加强矿山生态环境执法，督促和指导企业落实矿山生态环境保护与污染防治主体责任，维护好区域生态环境质量。</w:t>
      </w:r>
    </w:p>
    <w:p w14:paraId="1705D3DD">
      <w:pPr>
        <w:keepNext w:val="0"/>
        <w:keepLines w:val="0"/>
        <w:pageBreakBefore w:val="0"/>
        <w:widowControl w:val="0"/>
        <w:kinsoku/>
        <w:overflowPunct/>
        <w:topLinePunct w:val="0"/>
        <w:bidi w:val="0"/>
        <w:spacing w:before="120" w:beforeLines="50" w:after="120" w:afterLines="50"/>
        <w:jc w:val="both"/>
        <w:outlineLvl w:val="1"/>
        <w:rPr>
          <w:rFonts w:hint="eastAsia" w:ascii="仿宋_GB2312" w:hAnsi="仿宋_GB2312" w:eastAsia="仿宋_GB2312" w:cs="仿宋_GB2312"/>
          <w:b/>
          <w:bCs/>
          <w:color w:val="auto"/>
          <w:sz w:val="26"/>
          <w:szCs w:val="26"/>
          <w:highlight w:val="none"/>
        </w:rPr>
      </w:pPr>
      <w:bookmarkStart w:id="19" w:name="_Toc24790"/>
      <w:r>
        <w:rPr>
          <w:rFonts w:hint="eastAsia" w:ascii="仿宋_GB2312" w:hAnsi="仿宋_GB2312" w:eastAsia="仿宋_GB2312" w:cs="仿宋_GB2312"/>
          <w:b/>
          <w:bCs/>
          <w:color w:val="auto"/>
          <w:sz w:val="26"/>
          <w:szCs w:val="26"/>
          <w:highlight w:val="none"/>
          <w:lang w:val="en-US" w:eastAsia="zh-CN"/>
        </w:rPr>
        <w:t>3</w:t>
      </w:r>
      <w:r>
        <w:rPr>
          <w:rFonts w:hint="eastAsia" w:ascii="仿宋_GB2312" w:hAnsi="仿宋_GB2312" w:eastAsia="仿宋_GB2312" w:cs="仿宋_GB2312"/>
          <w:b/>
          <w:bCs/>
          <w:color w:val="auto"/>
          <w:sz w:val="26"/>
          <w:szCs w:val="26"/>
          <w:highlight w:val="none"/>
        </w:rPr>
        <w:t>.</w:t>
      </w:r>
      <w:r>
        <w:rPr>
          <w:rFonts w:hint="eastAsia" w:ascii="仿宋_GB2312" w:hAnsi="仿宋_GB2312" w:eastAsia="仿宋_GB2312" w:cs="仿宋_GB2312"/>
          <w:b/>
          <w:bCs/>
          <w:color w:val="auto"/>
          <w:sz w:val="26"/>
          <w:szCs w:val="26"/>
          <w:highlight w:val="none"/>
          <w:lang w:val="en-US" w:eastAsia="zh-CN"/>
        </w:rPr>
        <w:t>6</w:t>
      </w:r>
      <w:r>
        <w:rPr>
          <w:rFonts w:hint="eastAsia" w:ascii="仿宋_GB2312" w:hAnsi="仿宋_GB2312" w:eastAsia="仿宋_GB2312" w:cs="仿宋_GB2312"/>
          <w:b/>
          <w:bCs/>
          <w:color w:val="auto"/>
          <w:sz w:val="26"/>
          <w:szCs w:val="26"/>
          <w:highlight w:val="none"/>
        </w:rPr>
        <w:t xml:space="preserve"> 资源与环境制约因素</w:t>
      </w:r>
      <w:bookmarkEnd w:id="19"/>
    </w:p>
    <w:p w14:paraId="1BB481D8">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制约《规划》实施的资源环境因素主要有生态保护红线、依法设立的各级各类环境敏感区、环境空气质量、水资源、土地资源等，其中主要制约因素是生态保护红线、依法设立的各级各类保护区域、一般生态空间和土地资源</w:t>
      </w:r>
      <w:r>
        <w:rPr>
          <w:rFonts w:hint="eastAsia" w:ascii="仿宋_GB2312" w:hAnsi="仿宋_GB2312" w:eastAsia="仿宋_GB2312" w:cs="仿宋_GB2312"/>
          <w:color w:val="auto"/>
          <w:sz w:val="24"/>
          <w:szCs w:val="24"/>
          <w:highlight w:val="none"/>
          <w:lang w:eastAsia="zh-CN"/>
        </w:rPr>
        <w:t>。</w:t>
      </w:r>
    </w:p>
    <w:p w14:paraId="4F7337AB">
      <w:pPr>
        <w:keepNext w:val="0"/>
        <w:keepLines w:val="0"/>
        <w:pageBreakBefore w:val="0"/>
        <w:widowControl w:val="0"/>
        <w:kinsoku/>
        <w:wordWrap/>
        <w:overflowPunct/>
        <w:topLinePunct w:val="0"/>
        <w:autoSpaceDE/>
        <w:autoSpaceDN/>
        <w:bidi w:val="0"/>
        <w:adjustRightInd w:val="0"/>
        <w:snapToGrid w:val="0"/>
        <w:spacing w:before="120" w:beforeLines="50" w:after="120" w:afterLines="50"/>
        <w:jc w:val="both"/>
        <w:textAlignment w:val="auto"/>
        <w:outlineLvl w:val="0"/>
        <w:rPr>
          <w:rFonts w:hint="eastAsia" w:ascii="仿宋_GB2312" w:hAnsi="仿宋_GB2312" w:eastAsia="仿宋_GB2312" w:cs="仿宋_GB2312"/>
          <w:b/>
          <w:bCs/>
          <w:color w:val="auto"/>
          <w:sz w:val="26"/>
          <w:szCs w:val="26"/>
          <w:highlight w:val="none"/>
        </w:rPr>
      </w:pPr>
      <w:bookmarkStart w:id="20" w:name="_Toc12832"/>
      <w:bookmarkStart w:id="21" w:name="_Toc10477"/>
      <w:r>
        <w:rPr>
          <w:rFonts w:hint="eastAsia" w:ascii="仿宋_GB2312" w:hAnsi="仿宋_GB2312" w:eastAsia="仿宋_GB2312" w:cs="仿宋_GB2312"/>
          <w:b/>
          <w:bCs/>
          <w:color w:val="auto"/>
          <w:sz w:val="26"/>
          <w:szCs w:val="26"/>
          <w:highlight w:val="none"/>
          <w:lang w:val="en-US" w:eastAsia="zh-CN"/>
        </w:rPr>
        <w:t>4</w:t>
      </w:r>
      <w:r>
        <w:rPr>
          <w:rFonts w:hint="eastAsia" w:ascii="仿宋_GB2312" w:hAnsi="仿宋_GB2312" w:eastAsia="仿宋_GB2312" w:cs="仿宋_GB2312"/>
          <w:b/>
          <w:bCs/>
          <w:color w:val="auto"/>
          <w:sz w:val="26"/>
          <w:szCs w:val="26"/>
          <w:highlight w:val="none"/>
        </w:rPr>
        <w:t xml:space="preserve"> 环境影响预测与评价</w:t>
      </w:r>
      <w:bookmarkEnd w:id="20"/>
      <w:bookmarkEnd w:id="21"/>
    </w:p>
    <w:p w14:paraId="6905CDB8">
      <w:pPr>
        <w:keepNext w:val="0"/>
        <w:keepLines w:val="0"/>
        <w:pageBreakBefore w:val="0"/>
        <w:widowControl w:val="0"/>
        <w:kinsoku/>
        <w:overflowPunct/>
        <w:topLinePunct w:val="0"/>
        <w:bidi w:val="0"/>
        <w:spacing w:before="120" w:beforeLines="50" w:after="120" w:afterLines="50"/>
        <w:jc w:val="both"/>
        <w:outlineLvl w:val="1"/>
        <w:rPr>
          <w:rFonts w:hint="eastAsia" w:ascii="仿宋_GB2312" w:hAnsi="仿宋_GB2312" w:eastAsia="仿宋_GB2312" w:cs="仿宋_GB2312"/>
          <w:b/>
          <w:bCs/>
          <w:color w:val="auto"/>
          <w:sz w:val="26"/>
          <w:szCs w:val="26"/>
          <w:highlight w:val="none"/>
        </w:rPr>
      </w:pPr>
      <w:bookmarkStart w:id="22" w:name="_Toc10709"/>
      <w:r>
        <w:rPr>
          <w:rFonts w:hint="eastAsia" w:ascii="仿宋_GB2312" w:hAnsi="仿宋_GB2312" w:eastAsia="仿宋_GB2312" w:cs="仿宋_GB2312"/>
          <w:b/>
          <w:bCs/>
          <w:color w:val="auto"/>
          <w:sz w:val="26"/>
          <w:szCs w:val="26"/>
          <w:highlight w:val="none"/>
          <w:lang w:val="en-US" w:eastAsia="zh-CN"/>
        </w:rPr>
        <w:t>4</w:t>
      </w:r>
      <w:r>
        <w:rPr>
          <w:rFonts w:hint="eastAsia" w:ascii="仿宋_GB2312" w:hAnsi="仿宋_GB2312" w:eastAsia="仿宋_GB2312" w:cs="仿宋_GB2312"/>
          <w:b/>
          <w:bCs/>
          <w:color w:val="auto"/>
          <w:sz w:val="26"/>
          <w:szCs w:val="26"/>
          <w:highlight w:val="none"/>
        </w:rPr>
        <w:t>.1 资源与环境承载力</w:t>
      </w:r>
      <w:bookmarkEnd w:id="22"/>
    </w:p>
    <w:p w14:paraId="2B7AE2EF">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巫溪县</w:t>
      </w:r>
      <w:r>
        <w:rPr>
          <w:rFonts w:hint="eastAsia" w:ascii="仿宋_GB2312" w:hAnsi="仿宋_GB2312" w:eastAsia="仿宋_GB2312" w:cs="仿宋_GB2312"/>
          <w:color w:val="auto"/>
          <w:sz w:val="24"/>
          <w:szCs w:val="24"/>
        </w:rPr>
        <w:t>水资源利用率仍处于较低水平，从全</w:t>
      </w:r>
      <w:r>
        <w:rPr>
          <w:rFonts w:hint="eastAsia" w:ascii="仿宋_GB2312" w:hAnsi="仿宋_GB2312" w:eastAsia="仿宋_GB2312" w:cs="仿宋_GB2312"/>
          <w:color w:val="auto"/>
          <w:sz w:val="24"/>
          <w:szCs w:val="24"/>
          <w:lang w:eastAsia="zh-CN"/>
        </w:rPr>
        <w:t>县</w:t>
      </w:r>
      <w:r>
        <w:rPr>
          <w:rFonts w:hint="eastAsia" w:ascii="仿宋_GB2312" w:hAnsi="仿宋_GB2312" w:eastAsia="仿宋_GB2312" w:cs="仿宋_GB2312"/>
          <w:color w:val="auto"/>
          <w:sz w:val="24"/>
          <w:szCs w:val="24"/>
        </w:rPr>
        <w:t>范围来看仍有较大富余水资源可利用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经预测，</w:t>
      </w:r>
      <w:r>
        <w:rPr>
          <w:rFonts w:hint="eastAsia" w:ascii="仿宋_GB2312" w:hAnsi="仿宋_GB2312" w:eastAsia="仿宋_GB2312" w:cs="仿宋_GB2312"/>
          <w:color w:val="auto"/>
          <w:sz w:val="24"/>
          <w:szCs w:val="24"/>
        </w:rPr>
        <w:t>到2025年，</w:t>
      </w:r>
      <w:r>
        <w:rPr>
          <w:rFonts w:hint="eastAsia" w:ascii="仿宋_GB2312" w:hAnsi="仿宋_GB2312" w:eastAsia="仿宋_GB2312" w:cs="仿宋_GB2312"/>
          <w:color w:val="auto"/>
          <w:sz w:val="24"/>
          <w:szCs w:val="24"/>
          <w:lang w:eastAsia="zh-CN"/>
        </w:rPr>
        <w:t>全县</w:t>
      </w:r>
      <w:r>
        <w:rPr>
          <w:rFonts w:hint="eastAsia" w:ascii="仿宋_GB2312" w:hAnsi="仿宋_GB2312" w:eastAsia="仿宋_GB2312" w:cs="仿宋_GB2312"/>
          <w:color w:val="auto"/>
          <w:sz w:val="24"/>
          <w:szCs w:val="24"/>
        </w:rPr>
        <w:t>采矿业用水量约</w:t>
      </w:r>
      <w:r>
        <w:rPr>
          <w:rFonts w:hint="eastAsia" w:ascii="仿宋_GB2312" w:hAnsi="仿宋_GB2312" w:eastAsia="仿宋_GB2312" w:cs="仿宋_GB2312"/>
          <w:color w:val="auto"/>
          <w:sz w:val="24"/>
          <w:szCs w:val="24"/>
          <w:lang w:val="en-US" w:eastAsia="zh-CN"/>
        </w:rPr>
        <w:t>44.78</w:t>
      </w:r>
      <w:r>
        <w:rPr>
          <w:rFonts w:hint="eastAsia" w:ascii="仿宋_GB2312" w:hAnsi="仿宋_GB2312" w:eastAsia="仿宋_GB2312" w:cs="仿宋_GB2312"/>
          <w:color w:val="auto"/>
          <w:sz w:val="24"/>
          <w:szCs w:val="24"/>
        </w:rPr>
        <w:t>万m</w:t>
      </w:r>
      <w:r>
        <w:rPr>
          <w:rFonts w:hint="eastAsia" w:ascii="仿宋_GB2312" w:hAnsi="仿宋_GB2312" w:eastAsia="仿宋_GB2312" w:cs="仿宋_GB2312"/>
          <w:color w:val="auto"/>
          <w:sz w:val="24"/>
          <w:szCs w:val="24"/>
          <w:vertAlign w:val="superscript"/>
        </w:rPr>
        <w:t>3</w:t>
      </w:r>
      <w:r>
        <w:rPr>
          <w:rFonts w:hint="eastAsia" w:ascii="仿宋_GB2312" w:hAnsi="仿宋_GB2312" w:eastAsia="仿宋_GB2312" w:cs="仿宋_GB2312"/>
          <w:color w:val="auto"/>
          <w:sz w:val="24"/>
          <w:szCs w:val="24"/>
        </w:rPr>
        <w:t>，占《长江经济带战略环境评价重庆市</w:t>
      </w:r>
      <w:r>
        <w:rPr>
          <w:rFonts w:hint="eastAsia" w:ascii="仿宋_GB2312" w:hAnsi="仿宋_GB2312" w:eastAsia="仿宋_GB2312" w:cs="仿宋_GB2312"/>
          <w:color w:val="auto"/>
          <w:sz w:val="24"/>
          <w:szCs w:val="24"/>
          <w:lang w:eastAsia="zh-CN"/>
        </w:rPr>
        <w:t>巫溪县</w:t>
      </w:r>
      <w:r>
        <w:rPr>
          <w:rFonts w:hint="eastAsia" w:ascii="仿宋_GB2312" w:hAnsi="仿宋_GB2312" w:eastAsia="仿宋_GB2312" w:cs="仿宋_GB2312"/>
          <w:color w:val="auto"/>
          <w:sz w:val="24"/>
          <w:szCs w:val="24"/>
        </w:rPr>
        <w:t>“三线一单”》2020年</w:t>
      </w:r>
      <w:r>
        <w:rPr>
          <w:rFonts w:hint="eastAsia" w:ascii="仿宋_GB2312" w:hAnsi="仿宋_GB2312" w:eastAsia="仿宋_GB2312" w:cs="仿宋_GB2312"/>
          <w:color w:val="auto"/>
          <w:sz w:val="24"/>
          <w:szCs w:val="24"/>
          <w:lang w:eastAsia="zh-CN"/>
        </w:rPr>
        <w:t>全市</w:t>
      </w:r>
      <w:r>
        <w:rPr>
          <w:rFonts w:hint="eastAsia" w:ascii="仿宋_GB2312" w:hAnsi="仿宋_GB2312" w:eastAsia="仿宋_GB2312" w:cs="仿宋_GB2312"/>
          <w:color w:val="auto"/>
          <w:sz w:val="24"/>
          <w:szCs w:val="24"/>
        </w:rPr>
        <w:t>用水总量控制指标（</w:t>
      </w:r>
      <w:r>
        <w:rPr>
          <w:rFonts w:hint="eastAsia" w:ascii="仿宋_GB2312" w:hAnsi="仿宋_GB2312" w:eastAsia="仿宋_GB2312" w:cs="仿宋_GB2312"/>
          <w:color w:val="auto"/>
          <w:sz w:val="24"/>
          <w:szCs w:val="24"/>
          <w:lang w:val="en-US" w:eastAsia="zh-CN"/>
        </w:rPr>
        <w:t>6800万</w:t>
      </w:r>
      <w:r>
        <w:rPr>
          <w:rFonts w:hint="eastAsia" w:ascii="仿宋_GB2312" w:hAnsi="仿宋_GB2312" w:eastAsia="仿宋_GB2312" w:cs="仿宋_GB2312"/>
          <w:color w:val="auto"/>
          <w:sz w:val="24"/>
          <w:szCs w:val="24"/>
        </w:rPr>
        <w:t>m</w:t>
      </w:r>
      <w:r>
        <w:rPr>
          <w:rFonts w:hint="eastAsia" w:ascii="仿宋_GB2312" w:hAnsi="仿宋_GB2312" w:eastAsia="仿宋_GB2312" w:cs="仿宋_GB2312"/>
          <w:color w:val="auto"/>
          <w:sz w:val="24"/>
          <w:szCs w:val="24"/>
          <w:vertAlign w:val="superscript"/>
        </w:rPr>
        <w:t>3</w:t>
      </w:r>
      <w:r>
        <w:rPr>
          <w:rFonts w:hint="eastAsia" w:ascii="仿宋_GB2312" w:hAnsi="仿宋_GB2312" w:eastAsia="仿宋_GB2312" w:cs="仿宋_GB2312"/>
          <w:color w:val="auto"/>
          <w:sz w:val="24"/>
          <w:szCs w:val="24"/>
        </w:rPr>
        <w:t>）的</w:t>
      </w:r>
      <w:r>
        <w:rPr>
          <w:rFonts w:hint="eastAsia" w:ascii="仿宋_GB2312" w:hAnsi="仿宋_GB2312" w:eastAsia="仿宋_GB2312" w:cs="仿宋_GB2312"/>
          <w:color w:val="auto"/>
          <w:sz w:val="24"/>
          <w:szCs w:val="24"/>
          <w:lang w:val="en-US" w:eastAsia="zh-CN"/>
        </w:rPr>
        <w:t>0.66</w:t>
      </w:r>
      <w:r>
        <w:rPr>
          <w:rFonts w:hint="eastAsia" w:ascii="仿宋_GB2312" w:hAnsi="仿宋_GB2312" w:eastAsia="仿宋_GB2312" w:cs="仿宋_GB2312"/>
          <w:color w:val="auto"/>
          <w:sz w:val="24"/>
          <w:szCs w:val="24"/>
        </w:rPr>
        <w:t>%，占</w:t>
      </w:r>
      <w:r>
        <w:rPr>
          <w:rFonts w:hint="eastAsia" w:ascii="仿宋_GB2312" w:hAnsi="仿宋_GB2312" w:eastAsia="仿宋_GB2312" w:cs="仿宋_GB2312"/>
          <w:color w:val="auto"/>
          <w:sz w:val="24"/>
          <w:szCs w:val="24"/>
          <w:lang w:eastAsia="zh-CN"/>
        </w:rPr>
        <w:t>水</w:t>
      </w:r>
      <w:r>
        <w:rPr>
          <w:rFonts w:hint="eastAsia" w:ascii="仿宋_GB2312" w:hAnsi="仿宋_GB2312" w:eastAsia="仿宋_GB2312" w:cs="仿宋_GB2312"/>
          <w:color w:val="auto"/>
          <w:sz w:val="24"/>
          <w:szCs w:val="24"/>
        </w:rPr>
        <w:t>资源总量的比例</w:t>
      </w:r>
      <w:r>
        <w:rPr>
          <w:rFonts w:hint="eastAsia" w:ascii="仿宋_GB2312" w:hAnsi="仿宋_GB2312" w:eastAsia="仿宋_GB2312" w:cs="仿宋_GB2312"/>
          <w:color w:val="auto"/>
          <w:sz w:val="24"/>
          <w:szCs w:val="24"/>
          <w:lang w:eastAsia="zh-CN"/>
        </w:rPr>
        <w:t>很</w:t>
      </w:r>
      <w:r>
        <w:rPr>
          <w:rFonts w:hint="eastAsia" w:ascii="仿宋_GB2312" w:hAnsi="仿宋_GB2312" w:eastAsia="仿宋_GB2312" w:cs="仿宋_GB2312"/>
          <w:color w:val="auto"/>
          <w:sz w:val="24"/>
          <w:szCs w:val="24"/>
        </w:rPr>
        <w:t>小</w:t>
      </w:r>
      <w:r>
        <w:rPr>
          <w:rFonts w:hint="eastAsia" w:ascii="仿宋_GB2312" w:hAnsi="仿宋_GB2312" w:eastAsia="仿宋_GB2312" w:cs="仿宋_GB2312"/>
          <w:color w:val="auto"/>
          <w:sz w:val="24"/>
          <w:szCs w:val="24"/>
          <w:lang w:eastAsia="zh-CN"/>
        </w:rPr>
        <w:t>，完全可以承载规划实施对水资源的要求。但巫溪县水资源分布不均，《</w:t>
      </w:r>
      <w:r>
        <w:rPr>
          <w:rFonts w:hint="eastAsia" w:ascii="仿宋_GB2312" w:hAnsi="仿宋_GB2312" w:eastAsia="仿宋_GB2312" w:cs="仿宋_GB2312"/>
          <w:color w:val="auto"/>
          <w:sz w:val="24"/>
          <w:szCs w:val="24"/>
        </w:rPr>
        <w:t>规划</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实施必须严格取水制度，不得影响饮用水水源保护地和区域、流域用水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并应</w:t>
      </w:r>
      <w:r>
        <w:rPr>
          <w:rFonts w:hint="eastAsia" w:ascii="仿宋_GB2312" w:hAnsi="仿宋_GB2312" w:eastAsia="仿宋_GB2312" w:cs="仿宋_GB2312"/>
          <w:color w:val="auto"/>
          <w:sz w:val="24"/>
          <w:szCs w:val="24"/>
        </w:rPr>
        <w:t>加强污废水无害化处理和资源化</w:t>
      </w:r>
      <w:r>
        <w:rPr>
          <w:rFonts w:hint="eastAsia" w:ascii="仿宋_GB2312" w:hAnsi="仿宋_GB2312" w:eastAsia="仿宋_GB2312" w:cs="仿宋_GB2312"/>
          <w:color w:val="auto"/>
          <w:sz w:val="24"/>
          <w:szCs w:val="24"/>
          <w:lang w:eastAsia="zh-CN"/>
        </w:rPr>
        <w:t>循环再</w:t>
      </w:r>
      <w:r>
        <w:rPr>
          <w:rFonts w:hint="eastAsia" w:ascii="仿宋_GB2312" w:hAnsi="仿宋_GB2312" w:eastAsia="仿宋_GB2312" w:cs="仿宋_GB2312"/>
          <w:color w:val="auto"/>
          <w:sz w:val="24"/>
          <w:szCs w:val="24"/>
        </w:rPr>
        <w:t>利用，节约用水，严禁污染水体</w:t>
      </w:r>
      <w:r>
        <w:rPr>
          <w:rFonts w:hint="eastAsia" w:ascii="仿宋_GB2312" w:hAnsi="仿宋_GB2312" w:eastAsia="仿宋_GB2312" w:cs="仿宋_GB2312"/>
          <w:color w:val="auto"/>
          <w:sz w:val="24"/>
          <w:szCs w:val="24"/>
          <w:lang w:eastAsia="zh-CN"/>
        </w:rPr>
        <w:t>。</w:t>
      </w:r>
    </w:p>
    <w:p w14:paraId="3E9D96CE">
      <w:pPr>
        <w:keepNext w:val="0"/>
        <w:keepLines w:val="0"/>
        <w:pageBreakBefore w:val="0"/>
        <w:widowControl w:val="0"/>
        <w:kinsoku/>
        <w:overflowPunct/>
        <w:topLinePunct w:val="0"/>
        <w:bidi w:val="0"/>
        <w:spacing w:after="0" w:line="460" w:lineRule="exact"/>
        <w:ind w:firstLine="480" w:firstLineChars="20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《规划》</w:t>
      </w:r>
      <w:r>
        <w:rPr>
          <w:rFonts w:hint="eastAsia" w:ascii="仿宋_GB2312" w:hAnsi="仿宋_GB2312" w:eastAsia="仿宋_GB2312" w:cs="仿宋_GB2312"/>
          <w:color w:val="auto"/>
          <w:sz w:val="24"/>
          <w:szCs w:val="24"/>
          <w:lang w:val="en-US" w:eastAsia="zh-CN"/>
        </w:rPr>
        <w:t>24</w:t>
      </w:r>
      <w:r>
        <w:rPr>
          <w:rFonts w:hint="eastAsia" w:ascii="仿宋_GB2312" w:hAnsi="仿宋_GB2312" w:eastAsia="仿宋_GB2312" w:cs="仿宋_GB2312"/>
          <w:color w:val="auto"/>
          <w:sz w:val="24"/>
          <w:szCs w:val="24"/>
        </w:rPr>
        <w:t>个</w:t>
      </w:r>
      <w:r>
        <w:rPr>
          <w:rFonts w:hint="eastAsia" w:ascii="仿宋_GB2312" w:hAnsi="仿宋_GB2312" w:eastAsia="仿宋_GB2312" w:cs="仿宋_GB2312"/>
          <w:color w:val="auto"/>
          <w:sz w:val="24"/>
          <w:szCs w:val="24"/>
          <w:lang w:eastAsia="zh-CN"/>
        </w:rPr>
        <w:t>开采</w:t>
      </w:r>
      <w:r>
        <w:rPr>
          <w:rFonts w:hint="eastAsia" w:ascii="仿宋_GB2312" w:hAnsi="仿宋_GB2312" w:eastAsia="仿宋_GB2312" w:cs="仿宋_GB2312"/>
          <w:color w:val="auto"/>
          <w:sz w:val="24"/>
          <w:szCs w:val="24"/>
        </w:rPr>
        <w:t>区块，</w:t>
      </w:r>
      <w:r>
        <w:rPr>
          <w:rFonts w:hint="eastAsia" w:ascii="仿宋_GB2312" w:hAnsi="仿宋_GB2312" w:eastAsia="仿宋_GB2312" w:cs="仿宋_GB2312"/>
          <w:color w:val="auto"/>
          <w:sz w:val="24"/>
          <w:szCs w:val="24"/>
          <w:lang w:eastAsia="zh-CN"/>
        </w:rPr>
        <w:t>均为露天开采矿山，总占地面积</w:t>
      </w:r>
      <w:r>
        <w:rPr>
          <w:rFonts w:hint="eastAsia" w:ascii="仿宋_GB2312" w:hAnsi="仿宋_GB2312" w:eastAsia="仿宋_GB2312" w:cs="仿宋_GB2312"/>
          <w:color w:val="auto"/>
          <w:sz w:val="24"/>
          <w:szCs w:val="24"/>
          <w:lang w:val="en-US" w:eastAsia="zh-CN"/>
        </w:rPr>
        <w:t>2.999</w:t>
      </w:r>
      <w:r>
        <w:rPr>
          <w:rFonts w:hint="eastAsia" w:ascii="仿宋_GB2312" w:hAnsi="仿宋_GB2312" w:eastAsia="仿宋_GB2312" w:cs="仿宋_GB2312"/>
          <w:color w:val="auto"/>
          <w:sz w:val="24"/>
          <w:szCs w:val="24"/>
        </w:rPr>
        <w:t>km</w:t>
      </w:r>
      <w:r>
        <w:rPr>
          <w:rFonts w:hint="eastAsia" w:ascii="仿宋_GB2312" w:hAnsi="仿宋_GB2312" w:eastAsia="仿宋_GB2312" w:cs="仿宋_GB2312"/>
          <w:color w:val="auto"/>
          <w:sz w:val="24"/>
          <w:szCs w:val="24"/>
          <w:vertAlign w:val="superscript"/>
        </w:rPr>
        <w:t>2</w:t>
      </w:r>
      <w:r>
        <w:rPr>
          <w:rFonts w:hint="eastAsia" w:ascii="仿宋_GB2312" w:hAnsi="仿宋_GB2312" w:eastAsia="仿宋_GB2312" w:cs="仿宋_GB2312"/>
          <w:color w:val="auto"/>
          <w:sz w:val="24"/>
          <w:szCs w:val="24"/>
        </w:rPr>
        <w:t>，占</w:t>
      </w:r>
      <w:r>
        <w:rPr>
          <w:rFonts w:hint="eastAsia" w:ascii="仿宋_GB2312" w:hAnsi="仿宋_GB2312" w:eastAsia="仿宋_GB2312" w:cs="仿宋_GB2312"/>
          <w:color w:val="auto"/>
          <w:sz w:val="24"/>
          <w:szCs w:val="24"/>
          <w:lang w:eastAsia="zh-CN"/>
        </w:rPr>
        <w:t>巫溪县</w:t>
      </w:r>
      <w:r>
        <w:rPr>
          <w:rFonts w:hint="eastAsia" w:ascii="仿宋_GB2312" w:hAnsi="仿宋_GB2312" w:eastAsia="仿宋_GB2312" w:cs="仿宋_GB2312"/>
          <w:color w:val="auto"/>
          <w:sz w:val="24"/>
          <w:szCs w:val="24"/>
        </w:rPr>
        <w:t>国土面积比例为</w:t>
      </w:r>
      <w:r>
        <w:rPr>
          <w:rFonts w:hint="eastAsia" w:ascii="仿宋_GB2312" w:hAnsi="仿宋_GB2312" w:eastAsia="仿宋_GB2312" w:cs="仿宋_GB2312"/>
          <w:color w:val="auto"/>
          <w:sz w:val="24"/>
          <w:szCs w:val="24"/>
          <w:lang w:val="en-US" w:eastAsia="zh-CN"/>
        </w:rPr>
        <w:t>0.07</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占用林地面积2.4311</w:t>
      </w:r>
      <w:r>
        <w:rPr>
          <w:rFonts w:hint="eastAsia" w:ascii="仿宋_GB2312" w:hAnsi="仿宋_GB2312" w:eastAsia="仿宋_GB2312" w:cs="仿宋_GB2312"/>
          <w:color w:val="auto"/>
          <w:sz w:val="24"/>
          <w:szCs w:val="24"/>
        </w:rPr>
        <w:t>km</w:t>
      </w:r>
      <w:r>
        <w:rPr>
          <w:rFonts w:hint="eastAsia" w:ascii="仿宋_GB2312" w:hAnsi="仿宋_GB2312" w:eastAsia="仿宋_GB2312" w:cs="仿宋_GB2312"/>
          <w:color w:val="auto"/>
          <w:sz w:val="24"/>
          <w:szCs w:val="24"/>
          <w:vertAlign w:val="superscript"/>
        </w:rPr>
        <w:t>2</w:t>
      </w:r>
      <w:r>
        <w:rPr>
          <w:rFonts w:hint="eastAsia" w:ascii="仿宋_GB2312" w:hAnsi="仿宋_GB2312" w:eastAsia="仿宋_GB2312" w:cs="仿宋_GB2312"/>
          <w:color w:val="auto"/>
          <w:sz w:val="24"/>
          <w:szCs w:val="24"/>
          <w:lang w:val="en-US" w:eastAsia="zh-CN"/>
        </w:rPr>
        <w:t>、耕地面积0.4401</w:t>
      </w:r>
      <w:r>
        <w:rPr>
          <w:rFonts w:hint="eastAsia" w:ascii="仿宋_GB2312" w:hAnsi="仿宋_GB2312" w:eastAsia="仿宋_GB2312" w:cs="仿宋_GB2312"/>
          <w:color w:val="auto"/>
          <w:sz w:val="24"/>
          <w:szCs w:val="24"/>
        </w:rPr>
        <w:t>km</w:t>
      </w:r>
      <w:r>
        <w:rPr>
          <w:rFonts w:hint="eastAsia" w:ascii="仿宋_GB2312" w:hAnsi="仿宋_GB2312" w:eastAsia="仿宋_GB2312" w:cs="仿宋_GB2312"/>
          <w:color w:val="auto"/>
          <w:sz w:val="24"/>
          <w:szCs w:val="24"/>
          <w:vertAlign w:val="superscript"/>
        </w:rPr>
        <w:t>2</w:t>
      </w:r>
      <w:r>
        <w:rPr>
          <w:rFonts w:hint="eastAsia" w:ascii="仿宋_GB2312" w:hAnsi="仿宋_GB2312" w:eastAsia="仿宋_GB2312" w:cs="仿宋_GB2312"/>
          <w:color w:val="auto"/>
          <w:sz w:val="24"/>
          <w:szCs w:val="24"/>
        </w:rPr>
        <w:t>，占</w:t>
      </w:r>
      <w:r>
        <w:rPr>
          <w:rFonts w:hint="eastAsia" w:ascii="仿宋_GB2312" w:hAnsi="仿宋_GB2312" w:eastAsia="仿宋_GB2312" w:cs="仿宋_GB2312"/>
          <w:color w:val="auto"/>
          <w:sz w:val="24"/>
          <w:szCs w:val="24"/>
          <w:lang w:eastAsia="zh-CN"/>
        </w:rPr>
        <w:t>全县林地、</w:t>
      </w:r>
      <w:r>
        <w:rPr>
          <w:rFonts w:hint="eastAsia" w:ascii="仿宋_GB2312" w:hAnsi="仿宋_GB2312" w:eastAsia="仿宋_GB2312" w:cs="仿宋_GB2312"/>
          <w:color w:val="auto"/>
          <w:sz w:val="24"/>
          <w:szCs w:val="24"/>
        </w:rPr>
        <w:t>耕地面积</w:t>
      </w:r>
      <w:r>
        <w:rPr>
          <w:rFonts w:hint="eastAsia" w:ascii="仿宋_GB2312" w:hAnsi="仿宋_GB2312" w:eastAsia="仿宋_GB2312" w:cs="仿宋_GB2312"/>
          <w:color w:val="auto"/>
          <w:sz w:val="24"/>
          <w:szCs w:val="24"/>
          <w:lang w:eastAsia="zh-CN"/>
        </w:rPr>
        <w:t>的</w:t>
      </w:r>
      <w:r>
        <w:rPr>
          <w:rFonts w:hint="eastAsia" w:ascii="仿宋_GB2312" w:hAnsi="仿宋_GB2312" w:eastAsia="仿宋_GB2312" w:cs="仿宋_GB2312"/>
          <w:color w:val="auto"/>
          <w:sz w:val="24"/>
          <w:szCs w:val="24"/>
        </w:rPr>
        <w:t>比例</w:t>
      </w:r>
      <w:r>
        <w:rPr>
          <w:rFonts w:hint="eastAsia" w:ascii="仿宋_GB2312" w:hAnsi="仿宋_GB2312" w:eastAsia="仿宋_GB2312" w:cs="仿宋_GB2312"/>
          <w:color w:val="auto"/>
          <w:sz w:val="24"/>
          <w:szCs w:val="24"/>
          <w:lang w:eastAsia="zh-CN"/>
        </w:rPr>
        <w:t>分别</w:t>
      </w:r>
      <w:r>
        <w:rPr>
          <w:rFonts w:hint="eastAsia" w:ascii="仿宋_GB2312" w:hAnsi="仿宋_GB2312" w:eastAsia="仿宋_GB2312" w:cs="仿宋_GB2312"/>
          <w:color w:val="auto"/>
          <w:sz w:val="24"/>
          <w:szCs w:val="24"/>
        </w:rPr>
        <w:t>为</w:t>
      </w:r>
      <w:r>
        <w:rPr>
          <w:rFonts w:hint="eastAsia" w:ascii="仿宋_GB2312" w:hAnsi="仿宋_GB2312" w:eastAsia="仿宋_GB2312" w:cs="仿宋_GB2312"/>
          <w:color w:val="auto"/>
          <w:sz w:val="24"/>
          <w:szCs w:val="24"/>
          <w:lang w:val="en-US" w:eastAsia="zh-CN"/>
        </w:rPr>
        <w:t>0.07%和0.11%</w:t>
      </w:r>
      <w:r>
        <w:rPr>
          <w:rFonts w:hint="eastAsia" w:ascii="仿宋_GB2312" w:hAnsi="仿宋_GB2312" w:eastAsia="仿宋_GB2312" w:cs="仿宋_GB2312"/>
          <w:color w:val="auto"/>
          <w:sz w:val="24"/>
          <w:szCs w:val="24"/>
          <w:lang w:eastAsia="zh-CN"/>
        </w:rPr>
        <w:t>；有</w:t>
      </w:r>
      <w:r>
        <w:rPr>
          <w:rFonts w:hint="eastAsia" w:ascii="仿宋_GB2312" w:hAnsi="仿宋_GB2312" w:eastAsia="仿宋_GB2312" w:cs="仿宋_GB2312"/>
          <w:color w:val="auto"/>
          <w:sz w:val="24"/>
          <w:szCs w:val="24"/>
          <w:lang w:val="en-US" w:eastAsia="zh-CN"/>
        </w:rPr>
        <w:t>11</w:t>
      </w:r>
      <w:r>
        <w:rPr>
          <w:rFonts w:hint="eastAsia" w:ascii="仿宋_GB2312" w:hAnsi="仿宋_GB2312" w:eastAsia="仿宋_GB2312" w:cs="仿宋_GB2312"/>
          <w:color w:val="auto"/>
          <w:sz w:val="24"/>
          <w:szCs w:val="24"/>
          <w:lang w:eastAsia="zh-CN"/>
        </w:rPr>
        <w:t>个区块与永久基本农田重叠0.0</w:t>
      </w:r>
      <w:r>
        <w:rPr>
          <w:rFonts w:hint="eastAsia" w:ascii="仿宋_GB2312" w:hAnsi="仿宋_GB2312" w:eastAsia="仿宋_GB2312" w:cs="仿宋_GB2312"/>
          <w:color w:val="auto"/>
          <w:sz w:val="24"/>
          <w:szCs w:val="24"/>
          <w:lang w:val="en-US" w:eastAsia="zh-CN"/>
        </w:rPr>
        <w:t>513</w:t>
      </w:r>
      <w:r>
        <w:rPr>
          <w:rFonts w:hint="eastAsia" w:ascii="仿宋_GB2312" w:hAnsi="仿宋_GB2312" w:eastAsia="仿宋_GB2312" w:cs="仿宋_GB2312"/>
          <w:color w:val="auto"/>
          <w:sz w:val="24"/>
          <w:szCs w:val="24"/>
          <w:lang w:eastAsia="zh-CN"/>
        </w:rPr>
        <w:t>km</w:t>
      </w:r>
      <w:r>
        <w:rPr>
          <w:rFonts w:hint="eastAsia" w:ascii="仿宋_GB2312" w:hAnsi="仿宋_GB2312" w:eastAsia="仿宋_GB2312" w:cs="仿宋_GB2312"/>
          <w:color w:val="auto"/>
          <w:sz w:val="24"/>
          <w:szCs w:val="24"/>
          <w:vertAlign w:val="superscript"/>
          <w:lang w:eastAsia="zh-CN"/>
        </w:rPr>
        <w:t>2</w:t>
      </w:r>
      <w:r>
        <w:rPr>
          <w:rFonts w:hint="eastAsia" w:ascii="仿宋_GB2312" w:hAnsi="仿宋_GB2312" w:eastAsia="仿宋_GB2312" w:cs="仿宋_GB2312"/>
          <w:color w:val="auto"/>
          <w:sz w:val="24"/>
          <w:szCs w:val="24"/>
          <w:lang w:eastAsia="zh-CN"/>
        </w:rPr>
        <w:t>，占巫溪县永久基本农田面积的比例为0.02%</w:t>
      </w:r>
      <w:r>
        <w:rPr>
          <w:rFonts w:hint="eastAsia" w:ascii="仿宋_GB2312" w:hAnsi="仿宋_GB2312" w:eastAsia="仿宋_GB2312" w:cs="仿宋_GB2312"/>
          <w:color w:val="auto"/>
          <w:sz w:val="24"/>
          <w:szCs w:val="24"/>
          <w:lang w:val="en-US" w:eastAsia="zh-CN"/>
        </w:rPr>
        <w:t>。从整体上来看，规划实施不会从总体上对巫溪县土地利用现状和永久基本农田造成明显改变，土地资源能够承载规划实施。</w:t>
      </w:r>
    </w:p>
    <w:p w14:paraId="455E93E0">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rPr>
        <w:t>总体来看，</w:t>
      </w:r>
      <w:r>
        <w:rPr>
          <w:rFonts w:hint="eastAsia" w:ascii="仿宋_GB2312" w:hAnsi="仿宋_GB2312" w:eastAsia="仿宋_GB2312" w:cs="仿宋_GB2312"/>
          <w:color w:val="auto"/>
          <w:sz w:val="24"/>
          <w:szCs w:val="24"/>
          <w:lang w:eastAsia="zh-CN"/>
        </w:rPr>
        <w:t>巫溪县</w:t>
      </w:r>
      <w:r>
        <w:rPr>
          <w:rFonts w:hint="eastAsia" w:ascii="仿宋_GB2312" w:hAnsi="仿宋_GB2312" w:eastAsia="仿宋_GB2312" w:cs="仿宋_GB2312"/>
          <w:color w:val="auto"/>
          <w:sz w:val="24"/>
          <w:szCs w:val="24"/>
        </w:rPr>
        <w:t>大气环境、水环境、土壤环境等完全能够满足规划对环境承载力的要求。尽管如此，在规划实施后，矿企必须严格执行规划和环境保护相关要求，做好“三废”治理，落实矿山地质环境保护与</w:t>
      </w:r>
      <w:r>
        <w:rPr>
          <w:rFonts w:hint="eastAsia" w:ascii="仿宋_GB2312" w:hAnsi="仿宋_GB2312" w:eastAsia="仿宋_GB2312" w:cs="仿宋_GB2312"/>
          <w:color w:val="auto"/>
          <w:sz w:val="24"/>
          <w:szCs w:val="24"/>
          <w:lang w:eastAsia="zh-CN"/>
        </w:rPr>
        <w:t>生态</w:t>
      </w:r>
      <w:r>
        <w:rPr>
          <w:rFonts w:hint="eastAsia" w:ascii="仿宋_GB2312" w:hAnsi="仿宋_GB2312" w:eastAsia="仿宋_GB2312" w:cs="仿宋_GB2312"/>
          <w:color w:val="auto"/>
          <w:sz w:val="24"/>
          <w:szCs w:val="24"/>
        </w:rPr>
        <w:t>恢复治理，及时对临时占地及关闭退出矿山土地进行复垦，将对环境的影响降至最小</w:t>
      </w:r>
      <w:r>
        <w:rPr>
          <w:rFonts w:hint="eastAsia" w:ascii="仿宋_GB2312" w:hAnsi="仿宋_GB2312" w:eastAsia="仿宋_GB2312" w:cs="仿宋_GB2312"/>
          <w:color w:val="auto"/>
          <w:sz w:val="24"/>
          <w:szCs w:val="24"/>
          <w:highlight w:val="none"/>
        </w:rPr>
        <w:t>。</w:t>
      </w:r>
    </w:p>
    <w:p w14:paraId="408680CB">
      <w:pPr>
        <w:keepNext w:val="0"/>
        <w:keepLines w:val="0"/>
        <w:pageBreakBefore w:val="0"/>
        <w:widowControl w:val="0"/>
        <w:kinsoku/>
        <w:overflowPunct/>
        <w:topLinePunct w:val="0"/>
        <w:bidi w:val="0"/>
        <w:spacing w:before="120" w:beforeLines="50" w:after="120" w:afterLines="50"/>
        <w:jc w:val="both"/>
        <w:outlineLvl w:val="1"/>
        <w:rPr>
          <w:rFonts w:hint="eastAsia" w:ascii="仿宋_GB2312" w:hAnsi="仿宋_GB2312" w:eastAsia="仿宋_GB2312" w:cs="仿宋_GB2312"/>
          <w:b/>
          <w:bCs/>
          <w:color w:val="auto"/>
          <w:sz w:val="26"/>
          <w:szCs w:val="26"/>
          <w:highlight w:val="none"/>
        </w:rPr>
      </w:pPr>
      <w:bookmarkStart w:id="23" w:name="_Toc11758"/>
      <w:r>
        <w:rPr>
          <w:rFonts w:hint="eastAsia" w:ascii="仿宋_GB2312" w:hAnsi="仿宋_GB2312" w:eastAsia="仿宋_GB2312" w:cs="仿宋_GB2312"/>
          <w:b/>
          <w:bCs/>
          <w:color w:val="auto"/>
          <w:sz w:val="26"/>
          <w:szCs w:val="26"/>
          <w:highlight w:val="none"/>
          <w:lang w:val="en-US" w:eastAsia="zh-CN"/>
        </w:rPr>
        <w:t>4</w:t>
      </w:r>
      <w:r>
        <w:rPr>
          <w:rFonts w:hint="eastAsia" w:ascii="仿宋_GB2312" w:hAnsi="仿宋_GB2312" w:eastAsia="仿宋_GB2312" w:cs="仿宋_GB2312"/>
          <w:b/>
          <w:bCs/>
          <w:color w:val="auto"/>
          <w:sz w:val="26"/>
          <w:szCs w:val="26"/>
          <w:highlight w:val="none"/>
        </w:rPr>
        <w:t xml:space="preserve">.2 </w:t>
      </w:r>
      <w:r>
        <w:rPr>
          <w:rFonts w:hint="eastAsia" w:ascii="仿宋_GB2312" w:hAnsi="仿宋_GB2312" w:eastAsia="仿宋_GB2312" w:cs="仿宋_GB2312"/>
          <w:b/>
          <w:bCs/>
          <w:color w:val="auto"/>
          <w:sz w:val="26"/>
          <w:szCs w:val="26"/>
          <w:highlight w:val="none"/>
          <w:lang w:val="en-US" w:eastAsia="zh-CN"/>
        </w:rPr>
        <w:t>生态环境影响</w:t>
      </w:r>
      <w:r>
        <w:rPr>
          <w:rFonts w:hint="eastAsia" w:ascii="仿宋_GB2312" w:hAnsi="仿宋_GB2312" w:eastAsia="仿宋_GB2312" w:cs="仿宋_GB2312"/>
          <w:b/>
          <w:bCs/>
          <w:color w:val="auto"/>
          <w:sz w:val="26"/>
          <w:szCs w:val="26"/>
          <w:highlight w:val="none"/>
        </w:rPr>
        <w:t>分析</w:t>
      </w:r>
      <w:bookmarkEnd w:id="23"/>
    </w:p>
    <w:p w14:paraId="28F58249">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规划有</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lang w:eastAsia="zh-CN"/>
        </w:rPr>
        <w:t>个勘查</w:t>
      </w:r>
      <w:r>
        <w:rPr>
          <w:rFonts w:hint="eastAsia" w:ascii="仿宋_GB2312" w:hAnsi="仿宋_GB2312" w:eastAsia="仿宋_GB2312" w:cs="仿宋_GB2312"/>
          <w:color w:val="auto"/>
          <w:sz w:val="24"/>
          <w:szCs w:val="24"/>
          <w:lang w:val="en-US" w:eastAsia="zh-CN"/>
        </w:rPr>
        <w:t>规划</w:t>
      </w:r>
      <w:r>
        <w:rPr>
          <w:rFonts w:hint="eastAsia" w:ascii="仿宋_GB2312" w:hAnsi="仿宋_GB2312" w:eastAsia="仿宋_GB2312" w:cs="仿宋_GB2312"/>
          <w:color w:val="auto"/>
          <w:sz w:val="24"/>
          <w:szCs w:val="24"/>
          <w:lang w:eastAsia="zh-CN"/>
        </w:rPr>
        <w:t>区块、</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lang w:eastAsia="zh-CN"/>
        </w:rPr>
        <w:t>个开采</w:t>
      </w:r>
      <w:r>
        <w:rPr>
          <w:rFonts w:hint="eastAsia" w:ascii="仿宋_GB2312" w:hAnsi="仿宋_GB2312" w:eastAsia="仿宋_GB2312" w:cs="仿宋_GB2312"/>
          <w:color w:val="auto"/>
          <w:sz w:val="24"/>
          <w:szCs w:val="24"/>
          <w:lang w:val="en-US" w:eastAsia="zh-CN"/>
        </w:rPr>
        <w:t>规划</w:t>
      </w:r>
      <w:r>
        <w:rPr>
          <w:rFonts w:hint="eastAsia" w:ascii="仿宋_GB2312" w:hAnsi="仿宋_GB2312" w:eastAsia="仿宋_GB2312" w:cs="仿宋_GB2312"/>
          <w:color w:val="auto"/>
          <w:sz w:val="24"/>
          <w:szCs w:val="24"/>
          <w:lang w:eastAsia="zh-CN"/>
        </w:rPr>
        <w:t>区块</w:t>
      </w:r>
      <w:r>
        <w:rPr>
          <w:rFonts w:hint="eastAsia" w:ascii="仿宋_GB2312" w:hAnsi="仿宋_GB2312" w:eastAsia="仿宋_GB2312" w:cs="仿宋_GB2312"/>
          <w:color w:val="auto"/>
          <w:sz w:val="24"/>
          <w:szCs w:val="24"/>
        </w:rPr>
        <w:t>与</w:t>
      </w:r>
      <w:r>
        <w:rPr>
          <w:rFonts w:hint="eastAsia" w:ascii="仿宋_GB2312" w:hAnsi="仿宋_GB2312" w:eastAsia="仿宋_GB2312" w:cs="仿宋_GB2312"/>
          <w:color w:val="auto"/>
          <w:sz w:val="24"/>
          <w:szCs w:val="24"/>
          <w:lang w:eastAsia="zh-CN"/>
        </w:rPr>
        <w:t>生态保护红线、一般生态空间、城镇开发边界等</w:t>
      </w:r>
      <w:r>
        <w:rPr>
          <w:rFonts w:hint="eastAsia" w:ascii="仿宋_GB2312" w:hAnsi="仿宋_GB2312" w:eastAsia="仿宋_GB2312" w:cs="仿宋_GB2312"/>
          <w:color w:val="auto"/>
          <w:sz w:val="24"/>
          <w:szCs w:val="24"/>
        </w:rPr>
        <w:t>保护区域</w:t>
      </w:r>
      <w:r>
        <w:rPr>
          <w:rFonts w:hint="eastAsia" w:ascii="仿宋_GB2312" w:hAnsi="仿宋_GB2312" w:eastAsia="仿宋_GB2312" w:cs="仿宋_GB2312"/>
          <w:color w:val="auto"/>
          <w:sz w:val="24"/>
          <w:szCs w:val="24"/>
          <w:lang w:eastAsia="zh-CN"/>
        </w:rPr>
        <w:t>中的一种中或几种存在空间</w:t>
      </w:r>
      <w:r>
        <w:rPr>
          <w:rFonts w:hint="eastAsia" w:ascii="仿宋_GB2312" w:hAnsi="仿宋_GB2312" w:eastAsia="仿宋_GB2312" w:cs="仿宋_GB2312"/>
          <w:color w:val="auto"/>
          <w:sz w:val="24"/>
          <w:szCs w:val="24"/>
        </w:rPr>
        <w:t>范围重叠</w:t>
      </w:r>
      <w:r>
        <w:rPr>
          <w:rFonts w:hint="eastAsia" w:ascii="仿宋_GB2312" w:hAnsi="仿宋_GB2312" w:eastAsia="仿宋_GB2312" w:cs="仿宋_GB2312"/>
          <w:color w:val="auto"/>
          <w:sz w:val="24"/>
          <w:szCs w:val="24"/>
          <w:lang w:eastAsia="zh-CN"/>
        </w:rPr>
        <w:t>，有</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个开采</w:t>
      </w:r>
      <w:r>
        <w:rPr>
          <w:rFonts w:hint="eastAsia" w:ascii="仿宋_GB2312" w:hAnsi="仿宋_GB2312" w:eastAsia="仿宋_GB2312" w:cs="仿宋_GB2312"/>
          <w:color w:val="auto"/>
          <w:sz w:val="24"/>
          <w:szCs w:val="24"/>
          <w:lang w:val="en-US" w:eastAsia="zh-CN"/>
        </w:rPr>
        <w:t>规划</w:t>
      </w:r>
      <w:r>
        <w:rPr>
          <w:rFonts w:hint="eastAsia" w:ascii="仿宋_GB2312" w:hAnsi="仿宋_GB2312" w:eastAsia="仿宋_GB2312" w:cs="仿宋_GB2312"/>
          <w:color w:val="auto"/>
          <w:sz w:val="24"/>
          <w:szCs w:val="24"/>
        </w:rPr>
        <w:t>区块涉及生物多样性保护优先区域</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6个开采规划区块涉及</w:t>
      </w:r>
      <w:r>
        <w:rPr>
          <w:rFonts w:hint="eastAsia" w:ascii="仿宋_GB2312" w:hAnsi="仿宋_GB2312" w:eastAsia="仿宋_GB2312" w:cs="仿宋_GB2312"/>
          <w:color w:val="auto"/>
          <w:sz w:val="24"/>
          <w:szCs w:val="24"/>
          <w:lang w:eastAsia="zh-CN"/>
        </w:rPr>
        <w:t>国家级公益林，且巫溪县地处秦巴生物多样性生态功能区、秦岭－大巴山生物多样性保护与水源涵养重要区和三峡库区土壤保持重要区。评价针对上述重叠情况提出了分类处置优化调整建议和反馈意见，要求严格执行各类法定保护区域相关空间管控要求，合理优化规划勘查开发布局，在规划实施过程中应全面推行绿色勘查、绿色开发，加强对区域生物多样性及生态系统的保护和矿区生态环境的恢复治理工作。规划从整体上重视和避免了矿产资源勘查开采对各类保护区域的影响，并严格空间准入，不断优化矿产资源开发利用布局，加强绿色矿山和绿色矿业建设，加强矿区生态保护修复，降低对区域生态环境的影响。</w:t>
      </w:r>
    </w:p>
    <w:p w14:paraId="32CDD765">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lang w:eastAsia="zh-CN"/>
        </w:rPr>
        <w:t>因此，从整体上看，规划实施对区域生态环境的影响可控</w:t>
      </w:r>
      <w:r>
        <w:rPr>
          <w:rFonts w:hint="eastAsia" w:ascii="仿宋_GB2312" w:hAnsi="仿宋_GB2312" w:eastAsia="仿宋_GB2312" w:cs="仿宋_GB2312"/>
          <w:color w:val="auto"/>
          <w:sz w:val="24"/>
          <w:szCs w:val="24"/>
          <w:highlight w:val="none"/>
          <w:lang w:eastAsia="zh-CN"/>
        </w:rPr>
        <w:t>。</w:t>
      </w:r>
    </w:p>
    <w:p w14:paraId="2611B931">
      <w:pPr>
        <w:keepNext w:val="0"/>
        <w:keepLines w:val="0"/>
        <w:pageBreakBefore w:val="0"/>
        <w:widowControl w:val="0"/>
        <w:kinsoku/>
        <w:overflowPunct/>
        <w:topLinePunct w:val="0"/>
        <w:bidi w:val="0"/>
        <w:spacing w:before="120" w:beforeLines="50" w:after="120" w:afterLines="50"/>
        <w:jc w:val="both"/>
        <w:outlineLvl w:val="1"/>
        <w:rPr>
          <w:rFonts w:hint="eastAsia" w:ascii="仿宋_GB2312" w:hAnsi="仿宋_GB2312" w:eastAsia="仿宋_GB2312" w:cs="仿宋_GB2312"/>
          <w:b/>
          <w:bCs/>
          <w:color w:val="auto"/>
          <w:sz w:val="26"/>
          <w:szCs w:val="26"/>
          <w:highlight w:val="none"/>
        </w:rPr>
      </w:pPr>
      <w:bookmarkStart w:id="24" w:name="_Toc5675"/>
      <w:r>
        <w:rPr>
          <w:rFonts w:hint="eastAsia" w:ascii="仿宋_GB2312" w:hAnsi="仿宋_GB2312" w:eastAsia="仿宋_GB2312" w:cs="仿宋_GB2312"/>
          <w:b/>
          <w:bCs/>
          <w:color w:val="auto"/>
          <w:sz w:val="26"/>
          <w:szCs w:val="26"/>
          <w:highlight w:val="none"/>
          <w:lang w:val="en-US" w:eastAsia="zh-CN"/>
        </w:rPr>
        <w:t>4</w:t>
      </w:r>
      <w:r>
        <w:rPr>
          <w:rFonts w:hint="eastAsia" w:ascii="仿宋_GB2312" w:hAnsi="仿宋_GB2312" w:eastAsia="仿宋_GB2312" w:cs="仿宋_GB2312"/>
          <w:b/>
          <w:bCs/>
          <w:color w:val="auto"/>
          <w:sz w:val="26"/>
          <w:szCs w:val="26"/>
          <w:highlight w:val="none"/>
        </w:rPr>
        <w:t>.</w:t>
      </w:r>
      <w:r>
        <w:rPr>
          <w:rFonts w:hint="eastAsia" w:ascii="仿宋_GB2312" w:hAnsi="仿宋_GB2312" w:eastAsia="仿宋_GB2312" w:cs="仿宋_GB2312"/>
          <w:b/>
          <w:bCs/>
          <w:color w:val="auto"/>
          <w:sz w:val="26"/>
          <w:szCs w:val="26"/>
          <w:highlight w:val="none"/>
          <w:lang w:val="en-US" w:eastAsia="zh-CN"/>
        </w:rPr>
        <w:t>3</w:t>
      </w:r>
      <w:r>
        <w:rPr>
          <w:rFonts w:hint="eastAsia" w:ascii="仿宋_GB2312" w:hAnsi="仿宋_GB2312" w:eastAsia="仿宋_GB2312" w:cs="仿宋_GB2312"/>
          <w:b/>
          <w:bCs/>
          <w:color w:val="auto"/>
          <w:sz w:val="26"/>
          <w:szCs w:val="26"/>
          <w:highlight w:val="none"/>
        </w:rPr>
        <w:t xml:space="preserve"> </w:t>
      </w:r>
      <w:r>
        <w:rPr>
          <w:rFonts w:hint="eastAsia" w:ascii="仿宋_GB2312" w:hAnsi="仿宋_GB2312" w:eastAsia="仿宋_GB2312" w:cs="仿宋_GB2312"/>
          <w:b/>
          <w:bCs/>
          <w:color w:val="auto"/>
          <w:sz w:val="26"/>
          <w:szCs w:val="26"/>
          <w:highlight w:val="none"/>
          <w:lang w:val="en-US" w:eastAsia="zh-CN"/>
        </w:rPr>
        <w:t>其他</w:t>
      </w:r>
      <w:r>
        <w:rPr>
          <w:rFonts w:hint="eastAsia" w:ascii="仿宋_GB2312" w:hAnsi="仿宋_GB2312" w:eastAsia="仿宋_GB2312" w:cs="仿宋_GB2312"/>
          <w:b/>
          <w:bCs/>
          <w:color w:val="auto"/>
          <w:sz w:val="26"/>
          <w:szCs w:val="26"/>
          <w:highlight w:val="none"/>
        </w:rPr>
        <w:t>环境</w:t>
      </w:r>
      <w:r>
        <w:rPr>
          <w:rFonts w:hint="eastAsia" w:ascii="仿宋_GB2312" w:hAnsi="仿宋_GB2312" w:eastAsia="仿宋_GB2312" w:cs="仿宋_GB2312"/>
          <w:b/>
          <w:bCs/>
          <w:color w:val="auto"/>
          <w:sz w:val="26"/>
          <w:szCs w:val="26"/>
          <w:highlight w:val="none"/>
          <w:lang w:val="en-US" w:eastAsia="zh-CN"/>
        </w:rPr>
        <w:t>要素</w:t>
      </w:r>
      <w:r>
        <w:rPr>
          <w:rFonts w:hint="eastAsia" w:ascii="仿宋_GB2312" w:hAnsi="仿宋_GB2312" w:eastAsia="仿宋_GB2312" w:cs="仿宋_GB2312"/>
          <w:b/>
          <w:bCs/>
          <w:color w:val="auto"/>
          <w:sz w:val="26"/>
          <w:szCs w:val="26"/>
          <w:highlight w:val="none"/>
        </w:rPr>
        <w:t>影响分析</w:t>
      </w:r>
      <w:bookmarkEnd w:id="24"/>
    </w:p>
    <w:p w14:paraId="1D50C38D">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rPr>
        <w:t>经预测，与</w:t>
      </w:r>
      <w:r>
        <w:rPr>
          <w:rFonts w:hint="eastAsia" w:ascii="仿宋_GB2312" w:hAnsi="仿宋_GB2312" w:eastAsia="仿宋_GB2312" w:cs="仿宋_GB2312"/>
          <w:color w:val="auto"/>
          <w:sz w:val="24"/>
          <w:szCs w:val="24"/>
          <w:lang w:val="en-US" w:eastAsia="zh-CN"/>
        </w:rPr>
        <w:t>2020</w:t>
      </w:r>
      <w:r>
        <w:rPr>
          <w:rFonts w:hint="eastAsia" w:ascii="仿宋_GB2312" w:hAnsi="仿宋_GB2312" w:eastAsia="仿宋_GB2312" w:cs="仿宋_GB2312"/>
          <w:color w:val="auto"/>
          <w:sz w:val="24"/>
          <w:szCs w:val="24"/>
        </w:rPr>
        <w:t>年比较，规划到202</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年的矿山企业采矿</w:t>
      </w:r>
      <w:r>
        <w:rPr>
          <w:rFonts w:hint="eastAsia" w:ascii="仿宋_GB2312" w:hAnsi="仿宋_GB2312" w:eastAsia="仿宋_GB2312" w:cs="仿宋_GB2312"/>
          <w:color w:val="auto"/>
          <w:sz w:val="24"/>
          <w:szCs w:val="24"/>
          <w:lang w:eastAsia="zh-CN"/>
        </w:rPr>
        <w:t>过程</w:t>
      </w:r>
      <w:r>
        <w:rPr>
          <w:rFonts w:hint="eastAsia" w:ascii="仿宋_GB2312" w:hAnsi="仿宋_GB2312" w:eastAsia="仿宋_GB2312" w:cs="仿宋_GB2312"/>
          <w:color w:val="auto"/>
          <w:sz w:val="24"/>
          <w:szCs w:val="24"/>
        </w:rPr>
        <w:t>粉尘排放量较2020年排放量增加了155.69t</w:t>
      </w:r>
      <w:r>
        <w:rPr>
          <w:rFonts w:hint="eastAsia" w:ascii="仿宋_GB2312" w:hAnsi="仿宋_GB2312" w:eastAsia="仿宋_GB2312" w:cs="仿宋_GB2312"/>
          <w:color w:val="auto"/>
          <w:sz w:val="24"/>
          <w:szCs w:val="24"/>
          <w:lang w:eastAsia="zh-CN"/>
        </w:rPr>
        <w:t>，工业废水排放总量增加了</w:t>
      </w:r>
      <w:r>
        <w:rPr>
          <w:rFonts w:hint="eastAsia" w:ascii="仿宋_GB2312" w:hAnsi="仿宋_GB2312" w:eastAsia="仿宋_GB2312" w:cs="仿宋_GB2312"/>
          <w:color w:val="auto"/>
          <w:sz w:val="24"/>
          <w:szCs w:val="24"/>
          <w:lang w:val="en-US" w:eastAsia="zh-CN"/>
        </w:rPr>
        <w:t>0.3386</w:t>
      </w:r>
      <w:r>
        <w:rPr>
          <w:rFonts w:hint="eastAsia" w:ascii="仿宋_GB2312" w:hAnsi="仿宋_GB2312" w:eastAsia="仿宋_GB2312" w:cs="仿宋_GB2312"/>
          <w:color w:val="auto"/>
          <w:sz w:val="24"/>
          <w:szCs w:val="24"/>
          <w:lang w:eastAsia="zh-CN"/>
        </w:rPr>
        <w:t>万吨，工业固体废物产生总量增加了</w:t>
      </w:r>
      <w:r>
        <w:rPr>
          <w:rFonts w:hint="eastAsia" w:ascii="仿宋_GB2312" w:hAnsi="仿宋_GB2312" w:eastAsia="仿宋_GB2312" w:cs="仿宋_GB2312"/>
          <w:color w:val="auto"/>
          <w:sz w:val="24"/>
          <w:szCs w:val="24"/>
          <w:lang w:val="en-US" w:eastAsia="zh-CN"/>
        </w:rPr>
        <w:t>572.02</w:t>
      </w:r>
      <w:r>
        <w:rPr>
          <w:rFonts w:hint="eastAsia" w:ascii="仿宋_GB2312" w:hAnsi="仿宋_GB2312" w:eastAsia="仿宋_GB2312" w:cs="仿宋_GB2312"/>
          <w:color w:val="auto"/>
          <w:sz w:val="24"/>
          <w:szCs w:val="24"/>
          <w:lang w:eastAsia="zh-CN"/>
        </w:rPr>
        <w:t>吨。这主要是建筑石料用灰岩、饰面用灰岩、砖瓦用页岩等非金属矿开采量大量增加，采矿活动中的粉尘、废水、废石等产生量相应增加。</w:t>
      </w:r>
      <w:r>
        <w:rPr>
          <w:rFonts w:hint="eastAsia" w:ascii="仿宋_GB2312" w:hAnsi="仿宋_GB2312" w:eastAsia="仿宋_GB2312" w:cs="仿宋_GB2312"/>
          <w:color w:val="auto"/>
          <w:sz w:val="24"/>
          <w:szCs w:val="24"/>
        </w:rPr>
        <w:t>采矿过程中产生的废气、废水和固废等污染物处置不当或未经处理</w:t>
      </w:r>
      <w:r>
        <w:rPr>
          <w:rFonts w:hint="eastAsia" w:ascii="仿宋_GB2312" w:hAnsi="仿宋_GB2312" w:eastAsia="仿宋_GB2312" w:cs="仿宋_GB2312"/>
          <w:color w:val="auto"/>
          <w:sz w:val="24"/>
          <w:szCs w:val="24"/>
          <w:lang w:eastAsia="zh-CN"/>
        </w:rPr>
        <w:t>直接</w:t>
      </w:r>
      <w:r>
        <w:rPr>
          <w:rFonts w:hint="eastAsia" w:ascii="仿宋_GB2312" w:hAnsi="仿宋_GB2312" w:eastAsia="仿宋_GB2312" w:cs="仿宋_GB2312"/>
          <w:color w:val="auto"/>
          <w:sz w:val="24"/>
          <w:szCs w:val="24"/>
        </w:rPr>
        <w:t>排入</w:t>
      </w:r>
      <w:r>
        <w:rPr>
          <w:rFonts w:hint="eastAsia" w:ascii="仿宋_GB2312" w:hAnsi="仿宋_GB2312" w:eastAsia="仿宋_GB2312" w:cs="仿宋_GB2312"/>
          <w:color w:val="auto"/>
          <w:sz w:val="24"/>
          <w:szCs w:val="24"/>
          <w:lang w:eastAsia="zh-CN"/>
        </w:rPr>
        <w:t>自然</w:t>
      </w:r>
      <w:r>
        <w:rPr>
          <w:rFonts w:hint="eastAsia" w:ascii="仿宋_GB2312" w:hAnsi="仿宋_GB2312" w:eastAsia="仿宋_GB2312" w:cs="仿宋_GB2312"/>
          <w:color w:val="auto"/>
          <w:sz w:val="24"/>
          <w:szCs w:val="24"/>
        </w:rPr>
        <w:t>环境，</w:t>
      </w:r>
      <w:r>
        <w:rPr>
          <w:rFonts w:hint="eastAsia" w:ascii="仿宋_GB2312" w:hAnsi="仿宋_GB2312" w:eastAsia="仿宋_GB2312" w:cs="仿宋_GB2312"/>
          <w:color w:val="auto"/>
          <w:sz w:val="24"/>
          <w:szCs w:val="24"/>
          <w:lang w:eastAsia="zh-CN"/>
        </w:rPr>
        <w:t>可能</w:t>
      </w:r>
      <w:r>
        <w:rPr>
          <w:rFonts w:hint="eastAsia" w:ascii="仿宋_GB2312" w:hAnsi="仿宋_GB2312" w:eastAsia="仿宋_GB2312" w:cs="仿宋_GB2312"/>
          <w:color w:val="auto"/>
          <w:sz w:val="24"/>
          <w:szCs w:val="24"/>
        </w:rPr>
        <w:t>会对</w:t>
      </w:r>
      <w:r>
        <w:rPr>
          <w:rFonts w:hint="eastAsia" w:ascii="仿宋_GB2312" w:hAnsi="仿宋_GB2312" w:eastAsia="仿宋_GB2312" w:cs="仿宋_GB2312"/>
          <w:color w:val="auto"/>
          <w:sz w:val="24"/>
          <w:szCs w:val="24"/>
          <w:lang w:eastAsia="zh-CN"/>
        </w:rPr>
        <w:t>区域</w:t>
      </w:r>
      <w:r>
        <w:rPr>
          <w:rFonts w:hint="eastAsia" w:ascii="仿宋_GB2312" w:hAnsi="仿宋_GB2312" w:eastAsia="仿宋_GB2312" w:cs="仿宋_GB2312"/>
          <w:color w:val="auto"/>
          <w:sz w:val="24"/>
          <w:szCs w:val="24"/>
        </w:rPr>
        <w:t>空气、土壤、地表水、地下水、农作物等带来</w:t>
      </w:r>
      <w:r>
        <w:rPr>
          <w:rFonts w:hint="eastAsia" w:ascii="仿宋_GB2312" w:hAnsi="仿宋_GB2312" w:eastAsia="仿宋_GB2312" w:cs="仿宋_GB2312"/>
          <w:color w:val="auto"/>
          <w:sz w:val="24"/>
          <w:szCs w:val="24"/>
          <w:lang w:eastAsia="zh-CN"/>
        </w:rPr>
        <w:t>影响</w:t>
      </w:r>
      <w:r>
        <w:rPr>
          <w:rFonts w:hint="eastAsia" w:ascii="仿宋_GB2312" w:hAnsi="仿宋_GB2312" w:eastAsia="仿宋_GB2312" w:cs="仿宋_GB2312"/>
          <w:color w:val="auto"/>
          <w:sz w:val="24"/>
          <w:szCs w:val="24"/>
        </w:rPr>
        <w:t>，同时还可能直接或间接对人体健康造成一定影响。为此，评价要求加强</w:t>
      </w:r>
      <w:r>
        <w:rPr>
          <w:rFonts w:hint="eastAsia" w:ascii="仿宋_GB2312" w:hAnsi="仿宋_GB2312" w:eastAsia="仿宋_GB2312" w:cs="仿宋_GB2312"/>
          <w:color w:val="auto"/>
          <w:sz w:val="24"/>
          <w:szCs w:val="24"/>
          <w:lang w:eastAsia="zh-CN"/>
        </w:rPr>
        <w:t>建筑石料用灰岩</w:t>
      </w:r>
      <w:r>
        <w:rPr>
          <w:rFonts w:hint="eastAsia" w:ascii="仿宋_GB2312" w:hAnsi="仿宋_GB2312" w:eastAsia="仿宋_GB2312" w:cs="仿宋_GB2312"/>
          <w:color w:val="auto"/>
          <w:sz w:val="24"/>
          <w:szCs w:val="24"/>
        </w:rPr>
        <w:t>等</w:t>
      </w:r>
      <w:r>
        <w:rPr>
          <w:rFonts w:hint="eastAsia" w:ascii="仿宋_GB2312" w:hAnsi="仿宋_GB2312" w:eastAsia="仿宋_GB2312" w:cs="仿宋_GB2312"/>
          <w:color w:val="auto"/>
          <w:sz w:val="24"/>
          <w:szCs w:val="24"/>
          <w:lang w:eastAsia="zh-CN"/>
        </w:rPr>
        <w:t>主要</w:t>
      </w:r>
      <w:r>
        <w:rPr>
          <w:rFonts w:hint="eastAsia" w:ascii="仿宋_GB2312" w:hAnsi="仿宋_GB2312" w:eastAsia="仿宋_GB2312" w:cs="仿宋_GB2312"/>
          <w:color w:val="auto"/>
          <w:sz w:val="24"/>
          <w:szCs w:val="24"/>
        </w:rPr>
        <w:t>矿种或重大项目的</w:t>
      </w:r>
      <w:r>
        <w:rPr>
          <w:rFonts w:hint="eastAsia" w:ascii="仿宋_GB2312" w:hAnsi="仿宋_GB2312" w:eastAsia="仿宋_GB2312" w:cs="仿宋_GB2312"/>
          <w:color w:val="auto"/>
          <w:sz w:val="24"/>
          <w:szCs w:val="24"/>
          <w:lang w:eastAsia="zh-CN"/>
        </w:rPr>
        <w:t>生态</w:t>
      </w:r>
      <w:r>
        <w:rPr>
          <w:rFonts w:hint="eastAsia" w:ascii="仿宋_GB2312" w:hAnsi="仿宋_GB2312" w:eastAsia="仿宋_GB2312" w:cs="仿宋_GB2312"/>
          <w:color w:val="auto"/>
          <w:sz w:val="24"/>
          <w:szCs w:val="24"/>
        </w:rPr>
        <w:t>环境监管和</w:t>
      </w:r>
      <w:r>
        <w:rPr>
          <w:rFonts w:hint="eastAsia" w:ascii="仿宋_GB2312" w:hAnsi="仿宋_GB2312" w:eastAsia="仿宋_GB2312" w:cs="仿宋_GB2312"/>
          <w:color w:val="auto"/>
          <w:sz w:val="24"/>
          <w:szCs w:val="24"/>
          <w:lang w:eastAsia="zh-CN"/>
        </w:rPr>
        <w:t>环境</w:t>
      </w:r>
      <w:r>
        <w:rPr>
          <w:rFonts w:hint="eastAsia" w:ascii="仿宋_GB2312" w:hAnsi="仿宋_GB2312" w:eastAsia="仿宋_GB2312" w:cs="仿宋_GB2312"/>
          <w:color w:val="auto"/>
          <w:sz w:val="24"/>
          <w:szCs w:val="24"/>
        </w:rPr>
        <w:t>风险防范，严格空间管制、总量调控和项目环境准入，</w:t>
      </w:r>
      <w:r>
        <w:rPr>
          <w:rFonts w:hint="eastAsia" w:ascii="仿宋_GB2312" w:hAnsi="仿宋_GB2312" w:eastAsia="仿宋_GB2312" w:cs="仿宋_GB2312"/>
          <w:color w:val="auto"/>
          <w:sz w:val="24"/>
          <w:szCs w:val="24"/>
          <w:lang w:eastAsia="zh-CN"/>
        </w:rPr>
        <w:t>全面推进绿色矿山建设，加强矿区生态保护修复工作，持续巩固提升露天矿山综合整治成效，</w:t>
      </w:r>
      <w:r>
        <w:rPr>
          <w:rFonts w:hint="eastAsia" w:ascii="仿宋_GB2312" w:hAnsi="仿宋_GB2312" w:eastAsia="仿宋_GB2312" w:cs="仿宋_GB2312"/>
          <w:color w:val="auto"/>
          <w:sz w:val="24"/>
          <w:szCs w:val="24"/>
        </w:rPr>
        <w:t>提高</w:t>
      </w:r>
      <w:r>
        <w:rPr>
          <w:rFonts w:hint="eastAsia" w:ascii="仿宋_GB2312" w:hAnsi="仿宋_GB2312" w:eastAsia="仿宋_GB2312" w:cs="仿宋_GB2312"/>
          <w:color w:val="auto"/>
          <w:sz w:val="24"/>
          <w:szCs w:val="24"/>
          <w:lang w:eastAsia="zh-CN"/>
        </w:rPr>
        <w:t>矿山</w:t>
      </w:r>
      <w:r>
        <w:rPr>
          <w:rFonts w:hint="eastAsia" w:ascii="仿宋_GB2312" w:hAnsi="仿宋_GB2312" w:eastAsia="仿宋_GB2312" w:cs="仿宋_GB2312"/>
          <w:color w:val="auto"/>
          <w:sz w:val="24"/>
          <w:szCs w:val="24"/>
        </w:rPr>
        <w:t>废弃物资源化综合利用水平，外排污染物必须处理达标后方可排放</w:t>
      </w:r>
      <w:r>
        <w:rPr>
          <w:rFonts w:hint="eastAsia" w:ascii="仿宋_GB2312" w:hAnsi="仿宋_GB2312" w:eastAsia="仿宋_GB2312" w:cs="仿宋_GB2312"/>
          <w:color w:val="auto"/>
          <w:sz w:val="24"/>
          <w:szCs w:val="24"/>
          <w:highlight w:val="none"/>
        </w:rPr>
        <w:t>。</w:t>
      </w:r>
    </w:p>
    <w:p w14:paraId="4F9D173D">
      <w:pPr>
        <w:keepNext w:val="0"/>
        <w:keepLines w:val="0"/>
        <w:pageBreakBefore w:val="0"/>
        <w:widowControl w:val="0"/>
        <w:kinsoku/>
        <w:overflowPunct/>
        <w:topLinePunct w:val="0"/>
        <w:bidi w:val="0"/>
        <w:spacing w:before="120" w:beforeLines="50" w:after="120" w:afterLines="50"/>
        <w:jc w:val="both"/>
        <w:outlineLvl w:val="1"/>
        <w:rPr>
          <w:rFonts w:hint="eastAsia" w:ascii="仿宋_GB2312" w:hAnsi="仿宋_GB2312" w:eastAsia="仿宋_GB2312" w:cs="仿宋_GB2312"/>
          <w:b/>
          <w:bCs/>
          <w:color w:val="auto"/>
          <w:sz w:val="26"/>
          <w:szCs w:val="26"/>
          <w:highlight w:val="none"/>
        </w:rPr>
      </w:pPr>
      <w:bookmarkStart w:id="25" w:name="_Toc10375"/>
      <w:bookmarkStart w:id="26" w:name="_Toc7496"/>
      <w:bookmarkStart w:id="27" w:name="_Toc25998"/>
      <w:r>
        <w:rPr>
          <w:rFonts w:hint="eastAsia" w:ascii="仿宋_GB2312" w:hAnsi="仿宋_GB2312" w:eastAsia="仿宋_GB2312" w:cs="仿宋_GB2312"/>
          <w:b/>
          <w:bCs/>
          <w:color w:val="auto"/>
          <w:sz w:val="26"/>
          <w:szCs w:val="26"/>
          <w:highlight w:val="none"/>
          <w:lang w:val="en-US" w:eastAsia="zh-CN"/>
        </w:rPr>
        <w:t>4</w:t>
      </w:r>
      <w:r>
        <w:rPr>
          <w:rFonts w:hint="eastAsia" w:ascii="仿宋_GB2312" w:hAnsi="仿宋_GB2312" w:eastAsia="仿宋_GB2312" w:cs="仿宋_GB2312"/>
          <w:b/>
          <w:bCs/>
          <w:color w:val="auto"/>
          <w:sz w:val="26"/>
          <w:szCs w:val="26"/>
          <w:highlight w:val="none"/>
        </w:rPr>
        <w:t>.</w:t>
      </w:r>
      <w:r>
        <w:rPr>
          <w:rFonts w:hint="eastAsia" w:ascii="仿宋_GB2312" w:hAnsi="仿宋_GB2312" w:eastAsia="仿宋_GB2312" w:cs="仿宋_GB2312"/>
          <w:b/>
          <w:bCs/>
          <w:color w:val="auto"/>
          <w:sz w:val="26"/>
          <w:szCs w:val="26"/>
          <w:highlight w:val="none"/>
          <w:lang w:val="en-US" w:eastAsia="zh-CN"/>
        </w:rPr>
        <w:t>4</w:t>
      </w:r>
      <w:r>
        <w:rPr>
          <w:rFonts w:hint="eastAsia" w:ascii="仿宋_GB2312" w:hAnsi="仿宋_GB2312" w:eastAsia="仿宋_GB2312" w:cs="仿宋_GB2312"/>
          <w:b/>
          <w:bCs/>
          <w:color w:val="auto"/>
          <w:sz w:val="26"/>
          <w:szCs w:val="26"/>
          <w:highlight w:val="none"/>
        </w:rPr>
        <w:t xml:space="preserve"> </w:t>
      </w:r>
      <w:r>
        <w:rPr>
          <w:rFonts w:hint="eastAsia" w:ascii="仿宋_GB2312" w:hAnsi="仿宋_GB2312" w:eastAsia="仿宋_GB2312" w:cs="仿宋_GB2312"/>
          <w:b/>
          <w:bCs/>
          <w:color w:val="auto"/>
          <w:sz w:val="26"/>
          <w:szCs w:val="26"/>
          <w:highlight w:val="none"/>
          <w:lang w:val="en-US" w:eastAsia="zh-CN"/>
        </w:rPr>
        <w:t>温室气体排放评价</w:t>
      </w:r>
      <w:bookmarkEnd w:id="25"/>
    </w:p>
    <w:p w14:paraId="017A2E35">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矿产资源开采</w:t>
      </w:r>
      <w:r>
        <w:rPr>
          <w:rFonts w:hint="eastAsia" w:ascii="仿宋_GB2312" w:hAnsi="仿宋_GB2312" w:eastAsia="仿宋_GB2312" w:cs="仿宋_GB2312"/>
          <w:color w:val="auto"/>
          <w:sz w:val="24"/>
          <w:szCs w:val="24"/>
          <w:lang w:val="en-US" w:eastAsia="zh-CN"/>
        </w:rPr>
        <w:t>过程</w:t>
      </w:r>
      <w:r>
        <w:rPr>
          <w:rFonts w:hint="eastAsia" w:ascii="仿宋_GB2312" w:hAnsi="仿宋_GB2312" w:eastAsia="仿宋_GB2312" w:cs="仿宋_GB2312"/>
          <w:b w:val="0"/>
          <w:bCs/>
          <w:color w:val="auto"/>
          <w:sz w:val="24"/>
          <w:szCs w:val="24"/>
          <w:lang w:val="en-US" w:eastAsia="zh-CN"/>
        </w:rPr>
        <w:t>中温室气体排放源和气体种类主要包括化石燃料燃烧产生的</w:t>
      </w:r>
      <w:r>
        <w:rPr>
          <w:rFonts w:hint="default" w:ascii="仿宋_GB2312" w:hAnsi="仿宋_GB2312" w:eastAsia="仿宋_GB2312" w:cs="仿宋_GB2312"/>
          <w:b w:val="0"/>
          <w:bCs/>
          <w:color w:val="auto"/>
          <w:sz w:val="24"/>
          <w:szCs w:val="24"/>
          <w:lang w:val="en-US" w:eastAsia="zh-CN"/>
        </w:rPr>
        <w:t>CO</w:t>
      </w:r>
      <w:r>
        <w:rPr>
          <w:rFonts w:hint="default" w:ascii="仿宋_GB2312" w:hAnsi="仿宋_GB2312" w:eastAsia="仿宋_GB2312" w:cs="仿宋_GB2312"/>
          <w:b w:val="0"/>
          <w:bCs/>
          <w:color w:val="auto"/>
          <w:sz w:val="24"/>
          <w:szCs w:val="24"/>
          <w:vertAlign w:val="subscript"/>
          <w:lang w:val="en-US" w:eastAsia="zh-CN"/>
        </w:rPr>
        <w:t>2</w:t>
      </w:r>
      <w:r>
        <w:rPr>
          <w:rFonts w:hint="eastAsia" w:ascii="仿宋_GB2312" w:hAnsi="仿宋_GB2312" w:eastAsia="仿宋_GB2312" w:cs="仿宋_GB2312"/>
          <w:b w:val="0"/>
          <w:bCs/>
          <w:color w:val="auto"/>
          <w:sz w:val="24"/>
          <w:szCs w:val="24"/>
          <w:lang w:val="en-US" w:eastAsia="zh-CN"/>
        </w:rPr>
        <w:t>排放和净购入电力隐含的</w:t>
      </w:r>
      <w:r>
        <w:rPr>
          <w:rFonts w:hint="default" w:ascii="仿宋_GB2312" w:hAnsi="仿宋_GB2312" w:eastAsia="仿宋_GB2312" w:cs="仿宋_GB2312"/>
          <w:b w:val="0"/>
          <w:bCs/>
          <w:color w:val="auto"/>
          <w:sz w:val="24"/>
          <w:szCs w:val="24"/>
          <w:lang w:val="en-US" w:eastAsia="zh-CN"/>
        </w:rPr>
        <w:t>CO</w:t>
      </w:r>
      <w:r>
        <w:rPr>
          <w:rFonts w:hint="default" w:ascii="仿宋_GB2312" w:hAnsi="仿宋_GB2312" w:eastAsia="仿宋_GB2312" w:cs="仿宋_GB2312"/>
          <w:b w:val="0"/>
          <w:bCs/>
          <w:color w:val="auto"/>
          <w:sz w:val="24"/>
          <w:szCs w:val="24"/>
          <w:vertAlign w:val="subscript"/>
          <w:lang w:val="en-US" w:eastAsia="zh-CN"/>
        </w:rPr>
        <w:t>2</w:t>
      </w:r>
      <w:r>
        <w:rPr>
          <w:rFonts w:hint="eastAsia" w:ascii="仿宋_GB2312" w:hAnsi="仿宋_GB2312" w:eastAsia="仿宋_GB2312" w:cs="仿宋_GB2312"/>
          <w:b w:val="0"/>
          <w:bCs/>
          <w:color w:val="auto"/>
          <w:sz w:val="24"/>
          <w:szCs w:val="24"/>
          <w:lang w:val="en-US" w:eastAsia="zh-CN"/>
        </w:rPr>
        <w:t>排放。2020年全县采矿业CO</w:t>
      </w:r>
      <w:r>
        <w:rPr>
          <w:rFonts w:hint="eastAsia" w:ascii="仿宋_GB2312" w:hAnsi="仿宋_GB2312" w:eastAsia="仿宋_GB2312" w:cs="仿宋_GB2312"/>
          <w:b w:val="0"/>
          <w:bCs/>
          <w:color w:val="auto"/>
          <w:sz w:val="24"/>
          <w:szCs w:val="24"/>
          <w:vertAlign w:val="subscript"/>
          <w:lang w:val="en-US" w:eastAsia="zh-CN"/>
        </w:rPr>
        <w:t>2</w:t>
      </w:r>
      <w:r>
        <w:rPr>
          <w:rFonts w:hint="eastAsia" w:ascii="仿宋_GB2312" w:hAnsi="仿宋_GB2312" w:eastAsia="仿宋_GB2312" w:cs="仿宋_GB2312"/>
          <w:b w:val="0"/>
          <w:bCs/>
          <w:color w:val="auto"/>
          <w:sz w:val="24"/>
          <w:szCs w:val="24"/>
          <w:lang w:val="en-US" w:eastAsia="zh-CN"/>
        </w:rPr>
        <w:t>排放量约10495.44t，排放强度为1.72t/万元，高于全市碳排放强度。2025年采矿业CO</w:t>
      </w:r>
      <w:r>
        <w:rPr>
          <w:rFonts w:hint="eastAsia" w:ascii="仿宋_GB2312" w:hAnsi="仿宋_GB2312" w:eastAsia="仿宋_GB2312" w:cs="仿宋_GB2312"/>
          <w:b w:val="0"/>
          <w:bCs/>
          <w:color w:val="auto"/>
          <w:sz w:val="24"/>
          <w:szCs w:val="24"/>
          <w:vertAlign w:val="subscript"/>
          <w:lang w:val="en-US" w:eastAsia="zh-CN"/>
        </w:rPr>
        <w:t>2</w:t>
      </w:r>
      <w:r>
        <w:rPr>
          <w:rFonts w:hint="eastAsia" w:ascii="仿宋_GB2312" w:hAnsi="仿宋_GB2312" w:eastAsia="仿宋_GB2312" w:cs="仿宋_GB2312"/>
          <w:b w:val="0"/>
          <w:bCs/>
          <w:color w:val="auto"/>
          <w:sz w:val="24"/>
          <w:szCs w:val="24"/>
          <w:lang w:val="en-US" w:eastAsia="zh-CN"/>
        </w:rPr>
        <w:t>排放量约97553.73t，较2020年增加约87058.29t。</w:t>
      </w:r>
    </w:p>
    <w:p w14:paraId="12B9EED0">
      <w:pPr>
        <w:keepNext w:val="0"/>
        <w:keepLines w:val="0"/>
        <w:pageBreakBefore w:val="0"/>
        <w:widowControl w:val="0"/>
        <w:kinsoku/>
        <w:wordWrap/>
        <w:overflowPunct/>
        <w:topLinePunct w:val="0"/>
        <w:autoSpaceDE/>
        <w:autoSpaceDN/>
        <w:bidi w:val="0"/>
        <w:adjustRightInd w:val="0"/>
        <w:snapToGrid w:val="0"/>
        <w:spacing w:before="120" w:beforeLines="50" w:after="120" w:afterLines="50"/>
        <w:jc w:val="both"/>
        <w:textAlignment w:val="auto"/>
        <w:outlineLvl w:val="0"/>
        <w:rPr>
          <w:rFonts w:hint="eastAsia" w:ascii="仿宋_GB2312" w:hAnsi="仿宋_GB2312" w:eastAsia="仿宋_GB2312" w:cs="仿宋_GB2312"/>
          <w:b/>
          <w:bCs/>
          <w:color w:val="auto"/>
          <w:sz w:val="26"/>
          <w:szCs w:val="26"/>
          <w:highlight w:val="none"/>
        </w:rPr>
      </w:pPr>
      <w:r>
        <w:rPr>
          <w:rFonts w:hint="eastAsia" w:ascii="仿宋_GB2312" w:hAnsi="仿宋_GB2312" w:eastAsia="仿宋_GB2312" w:cs="仿宋_GB2312"/>
          <w:b/>
          <w:bCs/>
          <w:color w:val="auto"/>
          <w:sz w:val="26"/>
          <w:szCs w:val="26"/>
          <w:highlight w:val="none"/>
          <w:lang w:val="en-US" w:eastAsia="zh-CN"/>
        </w:rPr>
        <w:t>5</w:t>
      </w:r>
      <w:r>
        <w:rPr>
          <w:rFonts w:hint="eastAsia" w:ascii="仿宋_GB2312" w:hAnsi="仿宋_GB2312" w:eastAsia="仿宋_GB2312" w:cs="仿宋_GB2312"/>
          <w:b/>
          <w:bCs/>
          <w:color w:val="auto"/>
          <w:sz w:val="26"/>
          <w:szCs w:val="26"/>
          <w:highlight w:val="none"/>
        </w:rPr>
        <w:t xml:space="preserve"> 规划方案综合论证结论</w:t>
      </w:r>
      <w:bookmarkEnd w:id="26"/>
      <w:bookmarkEnd w:id="27"/>
    </w:p>
    <w:p w14:paraId="040BBEA9">
      <w:pPr>
        <w:keepNext w:val="0"/>
        <w:keepLines w:val="0"/>
        <w:pageBreakBefore w:val="0"/>
        <w:widowControl w:val="0"/>
        <w:kinsoku/>
        <w:overflowPunct/>
        <w:topLinePunct w:val="0"/>
        <w:bidi w:val="0"/>
        <w:spacing w:before="120" w:beforeLines="50" w:after="120" w:afterLines="50"/>
        <w:jc w:val="both"/>
        <w:outlineLvl w:val="1"/>
        <w:rPr>
          <w:rFonts w:hint="eastAsia" w:ascii="仿宋_GB2312" w:hAnsi="仿宋_GB2312" w:eastAsia="仿宋_GB2312" w:cs="仿宋_GB2312"/>
          <w:b/>
          <w:bCs/>
          <w:color w:val="auto"/>
          <w:sz w:val="26"/>
          <w:szCs w:val="26"/>
          <w:highlight w:val="none"/>
        </w:rPr>
      </w:pPr>
      <w:bookmarkStart w:id="28" w:name="_Toc12319"/>
      <w:r>
        <w:rPr>
          <w:rFonts w:hint="eastAsia" w:ascii="仿宋_GB2312" w:hAnsi="仿宋_GB2312" w:eastAsia="仿宋_GB2312" w:cs="仿宋_GB2312"/>
          <w:b/>
          <w:bCs/>
          <w:color w:val="auto"/>
          <w:sz w:val="26"/>
          <w:szCs w:val="26"/>
          <w:highlight w:val="none"/>
          <w:lang w:val="en-US" w:eastAsia="zh-CN"/>
        </w:rPr>
        <w:t>5</w:t>
      </w:r>
      <w:r>
        <w:rPr>
          <w:rFonts w:hint="eastAsia" w:ascii="仿宋_GB2312" w:hAnsi="仿宋_GB2312" w:eastAsia="仿宋_GB2312" w:cs="仿宋_GB2312"/>
          <w:b/>
          <w:bCs/>
          <w:color w:val="auto"/>
          <w:sz w:val="26"/>
          <w:szCs w:val="26"/>
          <w:highlight w:val="none"/>
        </w:rPr>
        <w:t>.1 规划方案综合论证</w:t>
      </w:r>
      <w:bookmarkEnd w:id="28"/>
    </w:p>
    <w:p w14:paraId="2561B07A">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规划》符合《中华人民共和国长江保护法》《自然保护区条例》《风景名胜区条例》《中共中央国务院关于加快推进生态文明建设的意见》《关于划定并严守生态保护红线的若干意见》《自然生态空间用途管制办法（试行）》《产业结构调整指导目录（2019年本）》《矿山生态环境保护与污染防治技术政策》《全国生态环境保护纲要》《长江经济带发展规划纲要》《长江经济带生态环境保护规划》《全国主体功能区规划》《全国生态功能区划（修编版）》《中国生物多样性保护战略与行动计划》《重庆市生态功能区划（修编）》《重庆市生态保护红线》《重庆市产业投资准入工作手册》及《重庆市人民政府关于落实生态保护红线、环境质量底线、资源利用上线制定生态环境准入清单实施生态环境分区管控的实施意见》（渝府发〔2020〕11号）、《重庆市生态环境保护“十四五”规划（2021-2025年）》、《重庆市大气环境保护“十四五”规划（2021-2025年）》和《巫溪县生态文明建设“十三五”规划》《巫溪县人民政府关于印发巫溪县落实生态保护红线、环境质量底线、资源利用上线制定生态环境准入清单实施生态环境分区管控实施方案的通知》等国家和地方相关法规、政策及规划，不存在显著冲突。规划目标与评价的环境目标一致。</w:t>
      </w:r>
    </w:p>
    <w:p w14:paraId="3BFDE579">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rPr>
        <w:t>经综合评价，《规划》空间布局基本合理，但部分勘查开采规划区块需与生态保护红线、一般生态空间、永久基本农田、城镇开发边界等保护区域进一步充分衔接，合理优化布局后，才能使规划布局更合理。《规划》实施属于资源和环境容量可承受范围。在严格执行《规划》及相关规定和规划要求，并采取有效生态环境保护修复和污染防治措施后，规划环境目标可达</w:t>
      </w:r>
      <w:r>
        <w:rPr>
          <w:rFonts w:hint="eastAsia" w:ascii="仿宋_GB2312" w:hAnsi="仿宋_GB2312" w:eastAsia="仿宋_GB2312" w:cs="仿宋_GB2312"/>
          <w:color w:val="auto"/>
          <w:sz w:val="24"/>
          <w:szCs w:val="24"/>
          <w:highlight w:val="none"/>
        </w:rPr>
        <w:t>。</w:t>
      </w:r>
    </w:p>
    <w:p w14:paraId="4C8E774C">
      <w:pPr>
        <w:keepNext w:val="0"/>
        <w:keepLines w:val="0"/>
        <w:pageBreakBefore w:val="0"/>
        <w:widowControl w:val="0"/>
        <w:kinsoku/>
        <w:overflowPunct/>
        <w:topLinePunct w:val="0"/>
        <w:bidi w:val="0"/>
        <w:spacing w:before="120" w:beforeLines="50" w:after="120" w:afterLines="50"/>
        <w:jc w:val="both"/>
        <w:outlineLvl w:val="1"/>
        <w:rPr>
          <w:rFonts w:hint="eastAsia" w:ascii="仿宋_GB2312" w:hAnsi="仿宋_GB2312" w:eastAsia="仿宋_GB2312" w:cs="仿宋_GB2312"/>
          <w:b/>
          <w:bCs/>
          <w:color w:val="auto"/>
          <w:sz w:val="26"/>
          <w:szCs w:val="26"/>
          <w:highlight w:val="none"/>
        </w:rPr>
      </w:pPr>
      <w:bookmarkStart w:id="29" w:name="_Toc2050"/>
      <w:r>
        <w:rPr>
          <w:rFonts w:hint="eastAsia" w:ascii="仿宋_GB2312" w:hAnsi="仿宋_GB2312" w:eastAsia="仿宋_GB2312" w:cs="仿宋_GB2312"/>
          <w:b/>
          <w:bCs/>
          <w:color w:val="auto"/>
          <w:sz w:val="26"/>
          <w:szCs w:val="26"/>
          <w:highlight w:val="none"/>
          <w:lang w:val="en-US" w:eastAsia="zh-CN"/>
        </w:rPr>
        <w:t>5</w:t>
      </w:r>
      <w:r>
        <w:rPr>
          <w:rFonts w:hint="eastAsia" w:ascii="仿宋_GB2312" w:hAnsi="仿宋_GB2312" w:eastAsia="仿宋_GB2312" w:cs="仿宋_GB2312"/>
          <w:b/>
          <w:bCs/>
          <w:color w:val="auto"/>
          <w:sz w:val="26"/>
          <w:szCs w:val="26"/>
          <w:highlight w:val="none"/>
        </w:rPr>
        <w:t>.2 规划优化调整建议</w:t>
      </w:r>
      <w:bookmarkEnd w:id="29"/>
    </w:p>
    <w:p w14:paraId="4FE1087B">
      <w:pPr>
        <w:keepNext w:val="0"/>
        <w:keepLines w:val="0"/>
        <w:pageBreakBefore w:val="0"/>
        <w:widowControl w:val="0"/>
        <w:numPr>
          <w:ilvl w:val="0"/>
          <w:numId w:val="2"/>
        </w:numPr>
        <w:kinsoku/>
        <w:overflowPunct/>
        <w:topLinePunct w:val="0"/>
        <w:bidi w:val="0"/>
        <w:spacing w:after="0" w:line="460" w:lineRule="exact"/>
        <w:ind w:left="0" w:leftChars="0" w:firstLine="420" w:firstLineChars="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与生态保护红线和城镇开发边界有范围重叠的现有勘查开采区块（已依法取得探矿权、采矿权），建议进一步优化规划布局，强化生态环保措施，解决现有生态环境问题，降低不利环境影响。对于大部分或全部范围重叠的，建议取消。</w:t>
      </w:r>
    </w:p>
    <w:p w14:paraId="758FF07B">
      <w:pPr>
        <w:keepNext w:val="0"/>
        <w:keepLines w:val="0"/>
        <w:pageBreakBefore w:val="0"/>
        <w:widowControl w:val="0"/>
        <w:numPr>
          <w:ilvl w:val="0"/>
          <w:numId w:val="2"/>
        </w:numPr>
        <w:kinsoku/>
        <w:overflowPunct/>
        <w:topLinePunct w:val="0"/>
        <w:bidi w:val="0"/>
        <w:spacing w:after="0" w:line="460" w:lineRule="exact"/>
        <w:ind w:left="0" w:leftChars="0" w:firstLine="420" w:firstLineChars="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与生态保护红线和城镇开发边界有范围重叠的规划勘查开采区块（探转采、空白区新设），建议优化规划布局，或者暂缓投放，待生态保护红线等正式发布实施后，进一步核实重叠情况，优化布局，确保满足生态保护红线管理要求，与城镇开发边界有关要求相协调。</w:t>
      </w:r>
    </w:p>
    <w:p w14:paraId="08C9AB46">
      <w:pPr>
        <w:keepNext w:val="0"/>
        <w:keepLines w:val="0"/>
        <w:pageBreakBefore w:val="0"/>
        <w:widowControl w:val="0"/>
        <w:numPr>
          <w:ilvl w:val="0"/>
          <w:numId w:val="0"/>
        </w:numPr>
        <w:kinsoku/>
        <w:overflowPunct/>
        <w:topLinePunct w:val="0"/>
        <w:bidi w:val="0"/>
        <w:spacing w:after="0" w:line="460" w:lineRule="exact"/>
        <w:ind w:firstLine="480" w:firstLineChars="200"/>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）针对现行有效的永久基本农田，允许已设采矿权保留区块在原矿业权范围内办理延续变更等登记手续，空白区新设及已设采矿权调整区块应避让，不与永久基本农田发生重叠。</w:t>
      </w:r>
    </w:p>
    <w:p w14:paraId="763F9BBB">
      <w:pPr>
        <w:keepNext w:val="0"/>
        <w:keepLines w:val="0"/>
        <w:pageBreakBefore w:val="0"/>
        <w:widowControl w:val="0"/>
        <w:numPr>
          <w:ilvl w:val="0"/>
          <w:numId w:val="0"/>
        </w:numPr>
        <w:kinsoku/>
        <w:overflowPunct/>
        <w:topLinePunct w:val="0"/>
        <w:bidi w:val="0"/>
        <w:spacing w:after="0" w:line="460" w:lineRule="exact"/>
        <w:ind w:firstLine="480" w:firstLineChars="200"/>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在规划实施时，若调整后的生态保护红线、永久基本农田、城镇开发边界未发布实施，则应执行现行有效的生态保护红线、永久基本农田和城镇开发边界。若规划实施时，已发布实施，则规划应及时进行充分衔接，严守划定的生态保护红线、永久基本农田和城镇开发边界。对于仍有小部分或部分范围占用的空白区新设区块，建议调整区块范围；对于大部分或全部范围占用的空白区新设区块，建议取消；对于有范围重叠的已有矿权保留和调整区块，建议继续保留，但在保护区域范围内不允许再扩大规模和范围，并严格执行绿色开采与矿山生态保护修复相关要求，采矿权到期后依法退出或合理调整区块范围，不与法定保护区域空间管控相冲突。</w:t>
      </w:r>
    </w:p>
    <w:p w14:paraId="4C8859FF">
      <w:pPr>
        <w:keepNext w:val="0"/>
        <w:keepLines w:val="0"/>
        <w:pageBreakBefore w:val="0"/>
        <w:widowControl w:val="0"/>
        <w:kinsoku/>
        <w:wordWrap/>
        <w:overflowPunct/>
        <w:topLinePunct w:val="0"/>
        <w:autoSpaceDE/>
        <w:autoSpaceDN/>
        <w:bidi w:val="0"/>
        <w:adjustRightInd w:val="0"/>
        <w:snapToGrid w:val="0"/>
        <w:spacing w:before="120" w:beforeLines="50" w:after="120" w:afterLines="50"/>
        <w:jc w:val="both"/>
        <w:textAlignment w:val="auto"/>
        <w:outlineLvl w:val="0"/>
        <w:rPr>
          <w:rFonts w:hint="eastAsia" w:ascii="仿宋_GB2312" w:hAnsi="仿宋_GB2312" w:eastAsia="仿宋_GB2312" w:cs="仿宋_GB2312"/>
          <w:b/>
          <w:bCs/>
          <w:color w:val="auto"/>
          <w:sz w:val="26"/>
          <w:szCs w:val="26"/>
          <w:highlight w:val="none"/>
        </w:rPr>
      </w:pPr>
      <w:bookmarkStart w:id="30" w:name="_Toc29779"/>
      <w:bookmarkStart w:id="31" w:name="_Toc18799"/>
      <w:r>
        <w:rPr>
          <w:rFonts w:hint="eastAsia" w:ascii="仿宋_GB2312" w:hAnsi="仿宋_GB2312" w:eastAsia="仿宋_GB2312" w:cs="仿宋_GB2312"/>
          <w:b/>
          <w:bCs/>
          <w:color w:val="auto"/>
          <w:sz w:val="26"/>
          <w:szCs w:val="26"/>
          <w:highlight w:val="none"/>
          <w:lang w:val="en-US" w:eastAsia="zh-CN"/>
        </w:rPr>
        <w:t>6</w:t>
      </w:r>
      <w:r>
        <w:rPr>
          <w:rFonts w:hint="eastAsia" w:ascii="仿宋_GB2312" w:hAnsi="仿宋_GB2312" w:eastAsia="仿宋_GB2312" w:cs="仿宋_GB2312"/>
          <w:b/>
          <w:bCs/>
          <w:color w:val="auto"/>
          <w:sz w:val="26"/>
          <w:szCs w:val="26"/>
          <w:highlight w:val="none"/>
        </w:rPr>
        <w:t xml:space="preserve"> 环境影响减缓对策和措施</w:t>
      </w:r>
      <w:bookmarkEnd w:id="30"/>
      <w:bookmarkEnd w:id="31"/>
    </w:p>
    <w:p w14:paraId="1111F8E6">
      <w:pPr>
        <w:keepNext w:val="0"/>
        <w:keepLines w:val="0"/>
        <w:pageBreakBefore w:val="0"/>
        <w:widowControl w:val="0"/>
        <w:kinsoku/>
        <w:overflowPunct/>
        <w:topLinePunct w:val="0"/>
        <w:bidi w:val="0"/>
        <w:spacing w:before="120" w:beforeLines="50" w:after="120" w:afterLines="50"/>
        <w:jc w:val="both"/>
        <w:outlineLvl w:val="1"/>
        <w:rPr>
          <w:rFonts w:hint="eastAsia" w:ascii="仿宋_GB2312" w:hAnsi="仿宋_GB2312" w:eastAsia="仿宋_GB2312" w:cs="仿宋_GB2312"/>
          <w:b/>
          <w:bCs/>
          <w:color w:val="auto"/>
          <w:sz w:val="26"/>
          <w:szCs w:val="26"/>
          <w:highlight w:val="none"/>
          <w:lang w:val="en-US" w:eastAsia="zh-CN"/>
        </w:rPr>
      </w:pPr>
      <w:bookmarkStart w:id="32" w:name="_Toc9187"/>
      <w:r>
        <w:rPr>
          <w:rFonts w:hint="eastAsia" w:ascii="仿宋_GB2312" w:hAnsi="仿宋_GB2312" w:eastAsia="仿宋_GB2312" w:cs="仿宋_GB2312"/>
          <w:b/>
          <w:bCs/>
          <w:color w:val="auto"/>
          <w:sz w:val="26"/>
          <w:szCs w:val="26"/>
          <w:highlight w:val="none"/>
          <w:lang w:val="en-US" w:eastAsia="zh-CN"/>
        </w:rPr>
        <w:t>6</w:t>
      </w:r>
      <w:r>
        <w:rPr>
          <w:rFonts w:hint="eastAsia" w:ascii="仿宋_GB2312" w:hAnsi="仿宋_GB2312" w:eastAsia="仿宋_GB2312" w:cs="仿宋_GB2312"/>
          <w:b/>
          <w:bCs/>
          <w:color w:val="auto"/>
          <w:sz w:val="26"/>
          <w:szCs w:val="26"/>
          <w:highlight w:val="none"/>
        </w:rPr>
        <w:t xml:space="preserve">.1 </w:t>
      </w:r>
      <w:r>
        <w:rPr>
          <w:rFonts w:hint="eastAsia" w:ascii="仿宋_GB2312" w:hAnsi="仿宋_GB2312" w:eastAsia="仿宋_GB2312" w:cs="仿宋_GB2312"/>
          <w:b/>
          <w:bCs/>
          <w:color w:val="auto"/>
          <w:sz w:val="26"/>
          <w:szCs w:val="26"/>
          <w:highlight w:val="none"/>
          <w:lang w:eastAsia="zh-CN"/>
        </w:rPr>
        <w:t>“</w:t>
      </w:r>
      <w:r>
        <w:rPr>
          <w:rFonts w:hint="eastAsia" w:ascii="仿宋_GB2312" w:hAnsi="仿宋_GB2312" w:eastAsia="仿宋_GB2312" w:cs="仿宋_GB2312"/>
          <w:b/>
          <w:bCs/>
          <w:color w:val="auto"/>
          <w:sz w:val="26"/>
          <w:szCs w:val="26"/>
          <w:highlight w:val="none"/>
          <w:lang w:val="en-US" w:eastAsia="zh-CN"/>
        </w:rPr>
        <w:t>三线一单</w:t>
      </w:r>
      <w:r>
        <w:rPr>
          <w:rFonts w:hint="eastAsia" w:ascii="仿宋_GB2312" w:hAnsi="仿宋_GB2312" w:eastAsia="仿宋_GB2312" w:cs="仿宋_GB2312"/>
          <w:b/>
          <w:bCs/>
          <w:color w:val="auto"/>
          <w:sz w:val="26"/>
          <w:szCs w:val="26"/>
          <w:highlight w:val="none"/>
          <w:lang w:eastAsia="zh-CN"/>
        </w:rPr>
        <w:t>”</w:t>
      </w:r>
      <w:r>
        <w:rPr>
          <w:rFonts w:hint="eastAsia" w:ascii="仿宋_GB2312" w:hAnsi="仿宋_GB2312" w:eastAsia="仿宋_GB2312" w:cs="仿宋_GB2312"/>
          <w:b/>
          <w:bCs/>
          <w:color w:val="auto"/>
          <w:sz w:val="26"/>
          <w:szCs w:val="26"/>
          <w:highlight w:val="none"/>
          <w:lang w:val="en-US" w:eastAsia="zh-CN"/>
        </w:rPr>
        <w:t>管控要求</w:t>
      </w:r>
      <w:bookmarkEnd w:id="32"/>
    </w:p>
    <w:p w14:paraId="24A2908E">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生态空间（</w:t>
      </w:r>
      <w:r>
        <w:rPr>
          <w:rFonts w:hint="eastAsia" w:ascii="仿宋_GB2312" w:hAnsi="仿宋_GB2312" w:eastAsia="仿宋_GB2312" w:cs="仿宋_GB2312"/>
          <w:color w:val="auto"/>
          <w:sz w:val="24"/>
          <w:szCs w:val="24"/>
          <w:highlight w:val="none"/>
        </w:rPr>
        <w:t>生态保护红线</w:t>
      </w:r>
      <w:r>
        <w:rPr>
          <w:rFonts w:hint="eastAsia" w:ascii="仿宋_GB2312" w:hAnsi="仿宋_GB2312" w:eastAsia="仿宋_GB2312" w:cs="仿宋_GB2312"/>
          <w:color w:val="auto"/>
          <w:sz w:val="24"/>
          <w:szCs w:val="24"/>
          <w:highlight w:val="none"/>
          <w:lang w:val="en-US" w:eastAsia="zh-CN"/>
        </w:rPr>
        <w:t>和一般生态空间）</w:t>
      </w:r>
    </w:p>
    <w:p w14:paraId="3535EA89">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rPr>
        <w:t>认真贯彻落实《中办国办关于划定并严守生态保护红线的若干意见》，严守生态保护红线，依法遵守环境敏感区规定，加强规划空间管制，合法开展矿产资源勘查和开发利用与保护。加强矿山地质环境恢复治理，促进矿业绿色发展，确保区域生态保护红线的生态功能不降低、面积不减少、性质不改变，维护国家生态安全</w:t>
      </w:r>
      <w:r>
        <w:rPr>
          <w:rFonts w:hint="eastAsia" w:ascii="仿宋_GB2312" w:hAnsi="仿宋_GB2312" w:eastAsia="仿宋_GB2312" w:cs="仿宋_GB2312"/>
          <w:color w:val="auto"/>
          <w:sz w:val="24"/>
          <w:szCs w:val="24"/>
          <w:highlight w:val="none"/>
        </w:rPr>
        <w:t>。</w:t>
      </w:r>
    </w:p>
    <w:p w14:paraId="6A1EF35A">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（2）环境质量底线</w:t>
      </w:r>
    </w:p>
    <w:p w14:paraId="3272BE5E">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规划实施应以改善环境质量为核心，严守空气、地表水、地下水、声和土壤等环境质量底线，落实评价提出的规划环境质量底线管控要求，提高废水和固体废弃物综合利用水平，最大化实现废弃物的资源化利用。</w:t>
      </w:r>
    </w:p>
    <w:p w14:paraId="0FFC8B77">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（3）资源利用上线</w:t>
      </w:r>
    </w:p>
    <w:p w14:paraId="35E10103">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所设采矿权区块实施必须严格执行规划要求，不得超越矿权范围从事采矿活动，不得突破区块矿产资源利用上线。规划实施必须严格取水制度，不得影响饮用水水源保护地和区域、流域用水；加强污废水无害化处理和资源化再利用，节约用水，严禁污染水体。</w:t>
      </w:r>
    </w:p>
    <w:p w14:paraId="014C0991">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（4）生态环境准入清单</w:t>
      </w:r>
    </w:p>
    <w:p w14:paraId="38375EA1">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rPr>
        <w:t>《规划》应加强空间管控，严格执行《关于划定并严守生态保护红线的若干意见》、《矿山生态环境保护与恢复治理技术规范（试行）》（HJ651-2013）、《风景名胜区条例》、《国家级森林公园管理办法》、《森林公园管理办法》、《基本农田保护条例》、《饮用水水源保护区污染防治管理规定》等法律法规有关矿产资源勘查开发的准入要求。严格矿产资源开采项目准入，推进矿产资源开发利用布局与结构优化调整，落实《重庆市矿产资源总体规划（20</w:t>
      </w:r>
      <w:r>
        <w:rPr>
          <w:rFonts w:hint="eastAsia" w:ascii="仿宋_GB2312" w:hAnsi="仿宋_GB2312" w:eastAsia="仿宋_GB2312" w:cs="仿宋_GB2312"/>
          <w:color w:val="auto"/>
          <w:sz w:val="24"/>
          <w:szCs w:val="24"/>
          <w:lang w:val="en-US" w:eastAsia="zh-CN"/>
        </w:rPr>
        <w:t>21</w:t>
      </w:r>
      <w:r>
        <w:rPr>
          <w:rFonts w:hint="eastAsia" w:ascii="仿宋_GB2312" w:hAnsi="仿宋_GB2312" w:eastAsia="仿宋_GB2312" w:cs="仿宋_GB2312"/>
          <w:color w:val="auto"/>
          <w:sz w:val="24"/>
          <w:szCs w:val="24"/>
        </w:rPr>
        <w:t>-202</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《重庆市</w:t>
      </w:r>
      <w:r>
        <w:rPr>
          <w:rFonts w:hint="eastAsia" w:ascii="仿宋_GB2312" w:hAnsi="仿宋_GB2312" w:eastAsia="仿宋_GB2312" w:cs="仿宋_GB2312"/>
          <w:color w:val="auto"/>
          <w:sz w:val="24"/>
          <w:szCs w:val="24"/>
          <w:lang w:eastAsia="zh-CN"/>
        </w:rPr>
        <w:t>巫溪县</w:t>
      </w:r>
      <w:r>
        <w:rPr>
          <w:rFonts w:hint="eastAsia" w:ascii="仿宋_GB2312" w:hAnsi="仿宋_GB2312" w:eastAsia="仿宋_GB2312" w:cs="仿宋_GB2312"/>
          <w:color w:val="auto"/>
          <w:sz w:val="24"/>
          <w:szCs w:val="24"/>
        </w:rPr>
        <w:t>矿产资源</w:t>
      </w:r>
      <w:r>
        <w:rPr>
          <w:rFonts w:hint="eastAsia" w:ascii="仿宋_GB2312" w:hAnsi="仿宋_GB2312" w:eastAsia="仿宋_GB2312" w:cs="仿宋_GB2312"/>
          <w:color w:val="auto"/>
          <w:sz w:val="24"/>
          <w:szCs w:val="24"/>
          <w:lang w:eastAsia="zh-CN"/>
        </w:rPr>
        <w:t>总体</w:t>
      </w:r>
      <w:r>
        <w:rPr>
          <w:rFonts w:hint="eastAsia" w:ascii="仿宋_GB2312" w:hAnsi="仿宋_GB2312" w:eastAsia="仿宋_GB2312" w:cs="仿宋_GB2312"/>
          <w:color w:val="auto"/>
          <w:sz w:val="24"/>
          <w:szCs w:val="24"/>
        </w:rPr>
        <w:t>规划（20</w:t>
      </w:r>
      <w:r>
        <w:rPr>
          <w:rFonts w:hint="eastAsia" w:ascii="仿宋_GB2312" w:hAnsi="仿宋_GB2312" w:eastAsia="仿宋_GB2312" w:cs="仿宋_GB2312"/>
          <w:color w:val="auto"/>
          <w:sz w:val="24"/>
          <w:szCs w:val="24"/>
          <w:lang w:val="en-US" w:eastAsia="zh-CN"/>
        </w:rPr>
        <w:t>21</w:t>
      </w:r>
      <w:r>
        <w:rPr>
          <w:rFonts w:hint="eastAsia" w:ascii="仿宋_GB2312" w:hAnsi="仿宋_GB2312" w:eastAsia="仿宋_GB2312" w:cs="仿宋_GB2312"/>
          <w:color w:val="auto"/>
          <w:sz w:val="24"/>
          <w:szCs w:val="24"/>
        </w:rPr>
        <w:t>-202</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年）》、《关于加快建设绿色矿山的实施意见》（国土资规〔2017〕4号）等相关规定和要求，推动矿业绿色发展，实现资源开发利用与环境保护相协调的绿色发展格局</w:t>
      </w:r>
      <w:r>
        <w:rPr>
          <w:rFonts w:hint="eastAsia" w:ascii="仿宋_GB2312" w:hAnsi="仿宋_GB2312" w:eastAsia="仿宋_GB2312" w:cs="仿宋_GB2312"/>
          <w:color w:val="auto"/>
          <w:sz w:val="24"/>
          <w:szCs w:val="24"/>
          <w:highlight w:val="none"/>
        </w:rPr>
        <w:t>。</w:t>
      </w:r>
    </w:p>
    <w:p w14:paraId="4163200C">
      <w:pPr>
        <w:keepNext w:val="0"/>
        <w:keepLines w:val="0"/>
        <w:pageBreakBefore w:val="0"/>
        <w:widowControl w:val="0"/>
        <w:kinsoku/>
        <w:overflowPunct/>
        <w:topLinePunct w:val="0"/>
        <w:bidi w:val="0"/>
        <w:spacing w:before="120" w:beforeLines="50" w:after="120" w:afterLines="50"/>
        <w:jc w:val="both"/>
        <w:outlineLvl w:val="1"/>
        <w:rPr>
          <w:rFonts w:hint="eastAsia" w:ascii="仿宋_GB2312" w:hAnsi="仿宋_GB2312" w:eastAsia="仿宋_GB2312" w:cs="仿宋_GB2312"/>
          <w:b/>
          <w:bCs/>
          <w:color w:val="auto"/>
          <w:sz w:val="26"/>
          <w:szCs w:val="26"/>
          <w:highlight w:val="none"/>
        </w:rPr>
      </w:pPr>
      <w:bookmarkStart w:id="33" w:name="_Toc1625"/>
      <w:r>
        <w:rPr>
          <w:rFonts w:hint="eastAsia" w:ascii="仿宋_GB2312" w:hAnsi="仿宋_GB2312" w:eastAsia="仿宋_GB2312" w:cs="仿宋_GB2312"/>
          <w:b/>
          <w:bCs/>
          <w:color w:val="auto"/>
          <w:sz w:val="26"/>
          <w:szCs w:val="26"/>
          <w:highlight w:val="none"/>
          <w:lang w:val="en-US" w:eastAsia="zh-CN"/>
        </w:rPr>
        <w:t>6</w:t>
      </w:r>
      <w:r>
        <w:rPr>
          <w:rFonts w:hint="eastAsia" w:ascii="仿宋_GB2312" w:hAnsi="仿宋_GB2312" w:eastAsia="仿宋_GB2312" w:cs="仿宋_GB2312"/>
          <w:b/>
          <w:bCs/>
          <w:color w:val="auto"/>
          <w:sz w:val="26"/>
          <w:szCs w:val="26"/>
          <w:highlight w:val="none"/>
        </w:rPr>
        <w:t xml:space="preserve">.2 </w:t>
      </w:r>
      <w:r>
        <w:rPr>
          <w:rFonts w:hint="eastAsia" w:ascii="仿宋_GB2312" w:hAnsi="仿宋_GB2312" w:eastAsia="仿宋_GB2312" w:cs="仿宋_GB2312"/>
          <w:b/>
          <w:bCs/>
          <w:color w:val="auto"/>
          <w:sz w:val="26"/>
          <w:szCs w:val="26"/>
          <w:highlight w:val="none"/>
          <w:lang w:val="en-US" w:eastAsia="zh-CN"/>
        </w:rPr>
        <w:t>环境影响减缓</w:t>
      </w:r>
      <w:r>
        <w:rPr>
          <w:rFonts w:hint="eastAsia" w:ascii="仿宋_GB2312" w:hAnsi="仿宋_GB2312" w:eastAsia="仿宋_GB2312" w:cs="仿宋_GB2312"/>
          <w:b/>
          <w:bCs/>
          <w:color w:val="auto"/>
          <w:sz w:val="26"/>
          <w:szCs w:val="26"/>
          <w:highlight w:val="none"/>
        </w:rPr>
        <w:t>对策和措施</w:t>
      </w:r>
      <w:bookmarkEnd w:id="33"/>
    </w:p>
    <w:p w14:paraId="77B1A67A">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（1）采用先进的生产技术</w:t>
      </w:r>
    </w:p>
    <w:p w14:paraId="32324478">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针对规划设置的具体</w:t>
      </w:r>
      <w:r>
        <w:rPr>
          <w:rFonts w:hint="eastAsia" w:ascii="仿宋_GB2312" w:hAnsi="仿宋_GB2312" w:eastAsia="仿宋_GB2312" w:cs="仿宋_GB2312"/>
          <w:color w:val="auto"/>
          <w:sz w:val="24"/>
          <w:szCs w:val="24"/>
          <w:lang w:eastAsia="zh-CN"/>
        </w:rPr>
        <w:t>矿山</w:t>
      </w:r>
      <w:r>
        <w:rPr>
          <w:rFonts w:hint="eastAsia" w:ascii="仿宋_GB2312" w:hAnsi="仿宋_GB2312" w:eastAsia="仿宋_GB2312" w:cs="仿宋_GB2312"/>
          <w:color w:val="auto"/>
          <w:sz w:val="24"/>
          <w:szCs w:val="24"/>
        </w:rPr>
        <w:t>项目，合理安排施工方案和施工计划，鼓励采用先进环保的生产技术，露天矿山应严格按照开发利用方案确定的台阶式开采方式，实现边开采边恢复。</w:t>
      </w:r>
    </w:p>
    <w:p w14:paraId="0B953252">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（2）加强矿产资源节约与综合利用</w:t>
      </w:r>
    </w:p>
    <w:p w14:paraId="35595187">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推进矿山“清洁生产”，加强科学技术研究和应用，鼓励采用先进的开采工艺，实行综合开发和综合利用，实现矿山废弃物的减量化和资源化，加强固体废物综合利用；加强采矿废水的节约和综合利用。</w:t>
      </w:r>
    </w:p>
    <w:p w14:paraId="4EBCBBF4">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（3）推行清洁生产，发展循环经济</w:t>
      </w:r>
    </w:p>
    <w:p w14:paraId="614927A2">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鼓励采用低能耗、低污染的生产工艺，提高</w:t>
      </w:r>
      <w:r>
        <w:rPr>
          <w:rFonts w:hint="eastAsia" w:ascii="仿宋_GB2312" w:hAnsi="仿宋_GB2312" w:eastAsia="仿宋_GB2312" w:cs="仿宋_GB2312"/>
          <w:color w:val="auto"/>
          <w:sz w:val="24"/>
          <w:szCs w:val="24"/>
          <w:lang w:eastAsia="zh-CN"/>
        </w:rPr>
        <w:t>建筑石料用灰岩等采矿业</w:t>
      </w:r>
      <w:r>
        <w:rPr>
          <w:rFonts w:hint="eastAsia" w:ascii="仿宋_GB2312" w:hAnsi="仿宋_GB2312" w:eastAsia="仿宋_GB2312" w:cs="仿宋_GB2312"/>
          <w:color w:val="auto"/>
          <w:sz w:val="24"/>
          <w:szCs w:val="24"/>
        </w:rPr>
        <w:t>的清洁生产水平，降低污染物产生量。</w:t>
      </w:r>
    </w:p>
    <w:p w14:paraId="1E655935">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（4）加快推进绿色矿山建设和绿色矿业发展</w:t>
      </w:r>
    </w:p>
    <w:p w14:paraId="3566BF14">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采用绿色勘查技术，减少地表工作对环境的影响，减少施工过程中“三废”对环境的影响。全面提升勘查技术水平和成果集成创新，全面升级勘查技术手段，开展应用示范，使用先进工艺手段和装备仪器，形成绿色槽探、钻探技术体系。</w:t>
      </w:r>
    </w:p>
    <w:p w14:paraId="2BC76722">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按绿色矿山建设标准推进现有矿山绿色矿山建设；新建矿山应按绿色矿山标准组织实施，投产时应达到绿色矿山建设标准。</w:t>
      </w:r>
    </w:p>
    <w:p w14:paraId="3A41F4F0">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（5）生态环境恢复治理措施</w:t>
      </w:r>
    </w:p>
    <w:p w14:paraId="0A4A7962">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生态环境影响防护、恢复应遵循“避让—最小化—减量化—修复—重建”这一顺序，严格控制矿产资源开发对环境造成的损害，并贯彻“谁污染、谁治理、谁开发、谁保护”的原则，搞好生态保护恢复建设，使生态效益和经济效益相协调。加大矿山生态治理力度。</w:t>
      </w:r>
    </w:p>
    <w:p w14:paraId="4D54FB7A">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于已关闭但未治理的矿山（含历史遗留矿山）和规划期拟关闭的矿山，应落实主体责任，严格按照规范要求做好关闭矿山地质环境治理和矿山土地复垦工作。对于遗留环境污染问题，如关闭煤矿矿井涌水，应采取化学沉淀等治理措施对其进行有效处理，对已造成环境污染的应限期治理，严禁流于形式，走过场。</w:t>
      </w:r>
    </w:p>
    <w:p w14:paraId="0F1701BD">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（6）污染防治措施</w:t>
      </w:r>
    </w:p>
    <w:p w14:paraId="309D5CB1">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①大气污染防治</w:t>
      </w:r>
    </w:p>
    <w:p w14:paraId="066D1E16">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采矿权区块应合理选址，一类功能区以外所设300米宽的缓冲带，原则上按一类功能区对应的标准执行，保证300米缓冲带内环境空气质量满足《环境空气质量标准》（GB3096-2012）一级标准要求。</w:t>
      </w:r>
      <w:r>
        <w:rPr>
          <w:rFonts w:hint="eastAsia" w:ascii="仿宋_GB2312" w:hAnsi="仿宋_GB2312" w:eastAsia="仿宋_GB2312" w:cs="仿宋_GB2312"/>
          <w:color w:val="auto"/>
          <w:sz w:val="24"/>
          <w:szCs w:val="24"/>
          <w:lang w:val="en-US" w:eastAsia="zh-CN"/>
        </w:rPr>
        <w:t>24</w:t>
      </w:r>
      <w:r>
        <w:rPr>
          <w:rFonts w:hint="eastAsia" w:ascii="仿宋_GB2312" w:hAnsi="仿宋_GB2312" w:eastAsia="仿宋_GB2312" w:cs="仿宋_GB2312"/>
          <w:color w:val="auto"/>
          <w:sz w:val="24"/>
          <w:szCs w:val="24"/>
        </w:rPr>
        <w:t>个开采</w:t>
      </w:r>
      <w:r>
        <w:rPr>
          <w:rFonts w:hint="eastAsia" w:ascii="仿宋_GB2312" w:hAnsi="仿宋_GB2312" w:eastAsia="仿宋_GB2312" w:cs="仿宋_GB2312"/>
          <w:color w:val="auto"/>
          <w:sz w:val="24"/>
          <w:szCs w:val="24"/>
          <w:lang w:val="en-US" w:eastAsia="zh-CN"/>
        </w:rPr>
        <w:t>规划</w:t>
      </w:r>
      <w:r>
        <w:rPr>
          <w:rFonts w:hint="eastAsia" w:ascii="仿宋_GB2312" w:hAnsi="仿宋_GB2312" w:eastAsia="仿宋_GB2312" w:cs="仿宋_GB2312"/>
          <w:color w:val="auto"/>
          <w:sz w:val="24"/>
          <w:szCs w:val="24"/>
        </w:rPr>
        <w:t>区块均不在一类功能区300米缓冲带内。</w:t>
      </w:r>
    </w:p>
    <w:p w14:paraId="00AF74F3">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露天开采时应控制矿山开采和破碎加工过程中粉尘排放，编制报告书的建设项目环评应结合项目所在地环境敏感性按导则要求核定大气环境防护距离设置情况，大气环境防护距离范围内不应有长期居住的居民；加强全过程粉尘防治和废气污染治理；生活燃料采用液化气、天然气等清洁能源，严禁使用燃煤，集中式食堂应按要求设置油烟净化器和专用排烟道；排入环境的大气污染物应符合环境保护相关要求。</w:t>
      </w:r>
    </w:p>
    <w:p w14:paraId="70626E0A">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②废水污染防治</w:t>
      </w:r>
    </w:p>
    <w:p w14:paraId="780D88A3">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矿产资源开发过程中产生的废水主要有采矿废水、废石淋溶水和生活污水等。规划露天开采的</w:t>
      </w:r>
      <w:r>
        <w:rPr>
          <w:rFonts w:hint="eastAsia" w:ascii="仿宋_GB2312" w:hAnsi="仿宋_GB2312" w:eastAsia="仿宋_GB2312" w:cs="仿宋_GB2312"/>
          <w:color w:val="auto"/>
          <w:sz w:val="24"/>
          <w:szCs w:val="24"/>
          <w:lang w:eastAsia="zh-CN"/>
        </w:rPr>
        <w:t>建筑石料用灰岩和砖瓦用页岩</w:t>
      </w:r>
      <w:r>
        <w:rPr>
          <w:rFonts w:hint="eastAsia" w:ascii="仿宋_GB2312" w:hAnsi="仿宋_GB2312" w:eastAsia="仿宋_GB2312" w:cs="仿宋_GB2312"/>
          <w:color w:val="auto"/>
          <w:sz w:val="24"/>
          <w:szCs w:val="24"/>
        </w:rPr>
        <w:t>生产生活废水</w:t>
      </w:r>
      <w:r>
        <w:rPr>
          <w:rFonts w:hint="eastAsia" w:ascii="仿宋_GB2312" w:hAnsi="仿宋_GB2312" w:eastAsia="仿宋_GB2312" w:cs="仿宋_GB2312"/>
          <w:color w:val="auto"/>
          <w:sz w:val="24"/>
          <w:szCs w:val="24"/>
          <w:lang w:eastAsia="zh-CN"/>
        </w:rPr>
        <w:t>经综合处理后回用于采矿活动或场地洒水降尘、绿花用水等</w:t>
      </w:r>
      <w:r>
        <w:rPr>
          <w:rFonts w:hint="eastAsia" w:ascii="仿宋_GB2312" w:hAnsi="仿宋_GB2312" w:eastAsia="仿宋_GB2312" w:cs="仿宋_GB2312"/>
          <w:color w:val="auto"/>
          <w:sz w:val="24"/>
          <w:szCs w:val="24"/>
        </w:rPr>
        <w:t>，饰面石材开采切割过程中产生的泥浆废水经多级沉淀处理后清水回用。</w:t>
      </w:r>
    </w:p>
    <w:p w14:paraId="622C3FFA">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场区内雨水集中收集经沉淀处理后用于洒水（喷雾）降尘</w:t>
      </w:r>
      <w:r>
        <w:rPr>
          <w:rFonts w:hint="eastAsia" w:ascii="仿宋_GB2312" w:hAnsi="仿宋_GB2312" w:eastAsia="仿宋_GB2312" w:cs="仿宋_GB2312"/>
          <w:color w:val="auto"/>
          <w:sz w:val="24"/>
          <w:szCs w:val="24"/>
          <w:lang w:eastAsia="zh-CN"/>
        </w:rPr>
        <w:t>或采矿利用</w:t>
      </w:r>
      <w:r>
        <w:rPr>
          <w:rFonts w:hint="eastAsia" w:ascii="仿宋_GB2312" w:hAnsi="仿宋_GB2312" w:eastAsia="仿宋_GB2312" w:cs="仿宋_GB2312"/>
          <w:color w:val="auto"/>
          <w:sz w:val="24"/>
          <w:szCs w:val="24"/>
        </w:rPr>
        <w:t>；废石淋溶水可经沉淀后回用；生活污水可采用旱厕收集后作为农肥、生化池处理后用于绿化或处理后达标排放等多种模式，达标排放的应满足《污水综合排放标准》（GB8978-1996）一级标准的要求；严禁在饮用水水源保护区内设置矿权，在饮用水源保护区附近采矿时，严禁在饮用水源一级保护区和二级保护区内设置排污口。</w:t>
      </w:r>
    </w:p>
    <w:p w14:paraId="43585575">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③地下水污染</w:t>
      </w:r>
    </w:p>
    <w:p w14:paraId="197A42CB">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露天采矿应加强管理，做好分区防渗，做好废石场和弃渣场地下水预防措施</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避免机修废油、污废水等进入地下水系统，严格控制场内污废水“滴、跑、冒、漏”的无组织泄漏，对地下水造成污染。</w:t>
      </w:r>
    </w:p>
    <w:p w14:paraId="09E36EBE">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④固废防治</w:t>
      </w:r>
    </w:p>
    <w:p w14:paraId="48B12819">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矿业活动过程中产生的固体废物主要是矿山地表剥离物、回收粉尘、机械维修废油、采矿废石、污废水处理污泥、生活垃圾等。</w:t>
      </w:r>
    </w:p>
    <w:p w14:paraId="5FC0AA2F">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露天开采矿山地表剥离物中表土、废石分区临时堆放在矿区内，表土用于后期土地复垦，废石和建设期挖方用于铺设道路或工业广场及配套基础设施建设用材，弃方堆存在矿区内用于后期</w:t>
      </w:r>
      <w:r>
        <w:rPr>
          <w:rFonts w:hint="eastAsia" w:ascii="仿宋_GB2312" w:hAnsi="仿宋_GB2312" w:eastAsia="仿宋_GB2312" w:cs="仿宋_GB2312"/>
          <w:color w:val="auto"/>
          <w:sz w:val="24"/>
          <w:szCs w:val="24"/>
          <w:lang w:eastAsia="zh-CN"/>
        </w:rPr>
        <w:t>露天采坑</w:t>
      </w:r>
      <w:r>
        <w:rPr>
          <w:rFonts w:hint="eastAsia" w:ascii="仿宋_GB2312" w:hAnsi="仿宋_GB2312" w:eastAsia="仿宋_GB2312" w:cs="仿宋_GB2312"/>
          <w:color w:val="auto"/>
          <w:sz w:val="24"/>
          <w:szCs w:val="24"/>
        </w:rPr>
        <w:t>回填，一般工业固体废物安全处置率达100%。机械维修废油属于危险废物，按照相关要求进行储存、运输、处置，危险废物安全处置处理率100%。矿区设置生活垃圾收集站，定期由环卫部门统一运往周边垃圾填埋场处置，严禁乱堆乱排。</w:t>
      </w:r>
    </w:p>
    <w:p w14:paraId="5A286484">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⑤噪声防治</w:t>
      </w:r>
    </w:p>
    <w:p w14:paraId="51F030BA">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业场地的选址要尽量远离周边集中居民区，减少对居民点的影响，同时应满足安全距离要求；工业场地总平面设计中，应充分考虑高噪声源的分布和噪声传播途径、声环境敏感目标和防护距离要求，合理布局。选用噪声低、振动小、能耗低的先进施工设备和采矿生产设备；高噪声设备应安放在满足隔声要求的专用设备房内，采用隔声、减震等措施降低噪声污染；合理安排作业时间；合理安排运输路线和运输时间；同时设置绿化带来降低噪音。厂界噪声满足《工业企业厂界噪声排放标准》（GB12348-2008）排放限值要求，噪声不扰民。</w:t>
      </w:r>
    </w:p>
    <w:p w14:paraId="246D0B9E">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（6）环境风险防范与人体健康防护对策与措施</w:t>
      </w:r>
    </w:p>
    <w:p w14:paraId="0C18ABD5">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rPr>
        <w:t>《规划》应按要求建立环境风险三级防控体系，加强矿区环境风险隐患点等的巡查，相关矿山企业需按照规范要求进行风险评估，编制环境风险应急预案，提出风险防范和治理措施，降低环境风险。建立地质灾害应急体系，加强矿区地质灾害隐患排查、监测预测和事故风险防范应急演练，做好宣传工作，与当地消防、国土、卫生、环保等政府部门、机构建立联合应急工作机制</w:t>
      </w:r>
      <w:r>
        <w:rPr>
          <w:rFonts w:hint="eastAsia" w:ascii="仿宋_GB2312" w:hAnsi="仿宋_GB2312" w:eastAsia="仿宋_GB2312" w:cs="仿宋_GB2312"/>
          <w:color w:val="auto"/>
          <w:sz w:val="24"/>
          <w:szCs w:val="24"/>
          <w:highlight w:val="none"/>
        </w:rPr>
        <w:t>。</w:t>
      </w:r>
    </w:p>
    <w:p w14:paraId="050EFCFE">
      <w:pPr>
        <w:keepNext w:val="0"/>
        <w:keepLines w:val="0"/>
        <w:pageBreakBefore w:val="0"/>
        <w:widowControl w:val="0"/>
        <w:kinsoku/>
        <w:wordWrap/>
        <w:overflowPunct/>
        <w:topLinePunct w:val="0"/>
        <w:autoSpaceDE/>
        <w:autoSpaceDN/>
        <w:bidi w:val="0"/>
        <w:adjustRightInd w:val="0"/>
        <w:snapToGrid w:val="0"/>
        <w:spacing w:before="120" w:beforeLines="50" w:after="120" w:afterLines="50"/>
        <w:jc w:val="both"/>
        <w:textAlignment w:val="auto"/>
        <w:outlineLvl w:val="0"/>
        <w:rPr>
          <w:rFonts w:hint="eastAsia" w:ascii="仿宋_GB2312" w:hAnsi="仿宋_GB2312" w:eastAsia="仿宋_GB2312" w:cs="仿宋_GB2312"/>
          <w:b/>
          <w:bCs/>
          <w:color w:val="auto"/>
          <w:sz w:val="24"/>
          <w:szCs w:val="24"/>
          <w:highlight w:val="none"/>
        </w:rPr>
      </w:pPr>
      <w:bookmarkStart w:id="34" w:name="_Toc24440"/>
      <w:r>
        <w:rPr>
          <w:rFonts w:hint="eastAsia" w:ascii="仿宋_GB2312" w:hAnsi="仿宋_GB2312" w:eastAsia="仿宋_GB2312" w:cs="仿宋_GB2312"/>
          <w:b/>
          <w:bCs/>
          <w:color w:val="auto"/>
          <w:sz w:val="24"/>
          <w:szCs w:val="24"/>
          <w:highlight w:val="none"/>
          <w:lang w:val="en-US" w:eastAsia="zh-CN"/>
        </w:rPr>
        <w:t xml:space="preserve">7 </w:t>
      </w:r>
      <w:r>
        <w:rPr>
          <w:rFonts w:hint="eastAsia" w:ascii="仿宋_GB2312" w:hAnsi="仿宋_GB2312" w:eastAsia="仿宋_GB2312" w:cs="仿宋_GB2312"/>
          <w:b/>
          <w:bCs/>
          <w:color w:val="auto"/>
          <w:sz w:val="24"/>
          <w:szCs w:val="24"/>
          <w:highlight w:val="none"/>
        </w:rPr>
        <w:t>规划包含的具体建设项目</w:t>
      </w:r>
      <w:r>
        <w:rPr>
          <w:rFonts w:hint="eastAsia" w:ascii="仿宋_GB2312" w:hAnsi="仿宋_GB2312" w:eastAsia="仿宋_GB2312" w:cs="仿宋_GB2312"/>
          <w:b/>
          <w:bCs/>
          <w:color w:val="auto"/>
          <w:sz w:val="24"/>
          <w:szCs w:val="24"/>
          <w:highlight w:val="none"/>
          <w:lang w:val="en-US" w:eastAsia="zh-CN"/>
        </w:rPr>
        <w:t>及下层位规划环评</w:t>
      </w:r>
      <w:r>
        <w:rPr>
          <w:rFonts w:hint="eastAsia" w:ascii="仿宋_GB2312" w:hAnsi="仿宋_GB2312" w:eastAsia="仿宋_GB2312" w:cs="仿宋_GB2312"/>
          <w:b/>
          <w:bCs/>
          <w:color w:val="auto"/>
          <w:sz w:val="24"/>
          <w:szCs w:val="24"/>
          <w:highlight w:val="none"/>
        </w:rPr>
        <w:t>的重点内容和简化建议</w:t>
      </w:r>
      <w:bookmarkEnd w:id="34"/>
    </w:p>
    <w:p w14:paraId="1C721A86">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（1）重点关注的内容</w:t>
      </w:r>
    </w:p>
    <w:p w14:paraId="4C9D9027">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实现“规划环评与项目环评”联动机制，矿产资源勘探开发项目必须符合规划环评明确的空间布局，遵循规划环评的项目准入要求。规划</w:t>
      </w:r>
      <w:r>
        <w:rPr>
          <w:rFonts w:hint="eastAsia" w:ascii="仿宋_GB2312" w:hAnsi="仿宋_GB2312" w:eastAsia="仿宋_GB2312" w:cs="仿宋_GB2312"/>
          <w:color w:val="auto"/>
          <w:sz w:val="24"/>
          <w:szCs w:val="24"/>
          <w:lang w:eastAsia="zh-CN"/>
        </w:rPr>
        <w:t>所包含</w:t>
      </w:r>
      <w:r>
        <w:rPr>
          <w:rFonts w:hint="eastAsia" w:ascii="仿宋_GB2312" w:hAnsi="仿宋_GB2312" w:eastAsia="仿宋_GB2312" w:cs="仿宋_GB2312"/>
          <w:color w:val="auto"/>
          <w:sz w:val="24"/>
          <w:szCs w:val="24"/>
        </w:rPr>
        <w:t>建设项目，应严格遵守《重庆市生态保护红线》以及依法设立的各级各类保护区域相关法律法规规定和要求，重点评价项目建设对区域生态系统、水环境、土壤环境、环境风险等环境影响的途径、范围和程度，深入论证生态修复工程、环境保护措施的可行性，强调对项目评价范围内生态环境敏感点的预测评价，提出细化的避让和环保措施，并进行经济技术评价和环境效应分析。对于本次规划环评识别出的可能影响到生态环境敏感区的项目，环境影响评价工作应及早介入，提出相应的减缓措施和建议，具体建设项目的性质、污染因子等在本次评价中未作评价的，其环境影响评价的内容不得简化。</w:t>
      </w:r>
    </w:p>
    <w:p w14:paraId="3E01A394">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（2）可简化的内容</w:t>
      </w:r>
    </w:p>
    <w:p w14:paraId="74BC0709">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rPr>
        <w:t>对符合规划环评环境管控要求和生态环境准入清单的矿产资源</w:t>
      </w:r>
      <w:r>
        <w:rPr>
          <w:rFonts w:hint="eastAsia" w:ascii="仿宋_GB2312" w:hAnsi="仿宋_GB2312" w:eastAsia="仿宋_GB2312" w:cs="仿宋_GB2312"/>
          <w:color w:val="auto"/>
          <w:sz w:val="24"/>
          <w:szCs w:val="24"/>
          <w:lang w:eastAsia="zh-CN"/>
        </w:rPr>
        <w:t>勘查</w:t>
      </w:r>
      <w:r>
        <w:rPr>
          <w:rFonts w:hint="eastAsia" w:ascii="仿宋_GB2312" w:hAnsi="仿宋_GB2312" w:eastAsia="仿宋_GB2312" w:cs="仿宋_GB2312"/>
          <w:color w:val="auto"/>
          <w:sz w:val="24"/>
          <w:szCs w:val="24"/>
        </w:rPr>
        <w:t>开发具体项目，将规划环评结论作为重要依据，其环评文件中选址选线、规模分析内容可适当简化；当规划环评资源、环境现状调查与评价结果仍具有时效性时，规划所包含的建设项目环评文件中现状调查与评价内容可适当简化。对涉及到的大气特征因子、矿区评价范围内地下水、土壤环境质量现状无有效引用资料时应进行实测</w:t>
      </w:r>
      <w:r>
        <w:rPr>
          <w:rFonts w:hint="eastAsia" w:ascii="仿宋_GB2312" w:hAnsi="仿宋_GB2312" w:eastAsia="仿宋_GB2312" w:cs="仿宋_GB2312"/>
          <w:color w:val="auto"/>
          <w:sz w:val="24"/>
          <w:szCs w:val="24"/>
          <w:highlight w:val="none"/>
        </w:rPr>
        <w:t>。</w:t>
      </w:r>
    </w:p>
    <w:p w14:paraId="743ACF47">
      <w:pPr>
        <w:keepNext w:val="0"/>
        <w:keepLines w:val="0"/>
        <w:pageBreakBefore w:val="0"/>
        <w:widowControl w:val="0"/>
        <w:kinsoku/>
        <w:wordWrap/>
        <w:overflowPunct/>
        <w:topLinePunct w:val="0"/>
        <w:autoSpaceDE/>
        <w:autoSpaceDN/>
        <w:bidi w:val="0"/>
        <w:adjustRightInd w:val="0"/>
        <w:snapToGrid w:val="0"/>
        <w:spacing w:before="120" w:beforeLines="50" w:after="120" w:afterLines="50"/>
        <w:jc w:val="both"/>
        <w:textAlignment w:val="auto"/>
        <w:outlineLvl w:val="0"/>
        <w:rPr>
          <w:rFonts w:hint="eastAsia" w:ascii="仿宋_GB2312" w:hAnsi="仿宋_GB2312" w:eastAsia="仿宋_GB2312" w:cs="仿宋_GB2312"/>
          <w:b/>
          <w:bCs/>
          <w:color w:val="auto"/>
          <w:sz w:val="26"/>
          <w:szCs w:val="26"/>
          <w:highlight w:val="none"/>
        </w:rPr>
      </w:pPr>
      <w:bookmarkStart w:id="35" w:name="_Toc5826"/>
      <w:bookmarkStart w:id="36" w:name="_Toc2669"/>
      <w:r>
        <w:rPr>
          <w:rFonts w:hint="eastAsia" w:ascii="仿宋_GB2312" w:hAnsi="仿宋_GB2312" w:eastAsia="仿宋_GB2312" w:cs="仿宋_GB2312"/>
          <w:b/>
          <w:bCs/>
          <w:color w:val="auto"/>
          <w:sz w:val="26"/>
          <w:szCs w:val="26"/>
          <w:highlight w:val="none"/>
          <w:lang w:val="en-US" w:eastAsia="zh-CN"/>
        </w:rPr>
        <w:t>8</w:t>
      </w:r>
      <w:r>
        <w:rPr>
          <w:rFonts w:hint="eastAsia" w:ascii="仿宋_GB2312" w:hAnsi="仿宋_GB2312" w:eastAsia="仿宋_GB2312" w:cs="仿宋_GB2312"/>
          <w:b/>
          <w:bCs/>
          <w:color w:val="auto"/>
          <w:sz w:val="26"/>
          <w:szCs w:val="26"/>
          <w:highlight w:val="none"/>
        </w:rPr>
        <w:t xml:space="preserve"> 跟踪评价方案</w:t>
      </w:r>
      <w:bookmarkEnd w:id="35"/>
      <w:bookmarkEnd w:id="36"/>
    </w:p>
    <w:p w14:paraId="53C29747">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建议在下一阶段重庆市巫溪县矿产资源总体规划（2026-2030年）编制同时同步编制规划环评，并将跟踪评价纳入到规划环评内容中，不需要单独编制跟踪评价报告。由巫溪县</w:t>
      </w:r>
      <w:r>
        <w:rPr>
          <w:rFonts w:hint="eastAsia" w:ascii="仿宋_GB2312" w:hAnsi="仿宋_GB2312" w:eastAsia="仿宋_GB2312" w:cs="仿宋_GB2312"/>
          <w:color w:val="auto"/>
          <w:sz w:val="24"/>
          <w:szCs w:val="24"/>
          <w:highlight w:val="none"/>
          <w:lang w:eastAsia="zh-CN"/>
        </w:rPr>
        <w:t>规划和自然资源局</w:t>
      </w:r>
      <w:r>
        <w:rPr>
          <w:rFonts w:hint="eastAsia" w:ascii="仿宋_GB2312" w:hAnsi="仿宋_GB2312" w:eastAsia="仿宋_GB2312" w:cs="仿宋_GB2312"/>
          <w:color w:val="auto"/>
          <w:sz w:val="24"/>
          <w:szCs w:val="24"/>
          <w:highlight w:val="none"/>
        </w:rPr>
        <w:t>或相关责任部门负责组织实施。</w:t>
      </w:r>
    </w:p>
    <w:p w14:paraId="26F54A48">
      <w:pPr>
        <w:keepNext w:val="0"/>
        <w:keepLines w:val="0"/>
        <w:pageBreakBefore w:val="0"/>
        <w:widowControl w:val="0"/>
        <w:kinsoku/>
        <w:wordWrap/>
        <w:overflowPunct/>
        <w:topLinePunct w:val="0"/>
        <w:autoSpaceDE/>
        <w:autoSpaceDN/>
        <w:bidi w:val="0"/>
        <w:adjustRightInd w:val="0"/>
        <w:snapToGrid w:val="0"/>
        <w:spacing w:before="120" w:beforeLines="50" w:after="120" w:afterLines="50"/>
        <w:jc w:val="both"/>
        <w:textAlignment w:val="auto"/>
        <w:outlineLvl w:val="0"/>
        <w:rPr>
          <w:rFonts w:hint="eastAsia" w:ascii="仿宋_GB2312" w:hAnsi="仿宋_GB2312" w:eastAsia="仿宋_GB2312" w:cs="仿宋_GB2312"/>
          <w:b/>
          <w:bCs/>
          <w:color w:val="auto"/>
          <w:sz w:val="26"/>
          <w:szCs w:val="26"/>
          <w:highlight w:val="none"/>
        </w:rPr>
      </w:pPr>
      <w:bookmarkStart w:id="37" w:name="_Toc5061"/>
      <w:bookmarkStart w:id="38" w:name="_Toc7267"/>
      <w:r>
        <w:rPr>
          <w:rFonts w:hint="eastAsia" w:ascii="仿宋_GB2312" w:hAnsi="仿宋_GB2312" w:eastAsia="仿宋_GB2312" w:cs="仿宋_GB2312"/>
          <w:b/>
          <w:bCs/>
          <w:color w:val="auto"/>
          <w:sz w:val="26"/>
          <w:szCs w:val="26"/>
          <w:highlight w:val="none"/>
          <w:lang w:val="en-US" w:eastAsia="zh-CN"/>
        </w:rPr>
        <w:t>9</w:t>
      </w:r>
      <w:r>
        <w:rPr>
          <w:rFonts w:hint="eastAsia" w:ascii="仿宋_GB2312" w:hAnsi="仿宋_GB2312" w:eastAsia="仿宋_GB2312" w:cs="仿宋_GB2312"/>
          <w:b/>
          <w:bCs/>
          <w:color w:val="auto"/>
          <w:sz w:val="26"/>
          <w:szCs w:val="26"/>
          <w:highlight w:val="none"/>
        </w:rPr>
        <w:t xml:space="preserve"> 公众参与</w:t>
      </w:r>
      <w:bookmarkEnd w:id="37"/>
      <w:bookmarkEnd w:id="38"/>
    </w:p>
    <w:p w14:paraId="61E5449E">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本规划环评第一次公示时间于20</w:t>
      </w:r>
      <w:r>
        <w:rPr>
          <w:rFonts w:hint="eastAsia" w:ascii="仿宋_GB2312" w:hAnsi="仿宋_GB2312" w:eastAsia="仿宋_GB2312" w:cs="仿宋_GB2312"/>
          <w:color w:val="auto"/>
          <w:sz w:val="24"/>
          <w:szCs w:val="24"/>
          <w:highlight w:val="none"/>
          <w:lang w:val="en-US" w:eastAsia="zh-CN"/>
        </w:rPr>
        <w:t>20</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29</w:t>
      </w:r>
      <w:r>
        <w:rPr>
          <w:rFonts w:hint="eastAsia" w:ascii="仿宋_GB2312" w:hAnsi="仿宋_GB2312" w:eastAsia="仿宋_GB2312" w:cs="仿宋_GB2312"/>
          <w:color w:val="auto"/>
          <w:sz w:val="24"/>
          <w:szCs w:val="24"/>
          <w:highlight w:val="none"/>
        </w:rPr>
        <w:t>日开始，</w:t>
      </w:r>
      <w:r>
        <w:rPr>
          <w:rFonts w:hint="eastAsia" w:ascii="仿宋_GB2312" w:hAnsi="仿宋_GB2312" w:eastAsia="仿宋_GB2312" w:cs="仿宋_GB2312"/>
          <w:color w:val="auto"/>
          <w:sz w:val="24"/>
          <w:szCs w:val="24"/>
          <w:highlight w:val="none"/>
          <w:lang w:eastAsia="zh-CN"/>
        </w:rPr>
        <w:t>公示以来</w:t>
      </w:r>
      <w:r>
        <w:rPr>
          <w:rFonts w:hint="eastAsia" w:ascii="仿宋_GB2312" w:hAnsi="仿宋_GB2312" w:eastAsia="仿宋_GB2312" w:cs="仿宋_GB2312"/>
          <w:color w:val="auto"/>
          <w:sz w:val="24"/>
          <w:szCs w:val="24"/>
          <w:highlight w:val="none"/>
        </w:rPr>
        <w:t>未收到任何公众的反馈意见和建议</w:t>
      </w:r>
      <w:r>
        <w:rPr>
          <w:rFonts w:hint="eastAsia" w:ascii="仿宋_GB2312" w:hAnsi="仿宋_GB2312" w:eastAsia="仿宋_GB2312" w:cs="仿宋_GB2312"/>
          <w:color w:val="auto"/>
          <w:sz w:val="24"/>
          <w:szCs w:val="24"/>
          <w:highlight w:val="none"/>
          <w:lang w:eastAsia="zh-CN"/>
        </w:rPr>
        <w:t>。</w:t>
      </w:r>
    </w:p>
    <w:p w14:paraId="21B8B409">
      <w:pPr>
        <w:keepNext w:val="0"/>
        <w:keepLines w:val="0"/>
        <w:pageBreakBefore w:val="0"/>
        <w:widowControl w:val="0"/>
        <w:kinsoku/>
        <w:wordWrap/>
        <w:overflowPunct/>
        <w:topLinePunct w:val="0"/>
        <w:autoSpaceDE/>
        <w:autoSpaceDN/>
        <w:bidi w:val="0"/>
        <w:adjustRightInd w:val="0"/>
        <w:snapToGrid w:val="0"/>
        <w:spacing w:before="120" w:beforeLines="50" w:after="120" w:afterLines="50"/>
        <w:jc w:val="both"/>
        <w:textAlignment w:val="auto"/>
        <w:outlineLvl w:val="0"/>
        <w:rPr>
          <w:rFonts w:hint="eastAsia" w:ascii="仿宋_GB2312" w:hAnsi="仿宋_GB2312" w:eastAsia="仿宋_GB2312" w:cs="仿宋_GB2312"/>
          <w:b/>
          <w:bCs/>
          <w:color w:val="auto"/>
          <w:sz w:val="26"/>
          <w:szCs w:val="26"/>
          <w:highlight w:val="none"/>
        </w:rPr>
      </w:pPr>
      <w:bookmarkStart w:id="39" w:name="_Toc28343"/>
      <w:bookmarkStart w:id="40" w:name="_Toc7217"/>
      <w:r>
        <w:rPr>
          <w:rFonts w:hint="eastAsia" w:ascii="仿宋_GB2312" w:hAnsi="仿宋_GB2312" w:eastAsia="仿宋_GB2312" w:cs="仿宋_GB2312"/>
          <w:b/>
          <w:bCs/>
          <w:color w:val="auto"/>
          <w:sz w:val="26"/>
          <w:szCs w:val="26"/>
          <w:highlight w:val="none"/>
          <w:lang w:val="en-US" w:eastAsia="zh-CN"/>
        </w:rPr>
        <w:t>10</w:t>
      </w:r>
      <w:r>
        <w:rPr>
          <w:rFonts w:hint="eastAsia" w:ascii="仿宋_GB2312" w:hAnsi="仿宋_GB2312" w:eastAsia="仿宋_GB2312" w:cs="仿宋_GB2312"/>
          <w:b/>
          <w:bCs/>
          <w:color w:val="auto"/>
          <w:sz w:val="26"/>
          <w:szCs w:val="26"/>
          <w:highlight w:val="none"/>
        </w:rPr>
        <w:t xml:space="preserve"> 综合评价结论</w:t>
      </w:r>
      <w:bookmarkEnd w:id="39"/>
      <w:bookmarkEnd w:id="40"/>
    </w:p>
    <w:bookmarkEnd w:id="4"/>
    <w:p w14:paraId="10982E30">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重庆市巫溪县矿产资源总体规划（2021-2025年）》符合国家相关政策及规划要求，与重庆市和巫溪县相关规划及政策协调，规划的实施有助于加强对巫溪县矿产资源调查评价与勘查、开发利用与保护和绿色矿业发展，促进矿产资源的科学利用和有效保护，保障国民经济和社会发展对矿产资源的需求。巫溪县资源与环境能够承载规划实施需求。虽然规划实施可能对生态、大气、水和土壤环</w:t>
      </w:r>
      <w:bookmarkStart w:id="41" w:name="_GoBack"/>
      <w:bookmarkEnd w:id="41"/>
      <w:r>
        <w:rPr>
          <w:rFonts w:hint="eastAsia" w:ascii="仿宋_GB2312" w:hAnsi="仿宋_GB2312" w:eastAsia="仿宋_GB2312" w:cs="仿宋_GB2312"/>
          <w:color w:val="auto"/>
          <w:sz w:val="24"/>
          <w:szCs w:val="24"/>
          <w:highlight w:val="none"/>
        </w:rPr>
        <w:t>境产生一定影响，但通过采取行之有效的环境影响减缓措施和污染防治措施，强化“三线一单”硬约束作用，严格空间管控、总量调控、环境准入，并在落实国家、重庆市及巫溪县相关法律法规、政策规划和生态空间管控要求</w:t>
      </w:r>
      <w:r>
        <w:rPr>
          <w:rFonts w:hint="eastAsia" w:ascii="仿宋_GB2312" w:hAnsi="仿宋_GB2312" w:eastAsia="仿宋_GB2312" w:cs="仿宋_GB2312"/>
          <w:color w:val="auto"/>
          <w:sz w:val="24"/>
          <w:szCs w:val="24"/>
          <w:highlight w:val="none"/>
          <w:lang w:val="en-US" w:eastAsia="zh-CN"/>
        </w:rPr>
        <w:t>及优化调整建议</w:t>
      </w:r>
      <w:r>
        <w:rPr>
          <w:rFonts w:hint="eastAsia" w:ascii="仿宋_GB2312" w:hAnsi="仿宋_GB2312" w:eastAsia="仿宋_GB2312" w:cs="仿宋_GB2312"/>
          <w:color w:val="auto"/>
          <w:sz w:val="24"/>
          <w:szCs w:val="24"/>
          <w:highlight w:val="none"/>
        </w:rPr>
        <w:t>后，可从源头上缓解或降低这些影响，环境目标可达。</w:t>
      </w:r>
    </w:p>
    <w:p w14:paraId="39CE9589">
      <w:pPr>
        <w:keepNext w:val="0"/>
        <w:keepLines w:val="0"/>
        <w:pageBreakBefore w:val="0"/>
        <w:widowControl w:val="0"/>
        <w:kinsoku/>
        <w:overflowPunct/>
        <w:topLinePunct w:val="0"/>
        <w:bidi w:val="0"/>
        <w:spacing w:after="0" w:line="460" w:lineRule="exact"/>
        <w:ind w:firstLine="480"/>
        <w:jc w:val="both"/>
        <w:rPr>
          <w:rFonts w:hint="eastAsia" w:ascii="仿宋_GB2312" w:hAnsi="仿宋_GB2312" w:eastAsia="仿宋_GB2312" w:cs="仿宋_GB2312"/>
          <w:b/>
          <w:bCs/>
          <w:color w:val="auto"/>
          <w:kern w:val="0"/>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color w:val="auto"/>
          <w:sz w:val="24"/>
          <w:szCs w:val="24"/>
          <w:highlight w:val="none"/>
        </w:rPr>
        <w:t>从环境保护角度分析，规划方案总体可行</w:t>
      </w:r>
    </w:p>
    <w:p w14:paraId="41F0DE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98E39">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ED4501"/>
    <w:multiLevelType w:val="singleLevel"/>
    <w:tmpl w:val="BDED4501"/>
    <w:lvl w:ilvl="0" w:tentative="0">
      <w:start w:val="1"/>
      <w:numFmt w:val="decimal"/>
      <w:suff w:val="nothing"/>
      <w:lvlText w:val="（%1）"/>
      <w:lvlJc w:val="left"/>
      <w:pPr>
        <w:ind w:left="0" w:firstLine="420"/>
      </w:pPr>
      <w:rPr>
        <w:rFonts w:hint="default"/>
      </w:rPr>
    </w:lvl>
  </w:abstractNum>
  <w:abstractNum w:abstractNumId="1">
    <w:nsid w:val="C65985E1"/>
    <w:multiLevelType w:val="singleLevel"/>
    <w:tmpl w:val="C65985E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4D2F3F"/>
    <w:rsid w:val="2753679F"/>
    <w:rsid w:val="4E4D2F3F"/>
    <w:rsid w:val="5F877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11927</Words>
  <Characters>12653</Characters>
  <Lines>0</Lines>
  <Paragraphs>0</Paragraphs>
  <TotalTime>4</TotalTime>
  <ScaleCrop>false</ScaleCrop>
  <LinksUpToDate>false</LinksUpToDate>
  <CharactersWithSpaces>12720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2022-05-19T03:49:00Z</dcterms:created>
  <dc:creator>admin</dc:creator>
  <cp:lastModifiedBy>温星星</cp:lastModifiedBy>
  <dcterms:modified xsi:type="dcterms:W3CDTF">2025-01-20T00:48:33Z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eyJoZGlkIjoiZDRlMTI0ZmZkNWVkNDk2ZTg4NWYwOTQyMjQxMmY4NGEiLCJ1c2VySWQiOiIxMzIzODcwMDMzIn0=</vt:lpwstr>
  </property>
  <property fmtid="{D5CDD505-2E9C-101B-9397-08002B2CF9AE}" pid="4" name="ICV">
    <vt:lpwstr>2EF5BFFDB6F04353B059DE0A0DF7A15C_12</vt:lpwstr>
  </property>
</Properties>
</file>