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A02226">
      <w:pPr>
        <w:spacing w:before="156" w:beforeLines="50" w:line="594" w:lineRule="exact"/>
        <w:ind w:firstLine="880"/>
        <w:jc w:val="center"/>
        <w:rPr>
          <w:rFonts w:eastAsia="方正小标宋_GBK"/>
          <w:sz w:val="44"/>
          <w:szCs w:val="44"/>
        </w:rPr>
      </w:pPr>
      <w:bookmarkStart w:id="0" w:name="_Toc19759"/>
    </w:p>
    <w:p w14:paraId="00126A5A">
      <w:pPr>
        <w:spacing w:before="156" w:beforeLines="50" w:line="594" w:lineRule="exact"/>
        <w:ind w:firstLine="0" w:firstLineChars="0"/>
        <w:rPr>
          <w:rFonts w:eastAsia="方正小标宋_GBK"/>
          <w:sz w:val="44"/>
          <w:szCs w:val="44"/>
        </w:rPr>
      </w:pPr>
    </w:p>
    <w:p w14:paraId="7B64216E">
      <w:pPr>
        <w:spacing w:before="156" w:beforeLines="50" w:line="594" w:lineRule="exact"/>
        <w:ind w:firstLine="880"/>
        <w:jc w:val="center"/>
        <w:rPr>
          <w:rFonts w:eastAsia="方正小标宋_GBK"/>
          <w:sz w:val="44"/>
          <w:szCs w:val="44"/>
        </w:rPr>
      </w:pPr>
    </w:p>
    <w:p w14:paraId="7CAA9177">
      <w:pPr>
        <w:spacing w:before="156" w:beforeLines="50" w:line="594" w:lineRule="exact"/>
        <w:ind w:firstLine="880"/>
        <w:jc w:val="center"/>
        <w:rPr>
          <w:rFonts w:eastAsia="方正小标宋_GBK"/>
          <w:sz w:val="44"/>
          <w:szCs w:val="44"/>
        </w:rPr>
      </w:pPr>
    </w:p>
    <w:p w14:paraId="0F1A3205">
      <w:pPr>
        <w:spacing w:before="156" w:beforeLines="50" w:line="594" w:lineRule="exact"/>
        <w:ind w:firstLine="0" w:firstLineChars="0"/>
        <w:jc w:val="center"/>
        <w:rPr>
          <w:rFonts w:eastAsia="方正小标宋_GBK"/>
          <w:sz w:val="44"/>
          <w:szCs w:val="44"/>
        </w:rPr>
      </w:pPr>
      <w:r>
        <w:rPr>
          <w:rFonts w:hint="eastAsia" w:eastAsia="方正小标宋_GBK"/>
          <w:sz w:val="44"/>
          <w:szCs w:val="44"/>
        </w:rPr>
        <w:t>巫溪</w:t>
      </w:r>
      <w:r>
        <w:rPr>
          <w:rFonts w:eastAsia="方正小标宋_GBK"/>
          <w:sz w:val="44"/>
          <w:szCs w:val="44"/>
        </w:rPr>
        <w:t>县</w:t>
      </w:r>
      <w:r>
        <w:rPr>
          <w:rFonts w:hint="eastAsia" w:eastAsia="方正小标宋_GBK"/>
          <w:sz w:val="44"/>
          <w:szCs w:val="44"/>
        </w:rPr>
        <w:t>乡村地区“通则式”规划管理规定</w:t>
      </w:r>
    </w:p>
    <w:p w14:paraId="7F94D4AA">
      <w:pPr>
        <w:spacing w:before="156" w:beforeLines="50" w:line="594" w:lineRule="exact"/>
        <w:ind w:firstLine="0" w:firstLineChars="0"/>
        <w:jc w:val="center"/>
        <w:rPr>
          <w:rFonts w:eastAsia="方正小标宋_GBK"/>
          <w:sz w:val="44"/>
          <w:szCs w:val="44"/>
        </w:rPr>
      </w:pPr>
      <w:r>
        <w:rPr>
          <w:rFonts w:hint="eastAsia" w:eastAsia="方正小标宋_GBK"/>
          <w:sz w:val="44"/>
          <w:szCs w:val="44"/>
        </w:rPr>
        <w:t>（试行）</w:t>
      </w:r>
    </w:p>
    <w:p w14:paraId="34D82B61">
      <w:pPr>
        <w:ind w:firstLine="0" w:firstLineChars="0"/>
        <w:jc w:val="center"/>
        <w:rPr>
          <w:sz w:val="40"/>
          <w:szCs w:val="40"/>
        </w:rPr>
      </w:pPr>
      <w:r>
        <w:rPr>
          <w:rFonts w:hint="eastAsia"/>
          <w:sz w:val="40"/>
          <w:szCs w:val="40"/>
        </w:rPr>
        <w:t>（征求意见稿）</w:t>
      </w:r>
    </w:p>
    <w:p w14:paraId="361CADBF">
      <w:pPr>
        <w:ind w:firstLine="0" w:firstLineChars="0"/>
        <w:jc w:val="center"/>
        <w:rPr>
          <w:rFonts w:eastAsia="微软雅黑" w:cs="微软雅黑"/>
        </w:rPr>
      </w:pPr>
    </w:p>
    <w:p w14:paraId="2733F2E1">
      <w:pPr>
        <w:ind w:firstLine="0" w:firstLineChars="0"/>
        <w:jc w:val="center"/>
        <w:rPr>
          <w:rFonts w:eastAsia="微软雅黑" w:cs="微软雅黑"/>
        </w:rPr>
      </w:pPr>
    </w:p>
    <w:p w14:paraId="1D03FA8B">
      <w:pPr>
        <w:ind w:firstLine="0" w:firstLineChars="0"/>
        <w:jc w:val="center"/>
        <w:rPr>
          <w:rFonts w:eastAsia="微软雅黑" w:cs="微软雅黑"/>
        </w:rPr>
      </w:pPr>
    </w:p>
    <w:p w14:paraId="72FC8037">
      <w:pPr>
        <w:ind w:firstLine="0" w:firstLineChars="0"/>
        <w:jc w:val="center"/>
        <w:rPr>
          <w:rFonts w:eastAsia="微软雅黑" w:cs="微软雅黑"/>
        </w:rPr>
      </w:pPr>
    </w:p>
    <w:p w14:paraId="22B3224A">
      <w:pPr>
        <w:ind w:firstLine="0" w:firstLineChars="0"/>
        <w:jc w:val="center"/>
        <w:rPr>
          <w:rFonts w:eastAsia="微软雅黑" w:cs="微软雅黑"/>
        </w:rPr>
      </w:pPr>
    </w:p>
    <w:p w14:paraId="14A19C9F">
      <w:pPr>
        <w:ind w:firstLine="0" w:firstLineChars="0"/>
        <w:jc w:val="center"/>
        <w:rPr>
          <w:rFonts w:eastAsia="微软雅黑" w:cs="微软雅黑"/>
        </w:rPr>
      </w:pPr>
    </w:p>
    <w:p w14:paraId="4F11D772">
      <w:pPr>
        <w:ind w:firstLine="0" w:firstLineChars="0"/>
        <w:jc w:val="center"/>
        <w:rPr>
          <w:rFonts w:eastAsia="微软雅黑" w:cs="微软雅黑"/>
        </w:rPr>
      </w:pPr>
    </w:p>
    <w:p w14:paraId="06127A95">
      <w:pPr>
        <w:ind w:firstLine="0" w:firstLineChars="0"/>
        <w:jc w:val="center"/>
        <w:rPr>
          <w:rFonts w:eastAsia="微软雅黑" w:cs="微软雅黑"/>
        </w:rPr>
      </w:pPr>
    </w:p>
    <w:p w14:paraId="632334A2">
      <w:pPr>
        <w:ind w:firstLine="0" w:firstLineChars="0"/>
        <w:jc w:val="center"/>
        <w:rPr>
          <w:rFonts w:eastAsia="微软雅黑" w:cs="微软雅黑"/>
        </w:rPr>
      </w:pPr>
    </w:p>
    <w:p w14:paraId="1625E3C2">
      <w:pPr>
        <w:ind w:firstLine="0" w:firstLineChars="0"/>
        <w:jc w:val="center"/>
        <w:rPr>
          <w:rFonts w:eastAsia="微软雅黑" w:cs="微软雅黑"/>
        </w:rPr>
      </w:pPr>
    </w:p>
    <w:p w14:paraId="16498D5B">
      <w:pPr>
        <w:ind w:firstLine="0" w:firstLineChars="0"/>
        <w:jc w:val="center"/>
        <w:rPr>
          <w:rFonts w:eastAsia="微软雅黑" w:cs="微软雅黑"/>
        </w:rPr>
      </w:pPr>
    </w:p>
    <w:p w14:paraId="4BFF2AAE">
      <w:pPr>
        <w:ind w:firstLine="0" w:firstLineChars="0"/>
        <w:jc w:val="center"/>
        <w:rPr>
          <w:rFonts w:eastAsia="微软雅黑" w:cs="微软雅黑"/>
        </w:rPr>
      </w:pPr>
      <w:r>
        <w:rPr>
          <w:rFonts w:hint="eastAsia" w:eastAsia="微软雅黑" w:cs="微软雅黑"/>
        </w:rPr>
        <w:t>巫溪</w:t>
      </w:r>
      <w:r>
        <w:rPr>
          <w:rFonts w:eastAsia="微软雅黑" w:cs="微软雅黑"/>
        </w:rPr>
        <w:t>县</w:t>
      </w:r>
      <w:r>
        <w:rPr>
          <w:rFonts w:hint="eastAsia" w:eastAsia="微软雅黑" w:cs="微软雅黑"/>
        </w:rPr>
        <w:t>规划和自然资源局</w:t>
      </w:r>
    </w:p>
    <w:p w14:paraId="426ADCEA">
      <w:pPr>
        <w:ind w:firstLine="0" w:firstLineChars="0"/>
        <w:jc w:val="center"/>
        <w:rPr>
          <w:rFonts w:eastAsia="微软雅黑" w:cs="微软雅黑"/>
        </w:rPr>
      </w:pPr>
      <w:r>
        <w:rPr>
          <w:rFonts w:hint="eastAsia" w:eastAsia="微软雅黑" w:cs="微软雅黑"/>
        </w:rPr>
        <w:t>二〇二六年七月</w:t>
      </w:r>
    </w:p>
    <w:p w14:paraId="00908D0B">
      <w:pPr>
        <w:pStyle w:val="4"/>
        <w:adjustRightInd/>
        <w:snapToGrid/>
        <w:spacing w:before="340" w:after="330"/>
        <w:rPr>
          <w:bCs/>
        </w:rPr>
        <w:sectPr>
          <w:headerReference r:id="rId5" w:type="default"/>
          <w:footerReference r:id="rId6" w:type="default"/>
          <w:pgSz w:w="11906" w:h="16838"/>
          <w:pgMar w:top="1701" w:right="1474" w:bottom="1191" w:left="1587" w:header="851" w:footer="992" w:gutter="0"/>
          <w:cols w:space="425" w:num="1"/>
          <w:docGrid w:type="lines" w:linePitch="312" w:charSpace="0"/>
        </w:sectPr>
      </w:pPr>
    </w:p>
    <w:p w14:paraId="1BF93DD9">
      <w:pPr>
        <w:pStyle w:val="4"/>
        <w:adjustRightInd/>
        <w:snapToGrid/>
        <w:spacing w:before="340" w:after="330"/>
        <w:rPr>
          <w:bCs/>
        </w:rPr>
      </w:pPr>
      <w:r>
        <w:rPr>
          <w:rFonts w:hint="eastAsia"/>
          <w:bCs/>
        </w:rPr>
        <w:t>第一章  总  则</w:t>
      </w:r>
      <w:bookmarkEnd w:id="0"/>
    </w:p>
    <w:p w14:paraId="26E9B697">
      <w:pPr>
        <w:pStyle w:val="5"/>
        <w:ind w:firstLine="643"/>
        <w:rPr>
          <w:rFonts w:hint="eastAsia" w:ascii="Times New Roman" w:hAnsi="Times New Roman"/>
        </w:rPr>
      </w:pPr>
      <w:bookmarkStart w:id="1" w:name="_Toc31982"/>
      <w:r>
        <w:rPr>
          <w:rFonts w:hint="eastAsia" w:ascii="Times New Roman" w:hAnsi="Times New Roman"/>
        </w:rPr>
        <w:t>第一条 编制</w:t>
      </w:r>
      <w:bookmarkEnd w:id="1"/>
      <w:r>
        <w:rPr>
          <w:rFonts w:hint="eastAsia" w:ascii="Times New Roman" w:hAnsi="Times New Roman"/>
        </w:rPr>
        <w:t>背景</w:t>
      </w:r>
    </w:p>
    <w:p w14:paraId="3F96AF18">
      <w:r>
        <w:rPr>
          <w:rFonts w:hint="eastAsia"/>
        </w:rPr>
        <w:t>为</w:t>
      </w:r>
      <w:r>
        <w:t>规范乡村</w:t>
      </w:r>
      <w:r>
        <w:rPr>
          <w:rFonts w:hint="eastAsia"/>
        </w:rPr>
        <w:t>地区</w:t>
      </w:r>
      <w:r>
        <w:t>规划管理</w:t>
      </w:r>
      <w:r>
        <w:rPr>
          <w:rFonts w:hint="eastAsia"/>
        </w:rPr>
        <w:t>，加快实现</w:t>
      </w:r>
      <w:r>
        <w:t>乡村</w:t>
      </w:r>
      <w:r>
        <w:rPr>
          <w:rFonts w:hint="eastAsia"/>
        </w:rPr>
        <w:t>地区</w:t>
      </w:r>
      <w:r>
        <w:t>规划管理全覆盖，</w:t>
      </w:r>
      <w:r>
        <w:rPr>
          <w:rFonts w:hint="eastAsia"/>
        </w:rPr>
        <w:t>根据《中共中央 国务院关于锚定</w:t>
      </w:r>
      <w:r>
        <w:t>农业农村现代化</w:t>
      </w:r>
      <w:r>
        <w:rPr>
          <w:rFonts w:hint="eastAsia"/>
        </w:rPr>
        <w:t>扎实</w:t>
      </w:r>
      <w:r>
        <w:t>推进乡村全面振兴的意见</w:t>
      </w:r>
      <w:r>
        <w:rPr>
          <w:rFonts w:hint="eastAsia"/>
        </w:rPr>
        <w:t>》（中发〔2026〕1号）、</w:t>
      </w:r>
      <w:r>
        <w:rPr>
          <w:rFonts w:hint="eastAsia"/>
        </w:rPr>
        <w:fldChar w:fldCharType="begin"/>
      </w:r>
      <w:r>
        <w:rPr>
          <w:rFonts w:hint="eastAsia"/>
        </w:rPr>
        <w:instrText xml:space="preserve"> REF _Ref233798367 \h </w:instrText>
      </w:r>
      <w:r>
        <w:instrText xml:space="preserve"> \* MERGEFORMAT </w:instrText>
      </w:r>
      <w:r>
        <w:rPr>
          <w:rFonts w:hint="eastAsia"/>
        </w:rPr>
        <w:fldChar w:fldCharType="separate"/>
      </w:r>
      <w:r>
        <w:rPr>
          <w:rFonts w:hint="eastAsia"/>
        </w:rPr>
        <w:t>《自然资源部办公厅关于乡村地区“通则式”规划技术管理规定编制要求的通知》（自然资办发〔2025〕13号）</w:t>
      </w:r>
      <w:r>
        <w:rPr>
          <w:rFonts w:hint="eastAsia"/>
        </w:rPr>
        <w:fldChar w:fldCharType="end"/>
      </w:r>
      <w:r>
        <w:rPr>
          <w:rFonts w:hint="eastAsia"/>
        </w:rPr>
        <w:t>和</w:t>
      </w:r>
      <w:r>
        <w:rPr>
          <w:rFonts w:hint="eastAsia"/>
        </w:rPr>
        <w:fldChar w:fldCharType="begin"/>
      </w:r>
      <w:r>
        <w:rPr>
          <w:rFonts w:hint="eastAsia"/>
        </w:rPr>
        <w:instrText xml:space="preserve"> REF _Ref233798505 \h </w:instrText>
      </w:r>
      <w:r>
        <w:instrText xml:space="preserve"> \* MERGEFORMAT </w:instrText>
      </w:r>
      <w:r>
        <w:rPr>
          <w:rFonts w:hint="eastAsia"/>
        </w:rPr>
        <w:fldChar w:fldCharType="separate"/>
      </w:r>
      <w:r>
        <w:rPr>
          <w:rFonts w:hint="eastAsia"/>
        </w:rPr>
        <w:t>《重庆市乡村地区“通则式”规划管理规定编制工作指引（试行）》（渝规资〔2026〕145号）</w:t>
      </w:r>
      <w:r>
        <w:rPr>
          <w:rFonts w:hint="eastAsia"/>
        </w:rPr>
        <w:fldChar w:fldCharType="end"/>
      </w:r>
      <w:r>
        <w:rPr>
          <w:rFonts w:hint="eastAsia"/>
        </w:rPr>
        <w:t>等</w:t>
      </w:r>
      <w:r>
        <w:t>文件要求，</w:t>
      </w:r>
      <w:r>
        <w:rPr>
          <w:rFonts w:hint="eastAsia"/>
        </w:rPr>
        <w:t>结合巫溪</w:t>
      </w:r>
      <w:r>
        <w:t>县</w:t>
      </w:r>
      <w:r>
        <w:rPr>
          <w:rFonts w:hint="eastAsia"/>
        </w:rPr>
        <w:t>乡村</w:t>
      </w:r>
      <w:r>
        <w:t>地区</w:t>
      </w:r>
      <w:r>
        <w:rPr>
          <w:rFonts w:hint="eastAsia"/>
        </w:rPr>
        <w:t>发展实际，制定《巫溪</w:t>
      </w:r>
      <w:r>
        <w:t>县</w:t>
      </w:r>
      <w:r>
        <w:rPr>
          <w:rFonts w:hint="eastAsia"/>
        </w:rPr>
        <w:t>乡村地区“通则式”规划管理规定》（以下简称“通则”）。</w:t>
      </w:r>
    </w:p>
    <w:p w14:paraId="3C7F211A">
      <w:pPr>
        <w:pStyle w:val="5"/>
        <w:ind w:firstLine="643"/>
        <w:rPr>
          <w:rFonts w:hint="eastAsia" w:ascii="Times New Roman" w:hAnsi="Times New Roman"/>
        </w:rPr>
      </w:pPr>
      <w:r>
        <w:rPr>
          <w:rFonts w:hint="eastAsia" w:ascii="Times New Roman" w:hAnsi="Times New Roman"/>
        </w:rPr>
        <w:t>第二条 编制目的</w:t>
      </w:r>
    </w:p>
    <w:p w14:paraId="2B997038">
      <w:pPr>
        <w:rPr>
          <w:rFonts w:hint="eastAsia"/>
        </w:rPr>
      </w:pPr>
      <w:r>
        <w:rPr>
          <w:rFonts w:hint="eastAsia"/>
        </w:rPr>
        <w:t>“通则”是</w:t>
      </w:r>
      <w:r>
        <w:t>巫溪县</w:t>
      </w:r>
      <w:r>
        <w:rPr>
          <w:rFonts w:hint="eastAsia"/>
        </w:rPr>
        <w:t>国土</w:t>
      </w:r>
      <w:r>
        <w:t>空间</w:t>
      </w:r>
      <w:r>
        <w:rPr>
          <w:rFonts w:hint="eastAsia"/>
        </w:rPr>
        <w:t>规划</w:t>
      </w:r>
      <w:r>
        <w:t>管理体系</w:t>
      </w:r>
      <w:r>
        <w:rPr>
          <w:rFonts w:hint="eastAsia"/>
        </w:rPr>
        <w:t>的</w:t>
      </w:r>
      <w:r>
        <w:t>重要</w:t>
      </w:r>
      <w:r>
        <w:rPr>
          <w:rFonts w:hint="eastAsia"/>
        </w:rPr>
        <w:t>组成</w:t>
      </w:r>
      <w:r>
        <w:t>部分，与村庄规划共同实现</w:t>
      </w:r>
      <w:r>
        <w:rPr>
          <w:rFonts w:hint="eastAsia"/>
        </w:rPr>
        <w:t>巫溪</w:t>
      </w:r>
      <w:r>
        <w:t>县乡村地区规划管理全覆盖</w:t>
      </w:r>
      <w:r>
        <w:rPr>
          <w:rFonts w:hint="eastAsia"/>
        </w:rPr>
        <w:t>。经依法审批后，作为巫溪</w:t>
      </w:r>
      <w:r>
        <w:t>县</w:t>
      </w:r>
      <w:r>
        <w:rPr>
          <w:rFonts w:hint="eastAsia"/>
        </w:rPr>
        <w:t>乡村地区开展国土空间开发保护活动、实施国土空间用途管制、核发规划许可等的依据。</w:t>
      </w:r>
    </w:p>
    <w:p w14:paraId="68B910AD">
      <w:pPr>
        <w:pStyle w:val="5"/>
        <w:ind w:firstLine="643"/>
        <w:rPr>
          <w:rFonts w:ascii="Times New Roman" w:hAnsi="Times New Roman"/>
        </w:rPr>
      </w:pPr>
      <w:bookmarkStart w:id="2" w:name="_Toc22526"/>
      <w:r>
        <w:rPr>
          <w:rFonts w:hint="eastAsia" w:ascii="Times New Roman" w:hAnsi="Times New Roman"/>
        </w:rPr>
        <w:t>第三条 适用范围</w:t>
      </w:r>
      <w:bookmarkEnd w:id="2"/>
    </w:p>
    <w:p w14:paraId="171CF8B7">
      <w:r>
        <w:rPr>
          <w:rFonts w:hint="eastAsia"/>
        </w:rPr>
        <w:t>“通则”适用于城镇开发边界外的</w:t>
      </w:r>
      <w:r>
        <w:t>乡村地区</w:t>
      </w:r>
      <w:r>
        <w:rPr>
          <w:rFonts w:hint="eastAsia"/>
        </w:rPr>
        <w:t>，具体</w:t>
      </w:r>
      <w:r>
        <w:t>包括</w:t>
      </w:r>
      <w:r>
        <w:rPr>
          <w:rFonts w:hint="eastAsia"/>
        </w:rPr>
        <w:t>：一是城镇开发</w:t>
      </w:r>
      <w:r>
        <w:t>边界</w:t>
      </w:r>
      <w:r>
        <w:rPr>
          <w:rFonts w:hint="eastAsia"/>
        </w:rPr>
        <w:t>外无需</w:t>
      </w:r>
      <w:r>
        <w:t>编制</w:t>
      </w:r>
      <w:r>
        <w:rPr>
          <w:rFonts w:hint="eastAsia"/>
        </w:rPr>
        <w:t>村庄</w:t>
      </w:r>
      <w:r>
        <w:t>规划</w:t>
      </w:r>
      <w:r>
        <w:rPr>
          <w:rFonts w:hint="eastAsia"/>
        </w:rPr>
        <w:t>的</w:t>
      </w:r>
      <w:r>
        <w:t>乡村地区</w:t>
      </w:r>
      <w:r>
        <w:rPr>
          <w:rFonts w:hint="eastAsia"/>
        </w:rPr>
        <w:t>；二是已批复的</w:t>
      </w:r>
      <w:r>
        <w:t>村庄规划</w:t>
      </w:r>
      <w:r>
        <w:rPr>
          <w:rFonts w:hint="eastAsia"/>
        </w:rPr>
        <w:t>经评估不再适用的乡村地区。</w:t>
      </w:r>
    </w:p>
    <w:p w14:paraId="279B5B9A">
      <w:pPr>
        <w:rPr>
          <w:rFonts w:hint="default" w:eastAsia="方正仿宋_GBK"/>
          <w:highlight w:val="yellow"/>
          <w:lang w:val="en-US" w:eastAsia="zh-CN"/>
        </w:rPr>
      </w:pPr>
      <w:r>
        <w:rPr>
          <w:rFonts w:hint="eastAsia"/>
        </w:rPr>
        <w:t>已批复的村庄规划经评估仍适用</w:t>
      </w:r>
      <w:r>
        <w:rPr>
          <w:rFonts w:hint="eastAsia"/>
          <w:lang w:eastAsia="zh-CN"/>
        </w:rPr>
        <w:t>（不含项目式村庄规划）</w:t>
      </w:r>
      <w:r>
        <w:rPr>
          <w:rFonts w:hint="eastAsia"/>
        </w:rPr>
        <w:t>或经县规划自然资源局同意确需编制村庄规划的乡村</w:t>
      </w:r>
      <w:r>
        <w:t>地区</w:t>
      </w:r>
      <w:r>
        <w:rPr>
          <w:rFonts w:hint="eastAsia"/>
        </w:rPr>
        <w:t>，仍以村庄规划作为规划建设管理依据。</w:t>
      </w:r>
    </w:p>
    <w:p w14:paraId="0FF4AB98">
      <w:pPr>
        <w:rPr>
          <w:rFonts w:hint="eastAsia"/>
        </w:rPr>
      </w:pPr>
      <w:r>
        <w:rPr>
          <w:rFonts w:hint="eastAsia"/>
        </w:rPr>
        <w:t>城镇开发边界内暂未编制详细规划的乡村</w:t>
      </w:r>
      <w:r>
        <w:t>地区，</w:t>
      </w:r>
      <w:r>
        <w:rPr>
          <w:rFonts w:hint="eastAsia"/>
        </w:rPr>
        <w:t>确需进行乡村建设的，由县人民政府出具地块近期不进行城镇建设、不影响重大项目实施的论证材料，可参照“通则”执行。</w:t>
      </w:r>
    </w:p>
    <w:p w14:paraId="0853826D">
      <w:pPr>
        <w:rPr>
          <w:rFonts w:hint="default"/>
          <w:lang w:val="en-US" w:eastAsia="zh-CN"/>
        </w:rPr>
      </w:pPr>
      <w:r>
        <w:rPr>
          <w:rFonts w:hint="eastAsia"/>
        </w:rPr>
        <w:t>红池坝</w:t>
      </w:r>
      <w:r>
        <w:t>市级风景名胜区</w:t>
      </w:r>
      <w:r>
        <w:rPr>
          <w:rFonts w:hint="eastAsia"/>
          <w:lang w:eastAsia="zh-CN"/>
        </w:rPr>
        <w:t>、</w:t>
      </w:r>
      <w:r>
        <w:rPr>
          <w:rFonts w:hint="eastAsia"/>
          <w:lang w:val="en-US" w:eastAsia="zh-CN"/>
        </w:rPr>
        <w:t>重庆长江三峡国际风景名胜区（巫溪段）</w:t>
      </w:r>
      <w:r>
        <w:rPr>
          <w:rFonts w:hint="eastAsia"/>
        </w:rPr>
        <w:t>内</w:t>
      </w:r>
      <w:r>
        <w:t>，</w:t>
      </w:r>
      <w:r>
        <w:rPr>
          <w:rFonts w:hint="eastAsia"/>
        </w:rPr>
        <w:t>对于</w:t>
      </w:r>
      <w:r>
        <w:t>国有</w:t>
      </w:r>
      <w:r>
        <w:rPr>
          <w:rFonts w:hint="eastAsia"/>
        </w:rPr>
        <w:t>土地</w:t>
      </w:r>
      <w:r>
        <w:t>上的建设项目</w:t>
      </w:r>
      <w:r>
        <w:rPr>
          <w:rFonts w:hint="eastAsia"/>
        </w:rPr>
        <w:t>，</w:t>
      </w:r>
      <w:r>
        <w:t>需编制</w:t>
      </w:r>
      <w:r>
        <w:rPr>
          <w:rFonts w:hint="eastAsia"/>
        </w:rPr>
        <w:t>详细</w:t>
      </w:r>
      <w:r>
        <w:t>规划</w:t>
      </w:r>
      <w:r>
        <w:rPr>
          <w:rFonts w:hint="eastAsia"/>
        </w:rPr>
        <w:t>作为规划建设管理依据；对于</w:t>
      </w:r>
      <w:r>
        <w:t>集体土地上的建设项目</w:t>
      </w:r>
      <w:r>
        <w:rPr>
          <w:rFonts w:hint="eastAsia"/>
        </w:rPr>
        <w:t>，可参照“通则”执行。</w:t>
      </w:r>
    </w:p>
    <w:p w14:paraId="27AD8418">
      <w:pPr>
        <w:rPr>
          <w:rFonts w:hint="eastAsia"/>
        </w:rPr>
      </w:pPr>
      <w:r>
        <w:rPr>
          <w:rFonts w:hint="eastAsia"/>
        </w:rPr>
        <w:t>位于历史文化名镇、名村以及</w:t>
      </w:r>
      <w:r>
        <w:t>传统村落</w:t>
      </w:r>
      <w:r>
        <w:rPr>
          <w:rFonts w:hint="eastAsia"/>
          <w:lang w:val="en-US" w:eastAsia="zh-CN"/>
        </w:rPr>
        <w:t>保护名录内</w:t>
      </w:r>
      <w:r>
        <w:rPr>
          <w:rFonts w:hint="eastAsia"/>
        </w:rPr>
        <w:t>的乡村地区的规划管理同时</w:t>
      </w:r>
      <w:r>
        <w:rPr>
          <w:rFonts w:hint="eastAsia"/>
          <w:lang w:val="en-US" w:eastAsia="zh-CN"/>
        </w:rPr>
        <w:t>应</w:t>
      </w:r>
      <w:r>
        <w:rPr>
          <w:rFonts w:hint="eastAsia"/>
        </w:rPr>
        <w:t>满足国家、市相关规定，并按照经批准的相关保护规划执行。</w:t>
      </w:r>
    </w:p>
    <w:p w14:paraId="1CE5A602">
      <w:pPr>
        <w:pStyle w:val="5"/>
        <w:ind w:firstLine="643"/>
        <w:rPr>
          <w:rFonts w:ascii="Times New Roman" w:hAnsi="Times New Roman"/>
        </w:rPr>
      </w:pPr>
      <w:bookmarkStart w:id="3" w:name="_Toc15699"/>
      <w:r>
        <w:rPr>
          <w:rFonts w:hint="eastAsia" w:ascii="Times New Roman" w:hAnsi="Times New Roman"/>
        </w:rPr>
        <w:t>第四条 适用情形</w:t>
      </w:r>
      <w:bookmarkEnd w:id="3"/>
    </w:p>
    <w:p w14:paraId="3D4EB53F">
      <w:r>
        <w:rPr>
          <w:rFonts w:hint="eastAsia"/>
        </w:rPr>
        <w:t>“通则”适用于乡村地区的村民住房、公共服务设施、公共基础设施、乡村产业发展等新建、改（扩）建项目以及其他符合法律法规及政策文件要求的乡村振兴促进活动涉及的用地行为。主要包括以下情形：乡村居住用地（0703、0704）、公共管理与公共服务设施用地（08）、商业服务业用地（09）、工业用地（1001）、物流仓储用地（1101）、交通运输用地（12）、公共设施用地（13）、绿地与开敞空间用地（14）、特殊用地（15）等。具体情形按</w:t>
      </w:r>
      <w:r>
        <w:rPr>
          <w:rFonts w:hint="eastAsia"/>
          <w:lang w:val="en-US" w:eastAsia="zh-CN"/>
        </w:rPr>
        <w:t>附录</w:t>
      </w:r>
      <w:r>
        <w:rPr>
          <w:rFonts w:hint="eastAsia"/>
        </w:rPr>
        <w:t>2执行。</w:t>
      </w:r>
    </w:p>
    <w:p w14:paraId="3D2D6347">
      <w:pPr>
        <w:pStyle w:val="5"/>
        <w:ind w:firstLine="643"/>
        <w:rPr>
          <w:rFonts w:ascii="Times New Roman" w:hAnsi="Times New Roman"/>
        </w:rPr>
      </w:pPr>
      <w:bookmarkStart w:id="4" w:name="_Toc18807"/>
      <w:r>
        <w:rPr>
          <w:rFonts w:hint="eastAsia" w:ascii="Times New Roman" w:hAnsi="Times New Roman"/>
        </w:rPr>
        <w:t>第五条 编制依据</w:t>
      </w:r>
      <w:bookmarkEnd w:id="4"/>
    </w:p>
    <w:p w14:paraId="7ABBCC7B">
      <w:r>
        <w:rPr>
          <w:rFonts w:hint="eastAsia"/>
        </w:rPr>
        <w:t>“通则”以国家</w:t>
      </w:r>
      <w:r>
        <w:t>和地方相关法律法规、标准规范、政策文件</w:t>
      </w:r>
      <w:r>
        <w:rPr>
          <w:rFonts w:hint="eastAsia"/>
          <w:lang w:val="en-US" w:eastAsia="zh-CN"/>
        </w:rPr>
        <w:t>等</w:t>
      </w:r>
      <w:r>
        <w:rPr>
          <w:rFonts w:hint="eastAsia"/>
        </w:rPr>
        <w:t>为编制依据（详见附</w:t>
      </w:r>
      <w:r>
        <w:rPr>
          <w:rFonts w:hint="eastAsia"/>
          <w:lang w:val="en-US" w:eastAsia="zh-CN"/>
        </w:rPr>
        <w:t>录</w:t>
      </w:r>
      <w:r>
        <w:rPr>
          <w:rFonts w:hint="eastAsia"/>
        </w:rPr>
        <w:t>1）。</w:t>
      </w:r>
    </w:p>
    <w:p w14:paraId="47BF6940">
      <w:pPr>
        <w:pStyle w:val="4"/>
        <w:adjustRightInd/>
        <w:snapToGrid/>
        <w:spacing w:before="340" w:after="330"/>
        <w:rPr>
          <w:bCs/>
        </w:rPr>
      </w:pPr>
      <w:bookmarkStart w:id="5" w:name="_Toc20703"/>
      <w:r>
        <w:rPr>
          <w:rFonts w:hint="eastAsia"/>
          <w:bCs/>
        </w:rPr>
        <w:t>第二章  底线管控</w:t>
      </w:r>
      <w:bookmarkEnd w:id="5"/>
    </w:p>
    <w:p w14:paraId="0FBCDF5A">
      <w:pPr>
        <w:pStyle w:val="5"/>
        <w:ind w:firstLine="643"/>
        <w:rPr>
          <w:rFonts w:ascii="Times New Roman" w:hAnsi="Times New Roman"/>
        </w:rPr>
      </w:pPr>
      <w:bookmarkStart w:id="6" w:name="_Toc29833"/>
      <w:r>
        <w:rPr>
          <w:rFonts w:hint="eastAsia" w:ascii="Times New Roman" w:hAnsi="Times New Roman"/>
        </w:rPr>
        <w:t>第六条 落实重要控制线管控</w:t>
      </w:r>
      <w:bookmarkEnd w:id="6"/>
    </w:p>
    <w:p w14:paraId="19D42B76">
      <w:pPr>
        <w:pStyle w:val="6"/>
        <w:numPr>
          <w:ilvl w:val="0"/>
          <w:numId w:val="2"/>
        </w:numPr>
        <w:ind w:left="0" w:firstLine="709" w:firstLineChars="0"/>
      </w:pPr>
      <w:r>
        <w:rPr>
          <w:rFonts w:hint="eastAsia"/>
        </w:rPr>
        <w:t>耕地和永久基本农田</w:t>
      </w:r>
    </w:p>
    <w:p w14:paraId="1F6629F2">
      <w:pPr>
        <w:rPr>
          <w:rFonts w:hint="eastAsia"/>
        </w:rPr>
      </w:pPr>
      <w:r>
        <w:rPr>
          <w:rFonts w:hint="eastAsia"/>
        </w:rPr>
        <w:t>严格落实上位</w:t>
      </w:r>
      <w:r>
        <w:t>规划确定的</w:t>
      </w:r>
      <w:r>
        <w:rPr>
          <w:rFonts w:hint="eastAsia"/>
        </w:rPr>
        <w:t>永久基本农田及</w:t>
      </w:r>
      <w:r>
        <w:t>《中华人民共和国土地管理法》《中华人民共和国土地管理法实施条例》《永久基本农田保护红线管理办法》</w:t>
      </w:r>
      <w:r>
        <w:rPr>
          <w:rFonts w:hint="eastAsia"/>
        </w:rPr>
        <w:t>明确</w:t>
      </w:r>
      <w:r>
        <w:t>的</w:t>
      </w:r>
      <w:r>
        <w:rPr>
          <w:rFonts w:hint="eastAsia"/>
        </w:rPr>
        <w:t>管控要求。永久基本农田经依法划定后，任何单位和个人不得擅自占用或改变其用途，确需占用的</w:t>
      </w:r>
      <w:r>
        <w:t>，</w:t>
      </w:r>
      <w:r>
        <w:rPr>
          <w:rFonts w:hint="eastAsia"/>
        </w:rPr>
        <w:t>必须符合政策规定的情形并办理相关审批手续。</w:t>
      </w:r>
    </w:p>
    <w:p w14:paraId="7EA492BF">
      <w:pPr>
        <w:rPr>
          <w:rFonts w:hint="eastAsia"/>
        </w:rPr>
      </w:pPr>
      <w:r>
        <w:rPr>
          <w:rFonts w:hint="eastAsia"/>
        </w:rPr>
        <w:t>对耕地实行特殊保护，</w:t>
      </w:r>
      <w:r>
        <w:rPr>
          <w:rFonts w:hint="eastAsia"/>
          <w:lang w:val="en-US" w:eastAsia="zh-CN"/>
        </w:rPr>
        <w:t>明确耕地保护责任和管控要求。</w:t>
      </w:r>
      <w:r>
        <w:rPr>
          <w:rFonts w:hint="eastAsia"/>
        </w:rPr>
        <w:t>任何单位和个人不得擅自占用耕地；确需占用的，</w:t>
      </w:r>
      <w:r>
        <w:rPr>
          <w:rFonts w:hint="eastAsia"/>
          <w:highlight w:val="none"/>
        </w:rPr>
        <w:t>必须符合政策规定的占用条件。除国家安排的生态退耕、自然灾</w:t>
      </w:r>
      <w:r>
        <w:rPr>
          <w:rFonts w:hint="eastAsia"/>
        </w:rPr>
        <w:t>害损毁难以复耕、河湖水面扩大造成耕地永久淹没以及国家规定的其他可不落实补充耕地的情形外，其他乡村建设行为</w:t>
      </w:r>
      <w:r>
        <w:rPr>
          <w:rFonts w:hint="eastAsia"/>
          <w:lang w:eastAsia="zh-CN"/>
        </w:rPr>
        <w:t>应</w:t>
      </w:r>
      <w:r>
        <w:rPr>
          <w:rFonts w:hint="eastAsia"/>
        </w:rPr>
        <w:t>严格落实耕地占补平衡，确保耕地占补数量、质量双到位，加强耕地数量、质量、生态“三位一体”保护。</w:t>
      </w:r>
    </w:p>
    <w:p w14:paraId="520413E8">
      <w:pPr>
        <w:pStyle w:val="6"/>
        <w:numPr>
          <w:ilvl w:val="0"/>
          <w:numId w:val="2"/>
        </w:numPr>
        <w:ind w:left="0" w:firstLine="709" w:firstLineChars="0"/>
      </w:pPr>
      <w:r>
        <w:rPr>
          <w:rFonts w:hint="eastAsia"/>
        </w:rPr>
        <w:t>生态保护红线</w:t>
      </w:r>
    </w:p>
    <w:p w14:paraId="4B2D3DE0">
      <w:pPr>
        <w:rPr>
          <w:rFonts w:hint="eastAsia"/>
        </w:rPr>
      </w:pPr>
      <w:r>
        <w:rPr>
          <w:rFonts w:hint="eastAsia"/>
        </w:rPr>
        <w:t>严格落实上位规划确定的生态保护红线及相关管控要求。生态保护红线一经划定，未经批准，严禁擅自调整；自然保护地边界调整的，依据相关批准文件，对生态保护红线做相应调整。</w:t>
      </w:r>
    </w:p>
    <w:p w14:paraId="278FDD5A">
      <w:pPr>
        <w:rPr>
          <w:rFonts w:hint="eastAsia"/>
          <w:lang w:val="en-US" w:eastAsia="zh-CN"/>
        </w:rPr>
      </w:pPr>
      <w:r>
        <w:rPr>
          <w:rFonts w:hint="eastAsia"/>
        </w:rPr>
        <w:t>生态保护红线内自然保护地核心保护区原则上禁止人为活动，其他区域禁止开发性、生产性建设活动，在符合法律法规前提下，仅允许对生态功能不造成破坏的有限人为活动，以及符合国家规定允许占用生态保护红线的国家重大项目。</w:t>
      </w:r>
      <w:r>
        <w:rPr>
          <w:rFonts w:hint="eastAsia"/>
          <w:lang w:eastAsia="zh"/>
        </w:rPr>
        <w:t>乡村建设</w:t>
      </w:r>
      <w:r>
        <w:rPr>
          <w:rFonts w:hint="eastAsia"/>
        </w:rPr>
        <w:t>位于生态保护红线内</w:t>
      </w:r>
      <w:r>
        <w:rPr>
          <w:rFonts w:hint="eastAsia"/>
          <w:lang w:eastAsia="zh-CN"/>
        </w:rPr>
        <w:t>的，应符合</w:t>
      </w:r>
      <w:r>
        <w:rPr>
          <w:rFonts w:hint="eastAsia"/>
        </w:rPr>
        <w:t>《自然资源部 生态环境部 国家林业和草原局关于加强生态保护红线管理的通知（试行）》（国办发〔2022〕27号）</w:t>
      </w:r>
      <w:r>
        <w:rPr>
          <w:rFonts w:hint="eastAsia"/>
          <w:lang w:eastAsia="zh-CN"/>
        </w:rPr>
        <w:t>、</w:t>
      </w:r>
      <w:r>
        <w:rPr>
          <w:rFonts w:hint="eastAsia"/>
        </w:rPr>
        <w:t>《重庆市规划和自然资源局 重庆市生态环境局 重庆市林业局关于加强生态保护红线实施管理的通知》（渝规资〔2023〕323 号）</w:t>
      </w:r>
      <w:r>
        <w:rPr>
          <w:rFonts w:hint="eastAsia"/>
          <w:lang w:val="en-US" w:eastAsia="zh-CN"/>
        </w:rPr>
        <w:t>等</w:t>
      </w:r>
      <w:r>
        <w:rPr>
          <w:rFonts w:eastAsia="方正仿宋_GBK"/>
          <w:szCs w:val="32"/>
        </w:rPr>
        <w:t>规定的</w:t>
      </w:r>
      <w:r>
        <w:rPr>
          <w:rFonts w:hint="eastAsia"/>
        </w:rPr>
        <w:t>有限人为活动</w:t>
      </w:r>
      <w:r>
        <w:rPr>
          <w:rFonts w:hint="eastAsia"/>
          <w:lang w:val="en-US" w:eastAsia="zh-CN"/>
        </w:rPr>
        <w:t>。</w:t>
      </w:r>
    </w:p>
    <w:p w14:paraId="46C5EBD0">
      <w:pPr>
        <w:rPr>
          <w:rFonts w:hint="eastAsia"/>
        </w:rPr>
      </w:pPr>
      <w:r>
        <w:rPr>
          <w:rFonts w:hint="eastAsia"/>
          <w:lang w:val="en-US" w:eastAsia="zh-CN"/>
        </w:rPr>
        <w:t>有限人为活动不涉及新增建设用地审批的，</w:t>
      </w:r>
      <w:r>
        <w:rPr>
          <w:rFonts w:hint="eastAsia" w:ascii="Times New Roman" w:hAnsi="Times New Roman" w:eastAsia="方正仿宋_GBK" w:cs="Times New Roman"/>
          <w:sz w:val="32"/>
          <w:szCs w:val="32"/>
          <w:lang w:eastAsia="zh-CN"/>
        </w:rPr>
        <w:t>由</w:t>
      </w:r>
      <w:r>
        <w:rPr>
          <w:rFonts w:hint="eastAsia" w:ascii="Times New Roman" w:hAnsi="Times New Roman" w:eastAsia="方正仿宋_GBK" w:cs="Times New Roman"/>
          <w:sz w:val="32"/>
          <w:szCs w:val="32"/>
          <w:lang w:val="en-US" w:eastAsia="zh-CN"/>
        </w:rPr>
        <w:t>县人民</w:t>
      </w:r>
      <w:r>
        <w:rPr>
          <w:rFonts w:hint="eastAsia" w:ascii="Times New Roman" w:hAnsi="Times New Roman" w:eastAsia="方正仿宋_GBK" w:cs="Times New Roman"/>
          <w:sz w:val="32"/>
          <w:szCs w:val="32"/>
          <w:lang w:eastAsia="zh-CN"/>
        </w:rPr>
        <w:t>政府组织开展论证并出具允许有限人为活动认定意见</w:t>
      </w:r>
      <w:r>
        <w:rPr>
          <w:rFonts w:hint="eastAsia" w:ascii="Times New Roman" w:hAnsi="Times New Roman" w:cs="Times New Roman"/>
          <w:sz w:val="32"/>
          <w:szCs w:val="32"/>
          <w:lang w:eastAsia="zh-CN"/>
        </w:rPr>
        <w:t>；</w:t>
      </w:r>
      <w:r>
        <w:rPr>
          <w:rFonts w:hint="eastAsia" w:ascii="Times New Roman" w:hAnsi="Times New Roman" w:eastAsia="方正仿宋_GBK" w:cs="Times New Roman"/>
          <w:sz w:val="32"/>
          <w:szCs w:val="32"/>
          <w:lang w:eastAsia="zh-CN"/>
        </w:rPr>
        <w:t>涉及新增建设用地</w:t>
      </w:r>
      <w:r>
        <w:rPr>
          <w:rFonts w:hint="eastAsia" w:ascii="Times New Roman" w:hAnsi="Times New Roman" w:cs="Times New Roman"/>
          <w:sz w:val="32"/>
          <w:szCs w:val="32"/>
          <w:lang w:eastAsia="zh-CN"/>
        </w:rPr>
        <w:t>审批的</w:t>
      </w:r>
      <w:r>
        <w:rPr>
          <w:rFonts w:hint="eastAsia" w:ascii="Times New Roman" w:hAnsi="Times New Roman" w:eastAsia="方正仿宋_GBK" w:cs="Times New Roman"/>
          <w:sz w:val="32"/>
          <w:szCs w:val="32"/>
          <w:lang w:eastAsia="zh-CN"/>
        </w:rPr>
        <w:t>，在建设项目用地预审与选址时，应当附县</w:t>
      </w:r>
      <w:r>
        <w:rPr>
          <w:rFonts w:hint="eastAsia" w:cs="Times New Roman"/>
          <w:sz w:val="32"/>
          <w:szCs w:val="32"/>
          <w:lang w:eastAsia="zh-CN"/>
        </w:rPr>
        <w:t>人民</w:t>
      </w:r>
      <w:r>
        <w:rPr>
          <w:rFonts w:hint="eastAsia" w:ascii="Times New Roman" w:hAnsi="Times New Roman" w:eastAsia="方正仿宋_GBK" w:cs="Times New Roman"/>
          <w:sz w:val="32"/>
          <w:szCs w:val="32"/>
          <w:lang w:eastAsia="zh-CN"/>
        </w:rPr>
        <w:t>政府出具的</w:t>
      </w:r>
      <w:r>
        <w:rPr>
          <w:rFonts w:hint="eastAsia" w:cs="Times New Roman"/>
          <w:sz w:val="32"/>
          <w:szCs w:val="32"/>
          <w:lang w:eastAsia="zh-CN"/>
        </w:rPr>
        <w:t>“</w:t>
      </w:r>
      <w:r>
        <w:rPr>
          <w:rFonts w:hint="eastAsia" w:ascii="Times New Roman" w:hAnsi="Times New Roman" w:eastAsia="方正仿宋_GBK" w:cs="Times New Roman"/>
          <w:sz w:val="32"/>
          <w:szCs w:val="32"/>
          <w:lang w:eastAsia="zh-CN"/>
        </w:rPr>
        <w:t>符合生态保护红线内允许有限人为活动的初步认定意见</w:t>
      </w:r>
      <w:r>
        <w:rPr>
          <w:rFonts w:hint="eastAsia" w:cs="Times New Roman"/>
          <w:sz w:val="32"/>
          <w:szCs w:val="32"/>
          <w:lang w:eastAsia="zh-CN"/>
        </w:rPr>
        <w:t>”，在农用地转用、土地征收报批时，应当附市人民政府出具的“符合生态保护红线内允许有限人为活动的认定意见”</w:t>
      </w:r>
      <w:r>
        <w:rPr>
          <w:rFonts w:hint="eastAsia" w:ascii="Times New Roman" w:hAnsi="Times New Roman" w:cs="Times New Roman"/>
          <w:sz w:val="32"/>
          <w:szCs w:val="32"/>
          <w:lang w:eastAsia="zh-CN"/>
        </w:rPr>
        <w:t>；涉及自然保护地的，</w:t>
      </w:r>
      <w:r>
        <w:rPr>
          <w:rFonts w:hint="eastAsia"/>
          <w:highlight w:val="none"/>
        </w:rPr>
        <w:t>应征求林业主管部门意见</w:t>
      </w:r>
      <w:r>
        <w:rPr>
          <w:rFonts w:hint="eastAsia"/>
          <w:highlight w:val="none"/>
          <w:lang w:eastAsia="zh-CN"/>
        </w:rPr>
        <w:t>。</w:t>
      </w:r>
    </w:p>
    <w:p w14:paraId="4462DAAF">
      <w:pPr>
        <w:pStyle w:val="6"/>
        <w:numPr>
          <w:ilvl w:val="0"/>
          <w:numId w:val="2"/>
        </w:numPr>
        <w:ind w:left="0" w:firstLine="709" w:firstLineChars="0"/>
      </w:pPr>
      <w:r>
        <w:rPr>
          <w:rFonts w:hint="eastAsia"/>
        </w:rPr>
        <w:t>历史文化保护线</w:t>
      </w:r>
    </w:p>
    <w:p w14:paraId="5778123F">
      <w:pPr>
        <w:rPr>
          <w:rFonts w:hint="eastAsia"/>
          <w:lang w:val="en-US" w:eastAsia="zh-CN"/>
        </w:rPr>
      </w:pPr>
      <w:r>
        <w:rPr>
          <w:rFonts w:hint="eastAsia"/>
        </w:rPr>
        <w:t>严格落实上位规划确定的各级各类历史文化保护线、古树名木及</w:t>
      </w:r>
      <w:r>
        <w:rPr>
          <w:rFonts w:hint="eastAsia"/>
          <w:lang w:val="en-US" w:eastAsia="zh-CN"/>
        </w:rPr>
        <w:t>相关管控要求。乡村建设应严格避让历史文化保护线，不得破坏历史文化遗产的真实性和完整性，禁止大拆大建、拆真建假、以假乱真。在历史文化保护线内开展必要的乡村建设应征求文物主管部门意见。</w:t>
      </w:r>
    </w:p>
    <w:p w14:paraId="1ED0E7EA">
      <w:pPr>
        <w:rPr>
          <w:rFonts w:hint="eastAsia"/>
          <w:lang w:val="en-US" w:eastAsia="zh-CN"/>
        </w:rPr>
      </w:pPr>
      <w:r>
        <w:rPr>
          <w:rFonts w:hint="eastAsia"/>
          <w:lang w:val="en-US" w:eastAsia="zh-CN"/>
        </w:rPr>
        <w:t>历史文化名镇、名村应当整体保护，保持传统格局、历史风貌和空间尺度，其核心保护范围内，除必要的基础设施和公共服务设施外，禁止新建、扩建活动；建设控制地带内，新建、扩建、改建建（构）筑物的高度、体量、风格、色彩等要与核心保护范围的历史风貌相协调。</w:t>
      </w:r>
      <w:r>
        <w:rPr>
          <w:rFonts w:hint="eastAsia"/>
        </w:rPr>
        <w:t>涉及传统村落的</w:t>
      </w:r>
      <w:r>
        <w:rPr>
          <w:rFonts w:hint="eastAsia"/>
          <w:lang w:eastAsia="zh-CN"/>
        </w:rPr>
        <w:t>，</w:t>
      </w:r>
      <w:r>
        <w:rPr>
          <w:rFonts w:hint="eastAsia"/>
        </w:rPr>
        <w:t>按相关要求执行</w:t>
      </w:r>
      <w:r>
        <w:rPr>
          <w:rFonts w:hint="eastAsia"/>
          <w:lang w:val="en-US" w:eastAsia="zh-CN"/>
        </w:rPr>
        <w:t>。</w:t>
      </w:r>
    </w:p>
    <w:p w14:paraId="3C714341">
      <w:pPr>
        <w:rPr>
          <w:rFonts w:hint="eastAsia"/>
        </w:rPr>
      </w:pPr>
      <w:r>
        <w:rPr>
          <w:rFonts w:hint="eastAsia"/>
          <w:lang w:val="en-US" w:eastAsia="zh-CN"/>
        </w:rPr>
        <w:t>建设项目选址、建设，应当避开古树名木保护范围；因特殊情况不能避开，确需在古树名木保护范围内新建、扩建建筑物、构筑物或者铺设管线的，应当在施工前报告县级以上地方人民政府古树名木主管部门，并按照要求采取必要的工程措施，尽可能减轻对古树名木及其生长环境的损害。</w:t>
      </w:r>
    </w:p>
    <w:p w14:paraId="1AB96D01">
      <w:pPr>
        <w:pStyle w:val="6"/>
        <w:numPr>
          <w:ilvl w:val="0"/>
          <w:numId w:val="2"/>
        </w:numPr>
        <w:ind w:left="0" w:firstLine="709" w:firstLineChars="0"/>
      </w:pPr>
      <w:r>
        <w:rPr>
          <w:rFonts w:hint="eastAsia"/>
        </w:rPr>
        <w:t>灾害风险防控线</w:t>
      </w:r>
    </w:p>
    <w:p w14:paraId="6D87896A">
      <w:pPr>
        <w:pStyle w:val="48"/>
        <w:ind w:firstLine="643"/>
      </w:pPr>
      <w:r>
        <w:rPr>
          <w:rFonts w:hint="eastAsia"/>
          <w:b/>
          <w:bCs/>
        </w:rPr>
        <w:t>洪涝风险防控。</w:t>
      </w:r>
      <w:r>
        <w:rPr>
          <w:rFonts w:hint="eastAsia" w:ascii="Times New Roman" w:hAnsi="Times New Roman" w:eastAsia="方正仿宋_GBK" w:cs="Times New Roman"/>
          <w:color w:val="000000"/>
          <w:kern w:val="2"/>
          <w:sz w:val="32"/>
          <w:szCs w:val="32"/>
          <w:lang w:val="en-US" w:eastAsia="zh-CN" w:bidi="ar-SA"/>
        </w:rPr>
        <w:t>“通则”适用范围内村庄防洪标准按20年一遇洪水位设防。严格落实</w:t>
      </w:r>
      <w:r>
        <w:rPr>
          <w:rFonts w:hint="eastAsia" w:ascii="Times New Roman" w:hAnsi="Times New Roman" w:eastAsia="方正仿宋_GBK" w:cs="Times New Roman"/>
          <w:color w:val="000000"/>
          <w:kern w:val="2"/>
          <w:sz w:val="32"/>
          <w:szCs w:val="32"/>
          <w:lang w:val="en-US" w:eastAsia="zh-CN" w:bidi="ar-SA"/>
        </w:rPr>
        <w:fldChar w:fldCharType="begin"/>
      </w:r>
      <w:r>
        <w:rPr>
          <w:rFonts w:hint="eastAsia" w:ascii="Times New Roman" w:hAnsi="Times New Roman" w:eastAsia="方正仿宋_GBK" w:cs="Times New Roman"/>
          <w:color w:val="000000"/>
          <w:kern w:val="2"/>
          <w:sz w:val="32"/>
          <w:szCs w:val="32"/>
          <w:lang w:val="en-US" w:eastAsia="zh-CN" w:bidi="ar-SA"/>
        </w:rPr>
        <w:instrText xml:space="preserve"> REF _Ref233799203 \h  \* MERGEFORMAT </w:instrText>
      </w:r>
      <w:r>
        <w:rPr>
          <w:rFonts w:hint="eastAsia" w:ascii="Times New Roman" w:hAnsi="Times New Roman" w:eastAsia="方正仿宋_GBK" w:cs="Times New Roman"/>
          <w:color w:val="000000"/>
          <w:kern w:val="2"/>
          <w:sz w:val="32"/>
          <w:szCs w:val="32"/>
          <w:lang w:val="en-US" w:eastAsia="zh-CN" w:bidi="ar-SA"/>
        </w:rPr>
        <w:fldChar w:fldCharType="separate"/>
      </w:r>
      <w:r>
        <w:rPr>
          <w:rFonts w:hint="eastAsia" w:ascii="Times New Roman" w:hAnsi="Times New Roman" w:eastAsia="方正仿宋_GBK" w:cs="Times New Roman"/>
          <w:color w:val="000000"/>
          <w:kern w:val="2"/>
          <w:sz w:val="32"/>
          <w:szCs w:val="32"/>
          <w:lang w:val="en-US" w:eastAsia="zh-CN" w:bidi="ar-SA"/>
        </w:rPr>
        <w:t>《中华人民共和国防洪法》</w:t>
      </w:r>
      <w:r>
        <w:rPr>
          <w:rFonts w:hint="eastAsia" w:ascii="Times New Roman" w:hAnsi="Times New Roman" w:eastAsia="方正仿宋_GBK" w:cs="Times New Roman"/>
          <w:color w:val="000000"/>
          <w:kern w:val="2"/>
          <w:sz w:val="32"/>
          <w:szCs w:val="32"/>
          <w:lang w:val="en-US" w:eastAsia="zh-CN" w:bidi="ar-SA"/>
        </w:rPr>
        <w:fldChar w:fldCharType="end"/>
      </w:r>
      <w:r>
        <w:rPr>
          <w:rFonts w:hint="eastAsia" w:ascii="Times New Roman" w:hAnsi="Times New Roman" w:eastAsia="方正仿宋_GBK" w:cs="Times New Roman"/>
          <w:color w:val="000000"/>
          <w:kern w:val="2"/>
          <w:sz w:val="32"/>
          <w:szCs w:val="32"/>
          <w:lang w:val="en-US" w:eastAsia="zh-CN" w:bidi="ar-SA"/>
        </w:rPr>
        <w:fldChar w:fldCharType="begin"/>
      </w:r>
      <w:r>
        <w:rPr>
          <w:rFonts w:hint="eastAsia" w:ascii="Times New Roman" w:hAnsi="Times New Roman" w:eastAsia="方正仿宋_GBK" w:cs="Times New Roman"/>
          <w:color w:val="000000"/>
          <w:kern w:val="2"/>
          <w:sz w:val="32"/>
          <w:szCs w:val="32"/>
          <w:lang w:val="en-US" w:eastAsia="zh-CN" w:bidi="ar-SA"/>
        </w:rPr>
        <w:instrText xml:space="preserve"> REF _Ref233807514 \h  \* MERGEFORMAT </w:instrText>
      </w:r>
      <w:r>
        <w:rPr>
          <w:rFonts w:hint="eastAsia" w:ascii="Times New Roman" w:hAnsi="Times New Roman" w:eastAsia="方正仿宋_GBK" w:cs="Times New Roman"/>
          <w:color w:val="000000"/>
          <w:kern w:val="2"/>
          <w:sz w:val="32"/>
          <w:szCs w:val="32"/>
          <w:lang w:val="en-US" w:eastAsia="zh-CN" w:bidi="ar-SA"/>
        </w:rPr>
        <w:fldChar w:fldCharType="separate"/>
      </w:r>
      <w:r>
        <w:rPr>
          <w:rFonts w:hint="eastAsia" w:ascii="Times New Roman" w:hAnsi="Times New Roman" w:eastAsia="方正仿宋_GBK" w:cs="Times New Roman"/>
          <w:color w:val="000000"/>
          <w:kern w:val="2"/>
          <w:sz w:val="32"/>
          <w:szCs w:val="32"/>
          <w:lang w:val="en-US" w:eastAsia="zh-CN" w:bidi="ar-SA"/>
        </w:rPr>
        <w:t>《重庆市人民政府办公厅关于着力提升城乡防洪能力的通知》（渝府办发〔2021〕141号）</w:t>
      </w:r>
      <w:r>
        <w:rPr>
          <w:rFonts w:hint="eastAsia" w:ascii="Times New Roman" w:hAnsi="Times New Roman" w:eastAsia="方正仿宋_GBK" w:cs="Times New Roman"/>
          <w:color w:val="000000"/>
          <w:kern w:val="2"/>
          <w:sz w:val="32"/>
          <w:szCs w:val="32"/>
          <w:lang w:val="en-US" w:eastAsia="zh-CN" w:bidi="ar-SA"/>
        </w:rPr>
        <w:fldChar w:fldCharType="end"/>
      </w:r>
      <w:r>
        <w:rPr>
          <w:rFonts w:hint="eastAsia" w:ascii="Times New Roman" w:hAnsi="Times New Roman" w:eastAsia="方正仿宋_GBK" w:cs="Times New Roman"/>
          <w:color w:val="000000"/>
          <w:kern w:val="2"/>
          <w:sz w:val="32"/>
          <w:szCs w:val="32"/>
          <w:lang w:val="en-US" w:eastAsia="zh-CN" w:bidi="ar-SA"/>
        </w:rPr>
        <w:t>等要求。禁止占用江河、湖泊、水库、山塘等蓄滞洪空间和行洪、排涝通道建设影响防洪（潮）排涝和行洪安全的各类建（构）筑物。其他管控要求还应依据国家及重庆市有关规定执行。</w:t>
      </w:r>
    </w:p>
    <w:p w14:paraId="7C25160E">
      <w:pPr>
        <w:pStyle w:val="48"/>
        <w:ind w:firstLine="643"/>
        <w:rPr>
          <w:rFonts w:hint="eastAsia" w:ascii="Times New Roman" w:hAnsi="Times New Roman" w:eastAsia="方正仿宋_GBK" w:cs="Times New Roman"/>
          <w:color w:val="000000"/>
          <w:kern w:val="2"/>
          <w:sz w:val="32"/>
          <w:szCs w:val="32"/>
          <w:lang w:val="en-US" w:eastAsia="zh-CN" w:bidi="ar-SA"/>
        </w:rPr>
      </w:pPr>
      <w:r>
        <w:rPr>
          <w:rFonts w:hint="eastAsia"/>
          <w:b/>
          <w:bCs/>
        </w:rPr>
        <w:t>地质灾害防控。</w:t>
      </w:r>
      <w:r>
        <w:rPr>
          <w:rFonts w:hint="eastAsia" w:ascii="Times New Roman" w:hAnsi="Times New Roman" w:eastAsia="方正仿宋_GBK" w:cs="Times New Roman"/>
          <w:color w:val="000000"/>
          <w:kern w:val="2"/>
          <w:sz w:val="32"/>
          <w:szCs w:val="32"/>
          <w:lang w:val="en-US" w:eastAsia="zh-CN" w:bidi="ar-SA"/>
        </w:rPr>
        <w:t>严格落实</w:t>
      </w:r>
      <w:r>
        <w:rPr>
          <w:rFonts w:hint="eastAsia" w:ascii="Times New Roman" w:hAnsi="Times New Roman" w:eastAsia="方正仿宋_GBK" w:cs="Times New Roman"/>
          <w:color w:val="000000"/>
          <w:kern w:val="2"/>
          <w:sz w:val="32"/>
          <w:szCs w:val="32"/>
          <w:lang w:val="en-US" w:eastAsia="zh-CN" w:bidi="ar-SA"/>
        </w:rPr>
        <w:fldChar w:fldCharType="begin"/>
      </w:r>
      <w:r>
        <w:rPr>
          <w:rFonts w:hint="eastAsia" w:ascii="Times New Roman" w:hAnsi="Times New Roman" w:eastAsia="方正仿宋_GBK" w:cs="Times New Roman"/>
          <w:color w:val="000000"/>
          <w:kern w:val="2"/>
          <w:sz w:val="32"/>
          <w:szCs w:val="32"/>
          <w:lang w:val="en-US" w:eastAsia="zh-CN" w:bidi="ar-SA"/>
        </w:rPr>
        <w:instrText xml:space="preserve"> REF _Ref233796442 \h  \* MERGEFORMAT </w:instrText>
      </w:r>
      <w:r>
        <w:rPr>
          <w:rFonts w:hint="eastAsia" w:ascii="Times New Roman" w:hAnsi="Times New Roman" w:eastAsia="方正仿宋_GBK" w:cs="Times New Roman"/>
          <w:color w:val="000000"/>
          <w:kern w:val="2"/>
          <w:sz w:val="32"/>
          <w:szCs w:val="32"/>
          <w:lang w:val="en-US" w:eastAsia="zh-CN" w:bidi="ar-SA"/>
        </w:rPr>
        <w:fldChar w:fldCharType="separate"/>
      </w:r>
      <w:r>
        <w:rPr>
          <w:rFonts w:hint="eastAsia" w:ascii="Times New Roman" w:hAnsi="Times New Roman" w:eastAsia="方正仿宋_GBK" w:cs="Times New Roman"/>
          <w:color w:val="000000"/>
          <w:kern w:val="2"/>
          <w:sz w:val="32"/>
          <w:szCs w:val="32"/>
          <w:lang w:val="en-US" w:eastAsia="zh-CN" w:bidi="ar-SA"/>
        </w:rPr>
        <w:t>《重庆市地质灾害防治条例》</w:t>
      </w:r>
      <w:r>
        <w:rPr>
          <w:rFonts w:hint="eastAsia" w:ascii="Times New Roman" w:hAnsi="Times New Roman" w:eastAsia="方正仿宋_GBK" w:cs="Times New Roman"/>
          <w:color w:val="000000"/>
          <w:kern w:val="2"/>
          <w:sz w:val="32"/>
          <w:szCs w:val="32"/>
          <w:lang w:val="en-US" w:eastAsia="zh-CN" w:bidi="ar-SA"/>
        </w:rPr>
        <w:fldChar w:fldCharType="end"/>
      </w:r>
      <w:r>
        <w:rPr>
          <w:rFonts w:hint="eastAsia" w:ascii="Times New Roman" w:hAnsi="Times New Roman" w:eastAsia="方正仿宋_GBK" w:cs="Times New Roman"/>
          <w:color w:val="000000"/>
          <w:kern w:val="2"/>
          <w:sz w:val="32"/>
          <w:szCs w:val="32"/>
          <w:lang w:val="en-US" w:eastAsia="zh-CN" w:bidi="ar-SA"/>
        </w:rPr>
        <w:fldChar w:fldCharType="begin"/>
      </w:r>
      <w:r>
        <w:rPr>
          <w:rFonts w:hint="eastAsia" w:ascii="Times New Roman" w:hAnsi="Times New Roman" w:eastAsia="方正仿宋_GBK" w:cs="Times New Roman"/>
          <w:color w:val="000000"/>
          <w:kern w:val="2"/>
          <w:sz w:val="32"/>
          <w:szCs w:val="32"/>
          <w:lang w:val="en-US" w:eastAsia="zh-CN" w:bidi="ar-SA"/>
        </w:rPr>
        <w:instrText xml:space="preserve"> REF _Ref233917941 \h  \* MERGEFORMAT </w:instrText>
      </w:r>
      <w:r>
        <w:rPr>
          <w:rFonts w:hint="eastAsia" w:ascii="Times New Roman" w:hAnsi="Times New Roman" w:eastAsia="方正仿宋_GBK" w:cs="Times New Roman"/>
          <w:color w:val="000000"/>
          <w:kern w:val="2"/>
          <w:sz w:val="32"/>
          <w:szCs w:val="32"/>
          <w:lang w:val="en-US" w:eastAsia="zh-CN" w:bidi="ar-SA"/>
        </w:rPr>
        <w:fldChar w:fldCharType="separate"/>
      </w:r>
      <w:r>
        <w:rPr>
          <w:rFonts w:hint="eastAsia" w:ascii="Times New Roman" w:hAnsi="Times New Roman" w:eastAsia="方正仿宋_GBK" w:cs="Times New Roman"/>
          <w:color w:val="000000"/>
          <w:kern w:val="2"/>
          <w:sz w:val="32"/>
          <w:szCs w:val="32"/>
          <w:lang w:val="en-US" w:eastAsia="zh-CN" w:bidi="ar-SA"/>
        </w:rPr>
        <w:t>《地质灾害危险性评估规范》</w:t>
      </w:r>
      <w:r>
        <w:rPr>
          <w:rFonts w:hint="eastAsia" w:ascii="Times New Roman" w:hAnsi="Times New Roman" w:eastAsia="方正仿宋_GBK" w:cs="Times New Roman"/>
          <w:color w:val="000000"/>
          <w:kern w:val="2"/>
          <w:sz w:val="32"/>
          <w:szCs w:val="32"/>
          <w:lang w:val="en-US" w:eastAsia="zh-CN" w:bidi="ar-SA"/>
        </w:rPr>
        <w:fldChar w:fldCharType="end"/>
      </w:r>
      <w:r>
        <w:rPr>
          <w:rFonts w:hint="eastAsia" w:ascii="Times New Roman" w:hAnsi="Times New Roman" w:eastAsia="方正仿宋_GBK" w:cs="Times New Roman"/>
          <w:color w:val="000000"/>
          <w:kern w:val="2"/>
          <w:sz w:val="32"/>
          <w:szCs w:val="32"/>
          <w:lang w:val="en-US" w:eastAsia="zh-CN" w:bidi="ar-SA"/>
        </w:rPr>
        <w:t>等要求。乡村各类建设项目选址应当避开地质灾害危险区，确需建设且无法避让的，应严格执行地质灾害危险性评估制度，同时落实防治措施。</w:t>
      </w:r>
    </w:p>
    <w:p w14:paraId="4D9C8CA9">
      <w:pPr>
        <w:pStyle w:val="6"/>
        <w:numPr>
          <w:ilvl w:val="0"/>
          <w:numId w:val="2"/>
        </w:numPr>
        <w:ind w:left="0" w:firstLine="709" w:firstLineChars="0"/>
      </w:pPr>
      <w:r>
        <w:rPr>
          <w:rFonts w:hint="eastAsia"/>
        </w:rPr>
        <w:t>矿产资源保护线</w:t>
      </w:r>
    </w:p>
    <w:p w14:paraId="679EDEB7">
      <w:pPr>
        <w:pStyle w:val="48"/>
        <w:ind w:firstLine="643"/>
        <w:rPr>
          <w:rFonts w:hint="eastAsia" w:ascii="Times New Roman" w:hAnsi="Times New Roman" w:eastAsia="方正仿宋_GBK" w:cs="Times New Roman"/>
          <w:color w:val="000000"/>
          <w:kern w:val="2"/>
          <w:sz w:val="32"/>
          <w:szCs w:val="32"/>
          <w:lang w:val="en-US" w:eastAsia="zh-CN" w:bidi="ar-SA"/>
        </w:rPr>
      </w:pPr>
      <w:r>
        <w:rPr>
          <w:rFonts w:hint="eastAsia" w:ascii="Times New Roman" w:hAnsi="Times New Roman" w:eastAsia="方正仿宋_GBK" w:cs="Times New Roman"/>
          <w:color w:val="000000"/>
          <w:kern w:val="2"/>
          <w:sz w:val="32"/>
          <w:szCs w:val="32"/>
          <w:lang w:val="en-US" w:eastAsia="zh-CN" w:bidi="ar-SA"/>
        </w:rPr>
        <w:t>严格落实上位规划确定的矿产资源保护相关管控要求。严格遵照</w:t>
      </w:r>
      <w:r>
        <w:rPr>
          <w:rFonts w:hint="eastAsia" w:ascii="Times New Roman" w:hAnsi="Times New Roman" w:eastAsia="方正仿宋_GBK" w:cs="Times New Roman"/>
          <w:color w:val="000000"/>
          <w:kern w:val="2"/>
          <w:sz w:val="32"/>
          <w:szCs w:val="32"/>
          <w:lang w:val="en-US" w:eastAsia="zh-CN" w:bidi="ar-SA"/>
        </w:rPr>
        <w:fldChar w:fldCharType="begin"/>
      </w:r>
      <w:r>
        <w:rPr>
          <w:rFonts w:hint="eastAsia" w:ascii="Times New Roman" w:hAnsi="Times New Roman" w:eastAsia="方正仿宋_GBK" w:cs="Times New Roman"/>
          <w:color w:val="000000"/>
          <w:kern w:val="2"/>
          <w:sz w:val="32"/>
          <w:szCs w:val="32"/>
          <w:lang w:val="en-US" w:eastAsia="zh-CN" w:bidi="ar-SA"/>
        </w:rPr>
        <w:instrText xml:space="preserve"> REF _Ref233807710 \h  \* MERGEFORMAT </w:instrText>
      </w:r>
      <w:r>
        <w:rPr>
          <w:rFonts w:hint="eastAsia" w:ascii="Times New Roman" w:hAnsi="Times New Roman" w:eastAsia="方正仿宋_GBK" w:cs="Times New Roman"/>
          <w:color w:val="000000"/>
          <w:kern w:val="2"/>
          <w:sz w:val="32"/>
          <w:szCs w:val="32"/>
          <w:lang w:val="en-US" w:eastAsia="zh-CN" w:bidi="ar-SA"/>
        </w:rPr>
        <w:fldChar w:fldCharType="separate"/>
      </w:r>
      <w:r>
        <w:rPr>
          <w:rFonts w:hint="eastAsia" w:ascii="Times New Roman" w:hAnsi="Times New Roman" w:eastAsia="方正仿宋_GBK" w:cs="Times New Roman"/>
          <w:color w:val="000000"/>
          <w:kern w:val="2"/>
          <w:sz w:val="32"/>
          <w:szCs w:val="32"/>
          <w:lang w:val="en-US" w:eastAsia="zh-CN" w:bidi="ar-SA"/>
        </w:rPr>
        <w:t>《中华人民共和国矿产资源法》</w:t>
      </w:r>
      <w:r>
        <w:rPr>
          <w:rFonts w:hint="eastAsia" w:ascii="Times New Roman" w:hAnsi="Times New Roman" w:eastAsia="方正仿宋_GBK" w:cs="Times New Roman"/>
          <w:color w:val="000000"/>
          <w:kern w:val="2"/>
          <w:sz w:val="32"/>
          <w:szCs w:val="32"/>
          <w:lang w:val="en-US" w:eastAsia="zh-CN" w:bidi="ar-SA"/>
        </w:rPr>
        <w:fldChar w:fldCharType="end"/>
      </w:r>
      <w:r>
        <w:rPr>
          <w:rFonts w:hint="eastAsia" w:ascii="Times New Roman" w:hAnsi="Times New Roman" w:eastAsia="方正仿宋_GBK" w:cs="Times New Roman"/>
          <w:color w:val="000000"/>
          <w:kern w:val="2"/>
          <w:sz w:val="32"/>
          <w:szCs w:val="32"/>
          <w:lang w:val="en-US" w:eastAsia="zh-CN" w:bidi="ar-SA"/>
        </w:rPr>
        <w:fldChar w:fldCharType="begin"/>
      </w:r>
      <w:r>
        <w:rPr>
          <w:rFonts w:hint="eastAsia" w:ascii="Times New Roman" w:hAnsi="Times New Roman" w:eastAsia="方正仿宋_GBK" w:cs="Times New Roman"/>
          <w:color w:val="000000"/>
          <w:kern w:val="2"/>
          <w:sz w:val="32"/>
          <w:szCs w:val="32"/>
          <w:lang w:val="en-US" w:eastAsia="zh-CN" w:bidi="ar-SA"/>
        </w:rPr>
        <w:instrText xml:space="preserve"> REF _Ref233796497 \h  \* MERGEFORMAT </w:instrText>
      </w:r>
      <w:r>
        <w:rPr>
          <w:rFonts w:hint="eastAsia" w:ascii="Times New Roman" w:hAnsi="Times New Roman" w:eastAsia="方正仿宋_GBK" w:cs="Times New Roman"/>
          <w:color w:val="000000"/>
          <w:kern w:val="2"/>
          <w:sz w:val="32"/>
          <w:szCs w:val="32"/>
          <w:lang w:val="en-US" w:eastAsia="zh-CN" w:bidi="ar-SA"/>
        </w:rPr>
        <w:fldChar w:fldCharType="separate"/>
      </w:r>
      <w:r>
        <w:rPr>
          <w:rFonts w:hint="eastAsia" w:ascii="Times New Roman" w:hAnsi="Times New Roman" w:eastAsia="方正仿宋_GBK" w:cs="Times New Roman"/>
          <w:color w:val="000000"/>
          <w:kern w:val="2"/>
          <w:sz w:val="32"/>
          <w:szCs w:val="32"/>
          <w:lang w:val="en-US" w:eastAsia="zh-CN" w:bidi="ar-SA"/>
        </w:rPr>
        <w:t>《重庆市矿产资源管理条例》</w:t>
      </w:r>
      <w:r>
        <w:rPr>
          <w:rFonts w:hint="eastAsia" w:ascii="Times New Roman" w:hAnsi="Times New Roman" w:eastAsia="方正仿宋_GBK" w:cs="Times New Roman"/>
          <w:color w:val="000000"/>
          <w:kern w:val="2"/>
          <w:sz w:val="32"/>
          <w:szCs w:val="32"/>
          <w:lang w:val="en-US" w:eastAsia="zh-CN" w:bidi="ar-SA"/>
        </w:rPr>
        <w:fldChar w:fldCharType="end"/>
      </w:r>
      <w:r>
        <w:rPr>
          <w:rFonts w:hint="eastAsia" w:ascii="Times New Roman" w:hAnsi="Times New Roman" w:eastAsia="方正仿宋_GBK" w:cs="Times New Roman"/>
          <w:color w:val="000000"/>
          <w:kern w:val="2"/>
          <w:sz w:val="32"/>
          <w:szCs w:val="32"/>
          <w:lang w:val="en-US" w:eastAsia="zh-CN" w:bidi="ar-SA"/>
        </w:rPr>
        <w:t>等规定执行。乡村各类建设项目选址和空间布局应当避免、减少压覆矿产资源，原则上不得压覆战略性矿产资源。确需压覆的，应当依法办理压覆审批手续。</w:t>
      </w:r>
    </w:p>
    <w:p w14:paraId="015DCB95">
      <w:pPr>
        <w:pStyle w:val="6"/>
        <w:numPr>
          <w:ilvl w:val="0"/>
          <w:numId w:val="2"/>
        </w:numPr>
        <w:ind w:left="0" w:firstLine="709" w:firstLineChars="0"/>
      </w:pPr>
      <w:r>
        <w:rPr>
          <w:rFonts w:hint="eastAsia"/>
          <w:lang w:val="en-US" w:eastAsia="zh-CN"/>
        </w:rPr>
        <w:t>其他管控线</w:t>
      </w:r>
    </w:p>
    <w:p w14:paraId="33EE1CE6">
      <w:pPr>
        <w:pStyle w:val="48"/>
        <w:ind w:firstLine="643"/>
        <w:rPr>
          <w:rFonts w:hint="eastAsia" w:ascii="Times New Roman" w:hAnsi="Times New Roman" w:eastAsia="方正仿宋_GBK" w:cs="Times New Roman"/>
          <w:color w:val="000000"/>
          <w:kern w:val="2"/>
          <w:sz w:val="32"/>
          <w:szCs w:val="32"/>
          <w:lang w:val="en-US" w:eastAsia="zh-CN" w:bidi="ar-SA"/>
        </w:rPr>
      </w:pPr>
      <w:r>
        <w:rPr>
          <w:rFonts w:hint="eastAsia" w:ascii="Times New Roman" w:hAnsi="Times New Roman" w:eastAsia="方正仿宋_GBK" w:cs="Times New Roman"/>
          <w:b/>
          <w:bCs/>
          <w:color w:val="000000"/>
          <w:kern w:val="2"/>
          <w:sz w:val="32"/>
          <w:szCs w:val="32"/>
          <w:lang w:val="en-US" w:eastAsia="zh-CN" w:bidi="ar-SA"/>
        </w:rPr>
        <w:t>饮用水水源保护区</w:t>
      </w:r>
      <w:r>
        <w:rPr>
          <w:rFonts w:hint="eastAsia" w:cs="Times New Roman"/>
          <w:b/>
          <w:bCs/>
          <w:color w:val="000000"/>
          <w:kern w:val="2"/>
          <w:sz w:val="32"/>
          <w:szCs w:val="32"/>
          <w:lang w:val="en-US" w:eastAsia="zh-CN" w:bidi="ar-SA"/>
        </w:rPr>
        <w:t>。</w:t>
      </w:r>
      <w:r>
        <w:rPr>
          <w:rFonts w:hint="eastAsia" w:ascii="Times New Roman" w:hAnsi="Times New Roman" w:eastAsia="方正仿宋_GBK" w:cs="Times New Roman"/>
          <w:color w:val="000000"/>
          <w:kern w:val="2"/>
          <w:sz w:val="32"/>
          <w:szCs w:val="32"/>
          <w:lang w:val="en-US" w:eastAsia="zh-CN" w:bidi="ar-SA"/>
        </w:rPr>
        <w:t>严格落实上位规划确定的饮用水水源保护区及相关管控要求。遵照《中华人民共和国水污染防治法》《重庆市水污染防治条例》</w:t>
      </w:r>
      <w:r>
        <w:rPr>
          <w:rFonts w:hint="eastAsia" w:ascii="Times New Roman" w:hAnsi="Times New Roman" w:eastAsia="方正仿宋_GBK" w:cs="Times New Roman"/>
          <w:color w:val="000000"/>
          <w:kern w:val="2"/>
          <w:sz w:val="32"/>
          <w:szCs w:val="32"/>
          <w:lang w:val="en-US" w:eastAsia="zh-CN" w:bidi="ar-SA"/>
        </w:rPr>
        <w:fldChar w:fldCharType="begin"/>
      </w:r>
      <w:r>
        <w:rPr>
          <w:rFonts w:hint="eastAsia" w:ascii="Times New Roman" w:hAnsi="Times New Roman" w:eastAsia="方正仿宋_GBK" w:cs="Times New Roman"/>
          <w:color w:val="000000"/>
          <w:kern w:val="2"/>
          <w:sz w:val="32"/>
          <w:szCs w:val="32"/>
          <w:lang w:val="en-US" w:eastAsia="zh-CN" w:bidi="ar-SA"/>
        </w:rPr>
        <w:instrText xml:space="preserve"> REF _Ref233807969 \h  \* MERGEFORMAT </w:instrText>
      </w:r>
      <w:r>
        <w:rPr>
          <w:rFonts w:hint="eastAsia" w:ascii="Times New Roman" w:hAnsi="Times New Roman" w:eastAsia="方正仿宋_GBK" w:cs="Times New Roman"/>
          <w:color w:val="000000"/>
          <w:kern w:val="2"/>
          <w:sz w:val="32"/>
          <w:szCs w:val="32"/>
          <w:lang w:val="en-US" w:eastAsia="zh-CN" w:bidi="ar-SA"/>
        </w:rPr>
        <w:fldChar w:fldCharType="separate"/>
      </w:r>
      <w:r>
        <w:rPr>
          <w:rFonts w:hint="eastAsia" w:ascii="Times New Roman" w:hAnsi="Times New Roman" w:eastAsia="方正仿宋_GBK" w:cs="Times New Roman"/>
          <w:color w:val="000000"/>
          <w:kern w:val="2"/>
          <w:sz w:val="32"/>
          <w:szCs w:val="32"/>
          <w:lang w:val="en-US" w:eastAsia="zh-CN" w:bidi="ar-SA"/>
        </w:rPr>
        <w:t>《重庆市水资源管理条例》</w:t>
      </w:r>
      <w:r>
        <w:rPr>
          <w:rFonts w:hint="eastAsia" w:ascii="Times New Roman" w:hAnsi="Times New Roman" w:eastAsia="方正仿宋_GBK" w:cs="Times New Roman"/>
          <w:color w:val="000000"/>
          <w:kern w:val="2"/>
          <w:sz w:val="32"/>
          <w:szCs w:val="32"/>
          <w:lang w:val="en-US" w:eastAsia="zh-CN" w:bidi="ar-SA"/>
        </w:rPr>
        <w:fldChar w:fldCharType="end"/>
      </w:r>
      <w:r>
        <w:rPr>
          <w:rFonts w:hint="eastAsia" w:ascii="Times New Roman" w:hAnsi="Times New Roman" w:eastAsia="方正仿宋_GBK" w:cs="Times New Roman"/>
          <w:color w:val="000000"/>
          <w:kern w:val="2"/>
          <w:sz w:val="32"/>
          <w:szCs w:val="32"/>
          <w:lang w:val="en-US" w:eastAsia="zh-CN" w:bidi="ar-SA"/>
        </w:rPr>
        <w:t>等规定执行。乡村各类建设项目选址应避开饮用水水源保护区，确需建设且无法避让的，应征求生态环境主管部门意见。</w:t>
      </w:r>
    </w:p>
    <w:p w14:paraId="62B35A2A">
      <w:pPr>
        <w:pStyle w:val="48"/>
        <w:ind w:firstLine="643"/>
        <w:rPr>
          <w:rFonts w:hint="eastAsia" w:ascii="Times New Roman" w:hAnsi="Times New Roman" w:eastAsia="方正仿宋_GBK" w:cs="Times New Roman"/>
          <w:color w:val="000000"/>
          <w:kern w:val="2"/>
          <w:sz w:val="32"/>
          <w:szCs w:val="32"/>
          <w:lang w:val="en-US" w:eastAsia="zh-CN" w:bidi="ar-SA"/>
        </w:rPr>
      </w:pPr>
      <w:r>
        <w:rPr>
          <w:rFonts w:hint="eastAsia" w:ascii="Times New Roman" w:hAnsi="Times New Roman" w:eastAsia="方正仿宋_GBK" w:cs="Times New Roman"/>
          <w:b/>
          <w:bCs/>
          <w:color w:val="000000"/>
          <w:kern w:val="2"/>
          <w:sz w:val="32"/>
          <w:szCs w:val="32"/>
          <w:lang w:val="en-US" w:eastAsia="zh-CN" w:bidi="ar-SA"/>
        </w:rPr>
        <w:t>河道管理范围线。</w:t>
      </w:r>
      <w:r>
        <w:rPr>
          <w:rFonts w:hint="eastAsia" w:ascii="Times New Roman" w:hAnsi="Times New Roman" w:eastAsia="方正仿宋_GBK" w:cs="Times New Roman"/>
          <w:color w:val="000000"/>
          <w:kern w:val="2"/>
          <w:sz w:val="32"/>
          <w:szCs w:val="32"/>
          <w:lang w:val="en-US" w:eastAsia="zh-CN" w:bidi="ar-SA"/>
        </w:rPr>
        <w:t>严格落实</w:t>
      </w:r>
      <w:r>
        <w:rPr>
          <w:rFonts w:hint="eastAsia" w:ascii="Times New Roman" w:hAnsi="Times New Roman" w:eastAsia="方正仿宋_GBK" w:cs="Times New Roman"/>
          <w:color w:val="000000"/>
          <w:kern w:val="2"/>
          <w:sz w:val="32"/>
          <w:szCs w:val="32"/>
          <w:lang w:val="en-US" w:eastAsia="zh-CN" w:bidi="ar-SA"/>
        </w:rPr>
        <w:fldChar w:fldCharType="begin"/>
      </w:r>
      <w:r>
        <w:rPr>
          <w:rFonts w:hint="eastAsia" w:ascii="Times New Roman" w:hAnsi="Times New Roman" w:eastAsia="方正仿宋_GBK" w:cs="Times New Roman"/>
          <w:color w:val="000000"/>
          <w:kern w:val="2"/>
          <w:sz w:val="32"/>
          <w:szCs w:val="32"/>
          <w:lang w:val="en-US" w:eastAsia="zh-CN" w:bidi="ar-SA"/>
        </w:rPr>
        <w:instrText xml:space="preserve"> REF _Ref233799203 \h  \* MERGEFORMAT </w:instrText>
      </w:r>
      <w:r>
        <w:rPr>
          <w:rFonts w:hint="eastAsia" w:ascii="Times New Roman" w:hAnsi="Times New Roman" w:eastAsia="方正仿宋_GBK" w:cs="Times New Roman"/>
          <w:color w:val="000000"/>
          <w:kern w:val="2"/>
          <w:sz w:val="32"/>
          <w:szCs w:val="32"/>
          <w:lang w:val="en-US" w:eastAsia="zh-CN" w:bidi="ar-SA"/>
        </w:rPr>
        <w:fldChar w:fldCharType="separate"/>
      </w:r>
      <w:r>
        <w:rPr>
          <w:rFonts w:hint="eastAsia" w:ascii="Times New Roman" w:hAnsi="Times New Roman" w:eastAsia="方正仿宋_GBK" w:cs="Times New Roman"/>
          <w:color w:val="000000"/>
          <w:kern w:val="2"/>
          <w:sz w:val="32"/>
          <w:szCs w:val="32"/>
          <w:lang w:val="en-US" w:eastAsia="zh-CN" w:bidi="ar-SA"/>
        </w:rPr>
        <w:t>《中华人民共和国防洪法》</w:t>
      </w:r>
      <w:r>
        <w:rPr>
          <w:rFonts w:hint="eastAsia" w:ascii="Times New Roman" w:hAnsi="Times New Roman" w:eastAsia="方正仿宋_GBK" w:cs="Times New Roman"/>
          <w:color w:val="000000"/>
          <w:kern w:val="2"/>
          <w:sz w:val="32"/>
          <w:szCs w:val="32"/>
          <w:lang w:val="en-US" w:eastAsia="zh-CN" w:bidi="ar-SA"/>
        </w:rPr>
        <w:fldChar w:fldCharType="end"/>
      </w:r>
      <w:r>
        <w:rPr>
          <w:rFonts w:hint="eastAsia" w:ascii="Times New Roman" w:hAnsi="Times New Roman" w:eastAsia="方正仿宋_GBK" w:cs="Times New Roman"/>
          <w:color w:val="000000"/>
          <w:kern w:val="2"/>
          <w:sz w:val="32"/>
          <w:szCs w:val="32"/>
          <w:lang w:val="en-US" w:eastAsia="zh-CN" w:bidi="ar-SA"/>
        </w:rPr>
        <w:t>《中华人民共和国河道管理条例》</w:t>
      </w:r>
      <w:r>
        <w:rPr>
          <w:rFonts w:hint="eastAsia" w:ascii="Times New Roman" w:hAnsi="Times New Roman" w:eastAsia="方正仿宋_GBK" w:cs="Times New Roman"/>
          <w:color w:val="000000"/>
          <w:kern w:val="2"/>
          <w:sz w:val="32"/>
          <w:szCs w:val="32"/>
          <w:lang w:val="en-US" w:eastAsia="zh-CN" w:bidi="ar-SA"/>
        </w:rPr>
        <w:fldChar w:fldCharType="begin"/>
      </w:r>
      <w:r>
        <w:rPr>
          <w:rFonts w:hint="eastAsia" w:ascii="Times New Roman" w:hAnsi="Times New Roman" w:eastAsia="方正仿宋_GBK" w:cs="Times New Roman"/>
          <w:color w:val="000000"/>
          <w:kern w:val="2"/>
          <w:sz w:val="32"/>
          <w:szCs w:val="32"/>
          <w:lang w:val="en-US" w:eastAsia="zh-CN" w:bidi="ar-SA"/>
        </w:rPr>
        <w:instrText xml:space="preserve"> REF _Ref233796614 \h  \* MERGEFORMAT </w:instrText>
      </w:r>
      <w:r>
        <w:rPr>
          <w:rFonts w:hint="eastAsia" w:ascii="Times New Roman" w:hAnsi="Times New Roman" w:eastAsia="方正仿宋_GBK" w:cs="Times New Roman"/>
          <w:color w:val="000000"/>
          <w:kern w:val="2"/>
          <w:sz w:val="32"/>
          <w:szCs w:val="32"/>
          <w:lang w:val="en-US" w:eastAsia="zh-CN" w:bidi="ar-SA"/>
        </w:rPr>
        <w:fldChar w:fldCharType="separate"/>
      </w:r>
      <w:r>
        <w:rPr>
          <w:rFonts w:hint="eastAsia" w:ascii="Times New Roman" w:hAnsi="Times New Roman" w:eastAsia="方正仿宋_GBK" w:cs="Times New Roman"/>
          <w:color w:val="000000"/>
          <w:kern w:val="2"/>
          <w:sz w:val="32"/>
          <w:szCs w:val="32"/>
          <w:lang w:val="en-US" w:eastAsia="zh-CN" w:bidi="ar-SA"/>
        </w:rPr>
        <w:t>《重庆市河道管理条例》</w:t>
      </w:r>
      <w:r>
        <w:rPr>
          <w:rFonts w:hint="eastAsia" w:ascii="Times New Roman" w:hAnsi="Times New Roman" w:eastAsia="方正仿宋_GBK" w:cs="Times New Roman"/>
          <w:color w:val="000000"/>
          <w:kern w:val="2"/>
          <w:sz w:val="32"/>
          <w:szCs w:val="32"/>
          <w:lang w:val="en-US" w:eastAsia="zh-CN" w:bidi="ar-SA"/>
        </w:rPr>
        <w:fldChar w:fldCharType="end"/>
      </w:r>
      <w:r>
        <w:rPr>
          <w:rFonts w:hint="eastAsia" w:ascii="Times New Roman" w:hAnsi="Times New Roman" w:eastAsia="方正仿宋_GBK" w:cs="Times New Roman"/>
          <w:color w:val="000000"/>
          <w:kern w:val="2"/>
          <w:sz w:val="32"/>
          <w:szCs w:val="32"/>
          <w:lang w:val="en-US" w:eastAsia="zh-CN" w:bidi="ar-SA"/>
        </w:rPr>
        <w:fldChar w:fldCharType="begin"/>
      </w:r>
      <w:r>
        <w:rPr>
          <w:rFonts w:hint="eastAsia" w:ascii="Times New Roman" w:hAnsi="Times New Roman" w:eastAsia="方正仿宋_GBK" w:cs="Times New Roman"/>
          <w:color w:val="000000"/>
          <w:kern w:val="2"/>
          <w:sz w:val="32"/>
          <w:szCs w:val="32"/>
          <w:lang w:val="en-US" w:eastAsia="zh-CN" w:bidi="ar-SA"/>
        </w:rPr>
        <w:instrText xml:space="preserve"> REF _Ref233796519 \h  \* MERGEFORMAT </w:instrText>
      </w:r>
      <w:r>
        <w:rPr>
          <w:rFonts w:hint="eastAsia" w:ascii="Times New Roman" w:hAnsi="Times New Roman" w:eastAsia="方正仿宋_GBK" w:cs="Times New Roman"/>
          <w:color w:val="000000"/>
          <w:kern w:val="2"/>
          <w:sz w:val="32"/>
          <w:szCs w:val="32"/>
          <w:lang w:val="en-US" w:eastAsia="zh-CN" w:bidi="ar-SA"/>
        </w:rPr>
        <w:fldChar w:fldCharType="separate"/>
      </w:r>
      <w:r>
        <w:rPr>
          <w:rFonts w:hint="eastAsia" w:ascii="Times New Roman" w:hAnsi="Times New Roman" w:eastAsia="方正仿宋_GBK" w:cs="Times New Roman"/>
          <w:color w:val="000000"/>
          <w:kern w:val="2"/>
          <w:sz w:val="32"/>
          <w:szCs w:val="32"/>
          <w:lang w:val="en-US" w:eastAsia="zh-CN" w:bidi="ar-SA"/>
        </w:rPr>
        <w:t>《重庆市水污染防治条例》</w:t>
      </w:r>
      <w:r>
        <w:rPr>
          <w:rFonts w:hint="eastAsia" w:ascii="Times New Roman" w:hAnsi="Times New Roman" w:eastAsia="方正仿宋_GBK" w:cs="Times New Roman"/>
          <w:color w:val="000000"/>
          <w:kern w:val="2"/>
          <w:sz w:val="32"/>
          <w:szCs w:val="32"/>
          <w:lang w:val="en-US" w:eastAsia="zh-CN" w:bidi="ar-SA"/>
        </w:rPr>
        <w:fldChar w:fldCharType="end"/>
      </w:r>
      <w:r>
        <w:rPr>
          <w:rFonts w:hint="eastAsia" w:ascii="Times New Roman" w:hAnsi="Times New Roman" w:eastAsia="方正仿宋_GBK" w:cs="Times New Roman"/>
          <w:color w:val="000000"/>
          <w:kern w:val="2"/>
          <w:sz w:val="32"/>
          <w:szCs w:val="32"/>
          <w:lang w:val="en-US" w:eastAsia="zh-CN" w:bidi="ar-SA"/>
        </w:rPr>
        <w:t>等要求。严禁在河道管理范围线内建设任何妨碍行洪的建筑物、构筑物，严禁开展与河湖管理无关、影响河势稳定、危害河道堤防护岸安全、妨碍河道行洪的建设行为。在河道管理范围线内开展必要的建设应征求水利主管部门意见。</w:t>
      </w:r>
    </w:p>
    <w:p w14:paraId="25496E51">
      <w:pPr>
        <w:keepNext w:val="0"/>
        <w:keepLines w:val="0"/>
        <w:widowControl/>
        <w:suppressLineNumbers w:val="0"/>
        <w:jc w:val="left"/>
        <w:rPr>
          <w:rFonts w:hint="eastAsia" w:cs="Times New Roman"/>
          <w:color w:val="000000"/>
          <w:kern w:val="2"/>
          <w:sz w:val="32"/>
          <w:szCs w:val="32"/>
          <w:highlight w:val="none"/>
          <w:lang w:val="en-US" w:eastAsia="zh-CN" w:bidi="ar-SA"/>
        </w:rPr>
      </w:pPr>
      <w:r>
        <w:rPr>
          <w:rFonts w:hint="eastAsia" w:ascii="Times New Roman" w:hAnsi="Times New Roman" w:eastAsia="方正仿宋_GBK" w:cs="Times New Roman"/>
          <w:b/>
          <w:bCs/>
          <w:color w:val="000000"/>
          <w:kern w:val="2"/>
          <w:sz w:val="32"/>
          <w:szCs w:val="32"/>
          <w:lang w:val="en-US" w:eastAsia="zh-CN" w:bidi="ar-SA"/>
        </w:rPr>
        <w:t>自然保护地。</w:t>
      </w:r>
      <w:r>
        <w:rPr>
          <w:rFonts w:hint="eastAsia" w:ascii="Times New Roman" w:hAnsi="Times New Roman" w:eastAsia="方正仿宋_GBK" w:cs="Times New Roman"/>
          <w:color w:val="000000"/>
          <w:kern w:val="2"/>
          <w:sz w:val="32"/>
          <w:szCs w:val="32"/>
          <w:highlight w:val="none"/>
          <w:lang w:val="en-US" w:eastAsia="zh-CN" w:bidi="ar-SA"/>
        </w:rPr>
        <w:t>“通则”适用范围内</w:t>
      </w:r>
      <w:r>
        <w:rPr>
          <w:rFonts w:hint="eastAsia" w:cs="Times New Roman"/>
          <w:color w:val="000000"/>
          <w:kern w:val="2"/>
          <w:sz w:val="32"/>
          <w:szCs w:val="32"/>
          <w:highlight w:val="none"/>
          <w:lang w:val="en-US" w:eastAsia="zh-CN" w:bidi="ar-SA"/>
        </w:rPr>
        <w:t>涉及重庆阴条岭国家级自然保护区、重庆长江三峡国际风景名胜区（巫溪段）、重庆巫溪红池坝风景名胜区3 个自然保护地。</w:t>
      </w:r>
      <w:r>
        <w:rPr>
          <w:rFonts w:hint="eastAsia" w:cs="Times New Roman"/>
          <w:color w:val="000000"/>
          <w:kern w:val="2"/>
          <w:sz w:val="32"/>
          <w:szCs w:val="32"/>
          <w:highlight w:val="none"/>
          <w:lang w:val="en-US" w:eastAsia="zh" w:bidi="ar-SA"/>
        </w:rPr>
        <w:t>乡</w:t>
      </w:r>
      <w:r>
        <w:rPr>
          <w:rFonts w:hint="eastAsia" w:cs="Times New Roman"/>
          <w:color w:val="000000"/>
          <w:kern w:val="2"/>
          <w:sz w:val="32"/>
          <w:szCs w:val="32"/>
          <w:highlight w:val="none"/>
          <w:lang w:val="en-US" w:eastAsia="zh-CN" w:bidi="ar-SA"/>
        </w:rPr>
        <w:t xml:space="preserve">村建设涉及自然保护地的，严格遵循《中华人民共和国自然保护区条例》《自然保护地管理条例》及重庆市生态保护红线、自然保护地管控相关规定，并应符合自然保护地专项规划。自然保护地内严禁不符合主体功 </w:t>
      </w:r>
      <w:r>
        <w:rPr>
          <w:rFonts w:hint="default" w:cs="Times New Roman"/>
          <w:color w:val="000000"/>
          <w:kern w:val="2"/>
          <w:sz w:val="32"/>
          <w:szCs w:val="32"/>
          <w:highlight w:val="none"/>
          <w:lang w:val="en-US" w:eastAsia="zh-CN" w:bidi="ar-SA"/>
        </w:rPr>
        <w:t>能定位的各类开发活动，因地制宜实施生态移民搬迁</w:t>
      </w:r>
      <w:r>
        <w:rPr>
          <w:rFonts w:hint="eastAsia" w:cs="Times New Roman"/>
          <w:color w:val="000000"/>
          <w:kern w:val="2"/>
          <w:sz w:val="32"/>
          <w:szCs w:val="32"/>
          <w:highlight w:val="none"/>
          <w:lang w:val="en-US" w:eastAsia="zh-CN" w:bidi="ar-SA"/>
        </w:rPr>
        <w:t>，原有居民暂时不能搬迁的，确需开展生产生活必要的</w:t>
      </w:r>
      <w:r>
        <w:rPr>
          <w:rFonts w:hint="eastAsia" w:cs="Times New Roman"/>
          <w:color w:val="000000"/>
          <w:kern w:val="2"/>
          <w:sz w:val="32"/>
          <w:szCs w:val="32"/>
          <w:highlight w:val="none"/>
          <w:lang w:val="en-US" w:eastAsia="zh" w:bidi="ar-SA"/>
        </w:rPr>
        <w:t>乡村建设</w:t>
      </w:r>
      <w:r>
        <w:rPr>
          <w:rFonts w:hint="eastAsia" w:cs="Times New Roman"/>
          <w:color w:val="000000"/>
          <w:kern w:val="2"/>
          <w:sz w:val="32"/>
          <w:szCs w:val="32"/>
          <w:highlight w:val="none"/>
          <w:lang w:val="en-US" w:eastAsia="zh-CN" w:bidi="ar-SA"/>
        </w:rPr>
        <w:t>时，应当以不超出现有规模和利用强度、合理改善生产生活条件为前提，并向林业主管部门和相关管理机构报备，接受其指导和监督。区域性基础设施、公用设施应尽量避免穿越</w:t>
      </w:r>
      <w:r>
        <w:rPr>
          <w:rFonts w:hint="default" w:cs="Times New Roman"/>
          <w:color w:val="000000"/>
          <w:kern w:val="2"/>
          <w:sz w:val="32"/>
          <w:szCs w:val="32"/>
          <w:highlight w:val="none"/>
          <w:lang w:val="en-US" w:eastAsia="zh-CN" w:bidi="ar-SA"/>
        </w:rPr>
        <w:t>自然保护地，必须穿越的，应进行可行性评估，在确保不会对生态环境和景观资源造成损害之后方可实施</w:t>
      </w:r>
      <w:r>
        <w:rPr>
          <w:rFonts w:hint="eastAsia" w:cs="Times New Roman"/>
          <w:color w:val="000000"/>
          <w:kern w:val="2"/>
          <w:sz w:val="32"/>
          <w:szCs w:val="32"/>
          <w:highlight w:val="none"/>
          <w:lang w:val="en-US" w:eastAsia="zh-CN" w:bidi="ar-SA"/>
        </w:rPr>
        <w:t>。</w:t>
      </w:r>
    </w:p>
    <w:p w14:paraId="490B7386">
      <w:pPr>
        <w:keepNext w:val="0"/>
        <w:keepLines w:val="0"/>
        <w:widowControl/>
        <w:suppressLineNumbers w:val="0"/>
        <w:jc w:val="left"/>
        <w:rPr>
          <w:rFonts w:hint="eastAsia" w:cs="Times New Roman"/>
          <w:color w:val="000000"/>
          <w:kern w:val="2"/>
          <w:sz w:val="32"/>
          <w:szCs w:val="32"/>
          <w:highlight w:val="none"/>
          <w:lang w:val="en-US" w:eastAsia="zh-CN" w:bidi="ar-SA"/>
        </w:rPr>
      </w:pPr>
      <w:r>
        <w:rPr>
          <w:rFonts w:hint="eastAsia" w:cs="Times New Roman"/>
          <w:color w:val="000000"/>
          <w:kern w:val="2"/>
          <w:sz w:val="32"/>
          <w:szCs w:val="32"/>
          <w:highlight w:val="none"/>
          <w:lang w:val="en-US" w:eastAsia="zh-CN" w:bidi="ar-SA"/>
        </w:rPr>
        <w:t>规划引导自然保护地核心保护区内原住居民住宅向一般控制区、生态保护红线外进行迁建。因地质灾害避险搬迁、生态环境保护和安全防护需要以及项目经批准占用实施搬迁，选址确实难以避让生态保护红线、对生态环境不造成影响的，在严格落实宅基地“一户一宅”规定前提下，由村社出具确需迁建意见，经县人民政府组织规划自然资源、农业农村、生态环境、林业等部门开展论证，出具允许有限人为活动认定意见后，可在生态保护红线内按不超过原建设用地规模（以第三次全国国土调查及年度国土变更调查数据确定的建设用地规模为准）和宅基地用地标准进行异地迁建，并按规定办理用地手续。</w:t>
      </w:r>
    </w:p>
    <w:p w14:paraId="70E37142">
      <w:pPr>
        <w:pStyle w:val="48"/>
        <w:ind w:firstLine="643"/>
        <w:rPr>
          <w:rFonts w:hint="eastAsia"/>
        </w:rPr>
      </w:pPr>
      <w:r>
        <w:rPr>
          <w:rFonts w:hint="eastAsia"/>
          <w:b/>
          <w:bCs/>
        </w:rPr>
        <w:t>Ⅰ级保护林地、公益林、天然林、国有林地。</w:t>
      </w:r>
      <w:r>
        <w:rPr>
          <w:rFonts w:hint="eastAsia"/>
        </w:rPr>
        <w:t>建设项目应当不占或者少占林地，确需使用林地的，应当经县级以上林业主管部门审核同意，依法办理建设用地审批手续。各类建设项目不得使用Ⅰ级保护林地，可以使用Ⅱ级及其以下保护林地。农村村民宅基地建设不得占用国有林地，尽量不占公益林和天然林。</w:t>
      </w:r>
      <w:r>
        <w:rPr>
          <w:rFonts w:hint="eastAsia" w:ascii="Times New Roman" w:hAnsi="Times New Roman" w:eastAsia="方正仿宋_GBK" w:cs="Times New Roman"/>
          <w:sz w:val="32"/>
          <w:szCs w:val="32"/>
          <w:lang w:eastAsia="zh-CN"/>
        </w:rPr>
        <w:t>严禁变相搞别墅、高尔夫球场等违法违规行为</w:t>
      </w:r>
      <w:r>
        <w:rPr>
          <w:rFonts w:hint="eastAsia" w:cs="Times New Roman"/>
          <w:sz w:val="32"/>
          <w:szCs w:val="32"/>
          <w:lang w:eastAsia="zh-CN"/>
        </w:rPr>
        <w:t>。</w:t>
      </w:r>
      <w:r>
        <w:rPr>
          <w:rFonts w:hint="eastAsia"/>
        </w:rPr>
        <w:t>在保护森林资源和生态的前提下，可依法利用公益林的林下资源、林间空地、林缘林地等，适度发展林下经济、生态旅游、森林康养、自然教育等绿色富民产业。</w:t>
      </w:r>
      <w:r>
        <w:rPr>
          <w:rFonts w:hint="eastAsia" w:ascii="Times New Roman" w:hAnsi="Times New Roman" w:eastAsia="方正仿宋_GBK" w:cs="Times New Roman"/>
          <w:sz w:val="32"/>
          <w:szCs w:val="32"/>
          <w:lang w:eastAsia="zh-CN"/>
        </w:rPr>
        <w:t>结合农村公益性基础设施建设和相关行业发展规划实施，支持林业产业路、旅游路、资源路等集体林基础设施建设。</w:t>
      </w:r>
    </w:p>
    <w:p w14:paraId="5CE58FDF">
      <w:pPr>
        <w:keepNext w:val="0"/>
        <w:keepLines w:val="0"/>
        <w:widowControl/>
        <w:suppressLineNumbers w:val="0"/>
        <w:jc w:val="left"/>
        <w:rPr>
          <w:rFonts w:hint="eastAsia"/>
        </w:rPr>
      </w:pPr>
      <w:r>
        <w:rPr>
          <w:rFonts w:hint="eastAsia"/>
          <w:b/>
          <w:bCs/>
          <w:highlight w:val="none"/>
        </w:rPr>
        <w:t>机场净空保护区。</w:t>
      </w:r>
      <w:r>
        <w:rPr>
          <w:rFonts w:ascii="仿宋_GB2312" w:hAnsi="宋体" w:eastAsia="仿宋_GB2312" w:cs="仿宋_GB2312"/>
          <w:color w:val="000000"/>
          <w:kern w:val="0"/>
          <w:sz w:val="32"/>
          <w:szCs w:val="32"/>
          <w:lang w:val="en-US" w:eastAsia="zh-CN" w:bidi="ar"/>
        </w:rPr>
        <w:t>望天坪</w:t>
      </w:r>
      <w:r>
        <w:rPr>
          <w:rFonts w:hint="eastAsia"/>
          <w:highlight w:val="none"/>
        </w:rPr>
        <w:t>机场</w:t>
      </w:r>
      <w:r>
        <w:rPr>
          <w:rFonts w:hint="eastAsia"/>
          <w:highlight w:val="none"/>
          <w:lang w:eastAsia="zh-CN"/>
        </w:rPr>
        <w:t>（</w:t>
      </w:r>
      <w:r>
        <w:rPr>
          <w:rFonts w:hint="eastAsia"/>
          <w:highlight w:val="none"/>
          <w:lang w:val="en-US" w:eastAsia="zh-CN"/>
        </w:rPr>
        <w:t>规划</w:t>
      </w:r>
      <w:r>
        <w:rPr>
          <w:rFonts w:hint="eastAsia"/>
          <w:highlight w:val="none"/>
          <w:lang w:eastAsia="zh-CN"/>
        </w:rPr>
        <w:t>）</w:t>
      </w:r>
      <w:r>
        <w:rPr>
          <w:rFonts w:hint="eastAsia"/>
          <w:highlight w:val="none"/>
        </w:rPr>
        <w:t>净空保护区内严格管控建（构）筑物高度，禁建高亮度光源、烟源、鸟源设施，严格按照</w:t>
      </w:r>
      <w:r>
        <w:rPr>
          <w:rFonts w:hint="eastAsia"/>
          <w:highlight w:val="none"/>
        </w:rPr>
        <w:fldChar w:fldCharType="begin"/>
      </w:r>
      <w:r>
        <w:rPr>
          <w:rFonts w:hint="eastAsia"/>
          <w:highlight w:val="none"/>
        </w:rPr>
        <w:instrText xml:space="preserve"> REF _Ref233796772 \h  \* MERGEFORMAT </w:instrText>
      </w:r>
      <w:r>
        <w:rPr>
          <w:rFonts w:hint="eastAsia"/>
          <w:highlight w:val="none"/>
        </w:rPr>
        <w:fldChar w:fldCharType="separate"/>
      </w:r>
      <w:r>
        <w:rPr>
          <w:rFonts w:hint="eastAsia"/>
          <w:highlight w:val="none"/>
        </w:rPr>
        <w:t>《中华人民共和国民用航空法》</w:t>
      </w:r>
      <w:r>
        <w:rPr>
          <w:rFonts w:hint="eastAsia"/>
          <w:highlight w:val="none"/>
        </w:rPr>
        <w:fldChar w:fldCharType="end"/>
      </w:r>
      <w:r>
        <w:rPr>
          <w:rFonts w:hint="eastAsia"/>
          <w:highlight w:val="none"/>
        </w:rPr>
        <w:fldChar w:fldCharType="begin"/>
      </w:r>
      <w:r>
        <w:rPr>
          <w:rFonts w:hint="eastAsia"/>
          <w:highlight w:val="none"/>
        </w:rPr>
        <w:instrText xml:space="preserve"> REF _Ref233808297 \h  \* MERGEFORMAT </w:instrText>
      </w:r>
      <w:r>
        <w:rPr>
          <w:rFonts w:hint="eastAsia"/>
          <w:highlight w:val="none"/>
        </w:rPr>
        <w:fldChar w:fldCharType="separate"/>
      </w:r>
      <w:r>
        <w:rPr>
          <w:rFonts w:hint="eastAsia"/>
          <w:highlight w:val="none"/>
        </w:rPr>
        <w:t>《民用机场管理条例》</w:t>
      </w:r>
      <w:r>
        <w:rPr>
          <w:rFonts w:hint="eastAsia"/>
          <w:highlight w:val="none"/>
        </w:rPr>
        <w:fldChar w:fldCharType="end"/>
      </w:r>
      <w:r>
        <w:rPr>
          <w:rFonts w:hint="eastAsia"/>
          <w:highlight w:val="none"/>
        </w:rPr>
        <w:fldChar w:fldCharType="begin"/>
      </w:r>
      <w:r>
        <w:rPr>
          <w:rFonts w:hint="eastAsia"/>
          <w:highlight w:val="none"/>
        </w:rPr>
        <w:instrText xml:space="preserve"> REF _Ref233808356 \h  \* MERGEFORMAT </w:instrText>
      </w:r>
      <w:r>
        <w:rPr>
          <w:rFonts w:hint="eastAsia"/>
          <w:highlight w:val="none"/>
        </w:rPr>
        <w:fldChar w:fldCharType="separate"/>
      </w:r>
      <w:r>
        <w:rPr>
          <w:rFonts w:hint="eastAsia"/>
          <w:highlight w:val="none"/>
        </w:rPr>
        <w:t>《运输机场净空保护管理办法》</w:t>
      </w:r>
      <w:r>
        <w:rPr>
          <w:rFonts w:hint="eastAsia"/>
          <w:highlight w:val="none"/>
        </w:rPr>
        <w:fldChar w:fldCharType="end"/>
      </w:r>
      <w:r>
        <w:rPr>
          <w:rFonts w:hint="eastAsia"/>
          <w:highlight w:val="none"/>
        </w:rPr>
        <w:fldChar w:fldCharType="begin"/>
      </w:r>
      <w:r>
        <w:rPr>
          <w:rFonts w:hint="eastAsia"/>
          <w:highlight w:val="none"/>
        </w:rPr>
        <w:instrText xml:space="preserve"> REF _Ref233808426 \h  \* MERGEFORMAT </w:instrText>
      </w:r>
      <w:r>
        <w:rPr>
          <w:rFonts w:hint="eastAsia"/>
          <w:highlight w:val="none"/>
        </w:rPr>
        <w:fldChar w:fldCharType="separate"/>
      </w:r>
      <w:r>
        <w:rPr>
          <w:rFonts w:hint="eastAsia"/>
          <w:highlight w:val="none"/>
        </w:rPr>
        <w:t>《民用机场净空保护区域内建设项目净空审核管理办法》</w:t>
      </w:r>
      <w:r>
        <w:rPr>
          <w:rFonts w:hint="eastAsia"/>
          <w:highlight w:val="none"/>
        </w:rPr>
        <w:fldChar w:fldCharType="end"/>
      </w:r>
      <w:r>
        <w:rPr>
          <w:rFonts w:hint="eastAsia"/>
          <w:highlight w:val="none"/>
        </w:rPr>
        <w:t>等有关规范进行管控。</w:t>
      </w:r>
    </w:p>
    <w:p w14:paraId="30203D51">
      <w:pPr>
        <w:pStyle w:val="48"/>
        <w:ind w:firstLine="643"/>
        <w:rPr>
          <w:rFonts w:hint="eastAsia"/>
        </w:rPr>
      </w:pPr>
      <w:r>
        <w:rPr>
          <w:rFonts w:hint="eastAsia"/>
          <w:b/>
          <w:bCs/>
        </w:rPr>
        <w:t>重大基础设施廊道</w:t>
      </w:r>
      <w:r>
        <w:rPr>
          <w:rFonts w:hint="eastAsia"/>
          <w:b/>
          <w:bCs/>
          <w:lang w:eastAsia="zh-CN"/>
        </w:rPr>
        <w:t>。</w:t>
      </w:r>
      <w:r>
        <w:rPr>
          <w:rFonts w:hint="eastAsia"/>
          <w:lang w:val="en-US" w:eastAsia="zh-CN"/>
        </w:rPr>
        <w:t>严格落实上位规划确定的高电压等级电力线路、油气长输管道、高压燃气管道等重大基础设施廊道控制范围以及其他法律法规禁止建设建（构）筑物的区域。</w:t>
      </w:r>
      <w:r>
        <w:rPr>
          <w:rFonts w:hint="eastAsia"/>
        </w:rPr>
        <w:t>严格</w:t>
      </w:r>
      <w:r>
        <w:rPr>
          <w:rFonts w:hint="eastAsia"/>
          <w:lang w:val="en-US" w:eastAsia="zh-CN"/>
        </w:rPr>
        <w:t>遵照</w:t>
      </w:r>
      <w:r>
        <w:rPr>
          <w:rFonts w:hint="eastAsia"/>
        </w:rPr>
        <w:fldChar w:fldCharType="begin"/>
      </w:r>
      <w:r>
        <w:rPr>
          <w:rFonts w:hint="eastAsia"/>
        </w:rPr>
        <w:instrText xml:space="preserve"> REF _Ref233796663 \h  \* MERGEFORMAT </w:instrText>
      </w:r>
      <w:r>
        <w:rPr>
          <w:rFonts w:hint="eastAsia"/>
        </w:rPr>
        <w:fldChar w:fldCharType="separate"/>
      </w:r>
      <w:r>
        <w:rPr>
          <w:rFonts w:hint="eastAsia"/>
        </w:rPr>
        <w:t>《电力设施保护条例》</w:t>
      </w:r>
      <w:r>
        <w:rPr>
          <w:rFonts w:hint="eastAsia"/>
        </w:rPr>
        <w:fldChar w:fldCharType="end"/>
      </w:r>
      <w:r>
        <w:rPr>
          <w:rFonts w:hint="eastAsia"/>
        </w:rPr>
        <w:fldChar w:fldCharType="begin"/>
      </w:r>
      <w:r>
        <w:rPr>
          <w:rFonts w:hint="eastAsia"/>
        </w:rPr>
        <w:instrText xml:space="preserve"> REF _Ref233796673 \h  \* MERGEFORMAT </w:instrText>
      </w:r>
      <w:r>
        <w:rPr>
          <w:rFonts w:hint="eastAsia"/>
        </w:rPr>
        <w:fldChar w:fldCharType="separate"/>
      </w:r>
      <w:r>
        <w:rPr>
          <w:rFonts w:hint="eastAsia"/>
        </w:rPr>
        <w:t>《中华人民共和国石油天然气管道保护法》</w:t>
      </w:r>
      <w:r>
        <w:rPr>
          <w:rFonts w:hint="eastAsia"/>
        </w:rPr>
        <w:fldChar w:fldCharType="end"/>
      </w:r>
      <w:r>
        <w:rPr>
          <w:rFonts w:hint="eastAsia"/>
        </w:rPr>
        <w:t>《燃气工程项目规范》等</w:t>
      </w:r>
      <w:r>
        <w:rPr>
          <w:rFonts w:hint="eastAsia"/>
          <w:lang w:val="en-US" w:eastAsia="zh-CN"/>
        </w:rPr>
        <w:t>规定执行</w:t>
      </w:r>
      <w:r>
        <w:rPr>
          <w:rFonts w:hint="eastAsia"/>
        </w:rPr>
        <w:t>。</w:t>
      </w:r>
    </w:p>
    <w:p w14:paraId="5319D02E">
      <w:pPr>
        <w:pStyle w:val="5"/>
        <w:ind w:firstLine="643"/>
      </w:pPr>
      <w:bookmarkStart w:id="7" w:name="_Toc11143"/>
      <w:r>
        <w:rPr>
          <w:rFonts w:hint="eastAsia" w:ascii="Times New Roman" w:hAnsi="Times New Roman"/>
        </w:rPr>
        <w:t>第</w:t>
      </w:r>
      <w:r>
        <w:rPr>
          <w:rFonts w:hint="eastAsia" w:ascii="Times New Roman" w:hAnsi="Times New Roman"/>
          <w:lang w:val="en-US" w:eastAsia="zh-CN"/>
        </w:rPr>
        <w:t>七</w:t>
      </w:r>
      <w:r>
        <w:rPr>
          <w:rFonts w:hint="eastAsia" w:ascii="Times New Roman" w:hAnsi="Times New Roman"/>
        </w:rPr>
        <w:t>条 衔接重大项目实施范围</w:t>
      </w:r>
      <w:bookmarkEnd w:id="7"/>
    </w:p>
    <w:p w14:paraId="1141047C">
      <w:pPr>
        <w:pStyle w:val="48"/>
        <w:ind w:firstLine="643"/>
        <w:rPr>
          <w:rFonts w:hint="eastAsia"/>
        </w:rPr>
      </w:pPr>
      <w:r>
        <w:rPr>
          <w:rFonts w:hint="eastAsia"/>
          <w:lang w:val="en-US" w:eastAsia="zh-CN"/>
        </w:rPr>
        <w:t>严格传导落实国土空间总体规划、各类专项规划划定的县域交通、能源、水利、产业、公共服务等重大规划项目空间实施区域</w:t>
      </w:r>
      <w:r>
        <w:rPr>
          <w:rFonts w:hint="eastAsia"/>
        </w:rPr>
        <w:t>。乡村建设</w:t>
      </w:r>
      <w:r>
        <w:rPr>
          <w:rFonts w:hint="eastAsia"/>
          <w:lang w:val="en-US" w:eastAsia="zh-CN"/>
        </w:rPr>
        <w:t>应</w:t>
      </w:r>
      <w:r>
        <w:rPr>
          <w:rFonts w:hint="eastAsia"/>
        </w:rPr>
        <w:t>充分避让重大项目建设控制范围，</w:t>
      </w:r>
      <w:bookmarkStart w:id="8" w:name="_Toc19598"/>
      <w:r>
        <w:rPr>
          <w:rFonts w:hint="eastAsia"/>
        </w:rPr>
        <w:t>确因特殊情况无法避让的，应开展论证说明，并书面征得相关主管部门同意后方可实施。</w:t>
      </w:r>
    </w:p>
    <w:p w14:paraId="0CA0AB54">
      <w:pPr>
        <w:pStyle w:val="5"/>
        <w:ind w:firstLine="643"/>
        <w:rPr>
          <w:rFonts w:hint="eastAsia" w:ascii="Times New Roman" w:hAnsi="Times New Roman"/>
        </w:rPr>
      </w:pPr>
      <w:r>
        <w:rPr>
          <w:rFonts w:hint="eastAsia" w:ascii="Times New Roman" w:hAnsi="Times New Roman"/>
        </w:rPr>
        <w:t>第</w:t>
      </w:r>
      <w:r>
        <w:rPr>
          <w:rFonts w:hint="eastAsia" w:ascii="Times New Roman" w:hAnsi="Times New Roman"/>
          <w:lang w:val="en-US" w:eastAsia="zh-CN"/>
        </w:rPr>
        <w:t>八</w:t>
      </w:r>
      <w:r>
        <w:rPr>
          <w:rFonts w:hint="eastAsia" w:ascii="Times New Roman" w:hAnsi="Times New Roman"/>
        </w:rPr>
        <w:t>条 负面管控清单</w:t>
      </w:r>
      <w:bookmarkEnd w:id="8"/>
    </w:p>
    <w:p w14:paraId="7099FCB0">
      <w:pPr>
        <w:rPr>
          <w:rFonts w:hint="eastAsia"/>
          <w:lang w:val="en-US" w:eastAsia="zh-CN"/>
        </w:rPr>
      </w:pPr>
      <w:r>
        <w:rPr>
          <w:rFonts w:hint="eastAsia"/>
          <w:lang w:val="en-US" w:eastAsia="zh-CN"/>
        </w:rPr>
        <w:t>依据土地管理法等法律法规、农村乱占耕地建房“八不准”、禁止商品住宅开发等相关政策规定，确定乡村建设负面管控清单（详见附录5）。国家和市级政策另有规定的，按最新规定执行。</w:t>
      </w:r>
    </w:p>
    <w:p w14:paraId="3A56B394">
      <w:pPr>
        <w:pStyle w:val="4"/>
        <w:adjustRightInd/>
        <w:snapToGrid/>
        <w:spacing w:before="340" w:after="330"/>
        <w:rPr>
          <w:bCs/>
          <w:highlight w:val="none"/>
        </w:rPr>
      </w:pPr>
      <w:bookmarkStart w:id="9" w:name="_Toc21413"/>
      <w:r>
        <w:rPr>
          <w:rFonts w:hint="eastAsia"/>
          <w:bCs/>
          <w:highlight w:val="none"/>
        </w:rPr>
        <w:t>第三章  规划管理要求</w:t>
      </w:r>
      <w:bookmarkEnd w:id="9"/>
    </w:p>
    <w:p w14:paraId="69D9229D">
      <w:pPr>
        <w:pStyle w:val="5"/>
        <w:ind w:firstLine="643"/>
        <w:rPr>
          <w:rFonts w:hint="default" w:ascii="Times New Roman" w:hAnsi="Times New Roman" w:eastAsia="楷体"/>
          <w:lang w:val="en-US" w:eastAsia="zh-CN"/>
        </w:rPr>
      </w:pPr>
      <w:bookmarkStart w:id="10" w:name="_Toc2892"/>
      <w:r>
        <w:rPr>
          <w:rFonts w:hint="eastAsia" w:ascii="Times New Roman" w:hAnsi="Times New Roman"/>
        </w:rPr>
        <w:t>第</w:t>
      </w:r>
      <w:r>
        <w:rPr>
          <w:rFonts w:hint="eastAsia" w:ascii="Times New Roman" w:hAnsi="Times New Roman"/>
          <w:lang w:val="en-US" w:eastAsia="zh-CN"/>
        </w:rPr>
        <w:t>九</w:t>
      </w:r>
      <w:r>
        <w:rPr>
          <w:rFonts w:hint="eastAsia" w:ascii="Times New Roman" w:hAnsi="Times New Roman"/>
        </w:rPr>
        <w:t xml:space="preserve">条 </w:t>
      </w:r>
      <w:bookmarkEnd w:id="10"/>
      <w:r>
        <w:rPr>
          <w:rFonts w:hint="eastAsia" w:ascii="Times New Roman" w:hAnsi="Times New Roman"/>
          <w:lang w:val="en-US" w:eastAsia="zh-CN"/>
        </w:rPr>
        <w:t>指标约束</w:t>
      </w:r>
    </w:p>
    <w:p w14:paraId="7F364AD4">
      <w:pPr>
        <w:keepNext w:val="0"/>
        <w:keepLines w:val="0"/>
        <w:widowControl/>
        <w:suppressLineNumbers w:val="0"/>
        <w:jc w:val="left"/>
        <w:rPr>
          <w:rFonts w:hint="eastAsia"/>
          <w:lang w:val="en-US" w:eastAsia="zh-CN"/>
        </w:rPr>
      </w:pPr>
      <w:r>
        <w:rPr>
          <w:rFonts w:hint="eastAsia"/>
          <w:lang w:val="en-US" w:eastAsia="zh-CN"/>
        </w:rPr>
        <w:t>根据《重庆市巫溪县国土空间总体规划（2021—2035年）》，至2035年，</w:t>
      </w:r>
      <w:r>
        <w:rPr>
          <w:rFonts w:hint="eastAsia"/>
          <w:highlight w:val="none"/>
          <w:lang w:val="en-US" w:eastAsia="zh-CN"/>
        </w:rPr>
        <w:t>县域生态保护红线面积不小于2068.32平方千米，永久基本农田保护面积不低于2</w:t>
      </w:r>
      <w:r>
        <w:rPr>
          <w:rFonts w:hint="eastAsia"/>
          <w:color w:val="auto"/>
          <w:highlight w:val="none"/>
          <w:lang w:val="en-US" w:eastAsia="zh-CN"/>
        </w:rPr>
        <w:t>8.40万亩，适用范围内耕地保有量不低于50.79万亩。村庄用地规模原则</w:t>
      </w:r>
      <w:r>
        <w:rPr>
          <w:rFonts w:hint="eastAsia"/>
          <w:lang w:val="en-US" w:eastAsia="zh-CN"/>
        </w:rPr>
        <w:t>上不超过适用范围内（扣除城镇开发边界部分）的</w:t>
      </w:r>
      <w:r>
        <w:rPr>
          <w:rFonts w:hint="default"/>
          <w:lang w:val="en-US" w:eastAsia="zh-CN"/>
        </w:rPr>
        <w:t>2020</w:t>
      </w:r>
      <w:r>
        <w:rPr>
          <w:rFonts w:hint="eastAsia"/>
          <w:lang w:val="en-US" w:eastAsia="zh-CN"/>
        </w:rPr>
        <w:t>年度国土变更调查村庄用地（</w:t>
      </w:r>
      <w:r>
        <w:rPr>
          <w:rFonts w:hint="default"/>
          <w:lang w:val="en-US" w:eastAsia="zh-CN"/>
        </w:rPr>
        <w:t>203</w:t>
      </w:r>
      <w:r>
        <w:rPr>
          <w:rFonts w:hint="eastAsia"/>
          <w:lang w:val="en-US" w:eastAsia="zh-CN"/>
        </w:rPr>
        <w:t>）规模，</w:t>
      </w:r>
      <w:r>
        <w:rPr>
          <w:rFonts w:hint="eastAsia"/>
          <w:color w:val="auto"/>
          <w:highlight w:val="none"/>
          <w:lang w:val="en-US" w:eastAsia="zh-CN"/>
        </w:rPr>
        <w:t>应控制在8643.46公顷以内。</w:t>
      </w:r>
    </w:p>
    <w:p w14:paraId="060BEDFA">
      <w:pPr>
        <w:pStyle w:val="5"/>
        <w:ind w:firstLine="643"/>
        <w:rPr>
          <w:rFonts w:hint="default" w:ascii="Times New Roman" w:hAnsi="Times New Roman" w:eastAsia="楷体"/>
          <w:lang w:val="en-US" w:eastAsia="zh-CN"/>
        </w:rPr>
      </w:pPr>
      <w:r>
        <w:rPr>
          <w:rFonts w:hint="eastAsia" w:ascii="Times New Roman" w:hAnsi="Times New Roman"/>
          <w:lang w:val="en-US" w:eastAsia="zh-CN"/>
        </w:rPr>
        <w:t xml:space="preserve">第十条 </w:t>
      </w:r>
      <w:r>
        <w:rPr>
          <w:rFonts w:hint="eastAsia" w:ascii="Times New Roman" w:hAnsi="Times New Roman" w:eastAsia="楷体"/>
          <w:lang w:val="en-US" w:eastAsia="zh-CN"/>
        </w:rPr>
        <w:t>统筹管理</w:t>
      </w:r>
    </w:p>
    <w:p w14:paraId="280232B1">
      <w:pPr>
        <w:pStyle w:val="48"/>
        <w:ind w:firstLine="643"/>
        <w:rPr>
          <w:rFonts w:hint="eastAsia"/>
          <w:lang w:val="en-US" w:eastAsia="zh-CN"/>
        </w:rPr>
      </w:pPr>
      <w:r>
        <w:rPr>
          <w:rFonts w:hint="eastAsia"/>
          <w:lang w:val="en-US" w:eastAsia="zh-CN"/>
        </w:rPr>
        <w:t>在确保全县村庄用地规模总量不变前提下，村庄用地指标可根据实际情况在“县域-乡镇”两级内</w:t>
      </w:r>
      <w:r>
        <w:rPr>
          <w:rFonts w:hint="eastAsia"/>
          <w:highlight w:val="none"/>
          <w:lang w:val="en-US" w:eastAsia="zh-CN"/>
        </w:rPr>
        <w:t>统筹平衡，即将村庄用地结余指标的80%作为县域村庄用地预留指标，用于</w:t>
      </w:r>
      <w:r>
        <w:rPr>
          <w:rFonts w:hint="eastAsia"/>
          <w:lang w:val="en-US" w:eastAsia="zh-CN"/>
        </w:rPr>
        <w:t>保障市级、县级乡村重点项目，剩余指标分配至各乡镇。乡镇村庄用地规模突破其分配指标后仍确有合理用地需求的，可按规定申请使用县级指标。</w:t>
      </w:r>
    </w:p>
    <w:p w14:paraId="1FE51A41">
      <w:pPr>
        <w:pStyle w:val="5"/>
        <w:ind w:firstLine="643"/>
        <w:rPr>
          <w:rFonts w:ascii="Times New Roman" w:hAnsi="Times New Roman"/>
        </w:rPr>
      </w:pPr>
      <w:bookmarkStart w:id="11" w:name="_Toc6981"/>
      <w:r>
        <w:rPr>
          <w:rFonts w:hint="eastAsia" w:ascii="Times New Roman" w:hAnsi="Times New Roman"/>
        </w:rPr>
        <w:t>第</w:t>
      </w:r>
      <w:r>
        <w:rPr>
          <w:rFonts w:hint="eastAsia" w:ascii="Times New Roman" w:hAnsi="Times New Roman"/>
          <w:lang w:val="en-US" w:eastAsia="zh-CN"/>
        </w:rPr>
        <w:t>十一</w:t>
      </w:r>
      <w:r>
        <w:rPr>
          <w:rFonts w:hint="eastAsia" w:ascii="Times New Roman" w:hAnsi="Times New Roman"/>
        </w:rPr>
        <w:t>条 用地指引</w:t>
      </w:r>
      <w:bookmarkEnd w:id="11"/>
    </w:p>
    <w:p w14:paraId="6233E7C0">
      <w:pPr>
        <w:pStyle w:val="6"/>
        <w:numPr>
          <w:ilvl w:val="0"/>
          <w:numId w:val="3"/>
        </w:numPr>
        <w:ind w:left="0" w:firstLine="709" w:firstLineChars="0"/>
      </w:pPr>
      <w:r>
        <w:rPr>
          <w:rFonts w:hint="eastAsia"/>
          <w:lang w:val="en-US" w:eastAsia="zh-CN"/>
        </w:rPr>
        <w:t>选址</w:t>
      </w:r>
      <w:r>
        <w:rPr>
          <w:rFonts w:hint="eastAsia"/>
        </w:rPr>
        <w:t>通用</w:t>
      </w:r>
      <w:r>
        <w:rPr>
          <w:rFonts w:hint="eastAsia"/>
          <w:lang w:val="en-US" w:eastAsia="zh-CN"/>
        </w:rPr>
        <w:t>性规定</w:t>
      </w:r>
    </w:p>
    <w:p w14:paraId="2B3A7FD5">
      <w:pPr>
        <w:ind w:firstLine="643"/>
        <w:rPr>
          <w:b/>
          <w:bCs/>
        </w:rPr>
      </w:pPr>
      <w:r>
        <w:rPr>
          <w:rFonts w:hint="eastAsia"/>
          <w:b/>
          <w:bCs/>
        </w:rPr>
        <w:t>1.乡村建设</w:t>
      </w:r>
      <w:r>
        <w:rPr>
          <w:rFonts w:hint="eastAsia"/>
          <w:b/>
          <w:bCs/>
          <w:lang w:val="en-US" w:eastAsia="zh-CN"/>
        </w:rPr>
        <w:t>项目</w:t>
      </w:r>
      <w:r>
        <w:rPr>
          <w:rFonts w:hint="eastAsia"/>
          <w:b/>
          <w:bCs/>
        </w:rPr>
        <w:t>应避免在下列地点或地段选址：</w:t>
      </w:r>
    </w:p>
    <w:p w14:paraId="7C639825">
      <w:r>
        <w:rPr>
          <w:rFonts w:hint="eastAsia"/>
        </w:rPr>
        <w:t>1）底线约束区域。永久基本农田、生态保护红线内自然保护地核心保护区、饮用水源一级保护区、历史文化核心保护范围。</w:t>
      </w:r>
    </w:p>
    <w:p w14:paraId="0DF956F2">
      <w:r>
        <w:rPr>
          <w:rFonts w:hint="eastAsia"/>
        </w:rPr>
        <w:t>2）资源保护区域。Ⅰ级保护林地；不可移动文物、历史建筑及古树名木的保护范围；重要湿地保护范围；有开采价值的地下矿产资源分布区域。</w:t>
      </w:r>
    </w:p>
    <w:p w14:paraId="4DA1F973">
      <w:r>
        <w:rPr>
          <w:rFonts w:hint="eastAsia"/>
        </w:rPr>
        <w:t>3）安全防护区域。地质灾害危险区、洪涝灾害危险区（洪水位线以下区域）；河道管理范围和水库、渠道的控制区范围内；危险化学品生产企业、易燃易爆物品仓库和存在安全隐患的建构筑物周边；高压电力、油气、燃气等管道运输走廊，军事等重要设施，铁路和公路等区域交通廊道及其安全防护区；污水处理厂、垃圾焚烧厂、垃圾填埋场、殡仪馆等邻避设施防护区；可能占用、堵塞、封闭疏散通道、安全出口、消防车道的区域。</w:t>
      </w:r>
    </w:p>
    <w:p w14:paraId="21F1DB00">
      <w:r>
        <w:rPr>
          <w:rFonts w:hint="eastAsia"/>
        </w:rPr>
        <w:t>4）其他区域。法律法规禁止建设建（构）筑物的其他区域。</w:t>
      </w:r>
    </w:p>
    <w:p w14:paraId="4FF5D54F">
      <w:pPr>
        <w:ind w:firstLine="643"/>
        <w:rPr>
          <w:b/>
          <w:bCs/>
        </w:rPr>
      </w:pPr>
      <w:r>
        <w:rPr>
          <w:rFonts w:hint="eastAsia"/>
          <w:b/>
          <w:bCs/>
        </w:rPr>
        <w:t>2.乡村建设</w:t>
      </w:r>
      <w:r>
        <w:rPr>
          <w:rFonts w:hint="eastAsia"/>
          <w:b/>
          <w:bCs/>
          <w:lang w:val="en-US" w:eastAsia="zh-CN"/>
        </w:rPr>
        <w:t>项目</w:t>
      </w:r>
      <w:r>
        <w:rPr>
          <w:rFonts w:hint="eastAsia"/>
          <w:b/>
          <w:bCs/>
        </w:rPr>
        <w:t>选址应符合以下要求：</w:t>
      </w:r>
    </w:p>
    <w:p w14:paraId="55387A44">
      <w:pPr>
        <w:rPr>
          <w:rFonts w:hint="eastAsia"/>
          <w:lang w:val="en-US" w:eastAsia="zh-CN"/>
        </w:rPr>
      </w:pPr>
      <w:r>
        <w:rPr>
          <w:rFonts w:hint="eastAsia"/>
          <w:lang w:val="en-US" w:eastAsia="zh-CN"/>
        </w:rPr>
        <w:t>1</w:t>
      </w:r>
      <w:r>
        <w:rPr>
          <w:rFonts w:hint="eastAsia"/>
        </w:rPr>
        <w:t>）</w:t>
      </w:r>
      <w:r>
        <w:rPr>
          <w:rFonts w:hint="eastAsia"/>
          <w:lang w:val="en-US" w:eastAsia="zh-CN"/>
        </w:rPr>
        <w:t>选址应</w:t>
      </w:r>
      <w:r>
        <w:rPr>
          <w:rFonts w:hint="eastAsia"/>
        </w:rPr>
        <w:t>符合“通则”第二章规定的底线管控要求</w:t>
      </w:r>
      <w:r>
        <w:rPr>
          <w:rFonts w:hint="eastAsia"/>
          <w:lang w:eastAsia="zh-CN"/>
        </w:rPr>
        <w:t>。</w:t>
      </w:r>
    </w:p>
    <w:p w14:paraId="2CBDA2A9">
      <w:pPr>
        <w:rPr>
          <w:rFonts w:hint="eastAsia"/>
          <w:lang w:val="en-US" w:eastAsia="zh-CN"/>
        </w:rPr>
      </w:pPr>
      <w:r>
        <w:rPr>
          <w:rFonts w:hint="eastAsia"/>
          <w:lang w:val="en-US" w:eastAsia="zh-CN"/>
        </w:rPr>
        <w:t>2</w:t>
      </w:r>
      <w:r>
        <w:rPr>
          <w:rFonts w:hint="eastAsia"/>
        </w:rPr>
        <w:t>）</w:t>
      </w:r>
      <w:r>
        <w:rPr>
          <w:rFonts w:hint="eastAsia"/>
          <w:lang w:val="en-US" w:eastAsia="zh-CN"/>
        </w:rPr>
        <w:t>优先使用存量建设用地，推进闲置宅基地、废弃厂房、废弃校舍、零散空地等盘活利用；新增村庄建设用地应充分利用村内空闲地或其他未利用地，少占或不占耕地，与现状建设用地相邻成片</w:t>
      </w:r>
      <w:r>
        <w:rPr>
          <w:rFonts w:hint="eastAsia"/>
          <w:lang w:eastAsia="zh-CN"/>
        </w:rPr>
        <w:t>，</w:t>
      </w:r>
      <w:r>
        <w:rPr>
          <w:rFonts w:hint="eastAsia"/>
        </w:rPr>
        <w:t>引导</w:t>
      </w:r>
      <w:r>
        <w:rPr>
          <w:rFonts w:hint="eastAsia"/>
          <w:lang w:val="en-US" w:eastAsia="zh-CN"/>
        </w:rPr>
        <w:t>乡村建设</w:t>
      </w:r>
      <w:r>
        <w:rPr>
          <w:rFonts w:hint="eastAsia"/>
        </w:rPr>
        <w:t>集中布局</w:t>
      </w:r>
      <w:r>
        <w:rPr>
          <w:rFonts w:hint="eastAsia"/>
          <w:lang w:eastAsia="zh-CN"/>
        </w:rPr>
        <w:t>，</w:t>
      </w:r>
      <w:r>
        <w:rPr>
          <w:rFonts w:hint="eastAsia"/>
          <w:lang w:val="en-US" w:eastAsia="zh-CN"/>
        </w:rPr>
        <w:t>促进土地节约集约利用。</w:t>
      </w:r>
    </w:p>
    <w:p w14:paraId="5C8E6132">
      <w:pPr>
        <w:rPr>
          <w:rFonts w:hint="eastAsia"/>
        </w:rPr>
      </w:pPr>
      <w:r>
        <w:rPr>
          <w:rFonts w:hint="eastAsia"/>
          <w:lang w:val="en-US" w:eastAsia="zh-CN"/>
        </w:rPr>
        <w:t>3</w:t>
      </w:r>
      <w:r>
        <w:rPr>
          <w:rFonts w:hint="eastAsia"/>
        </w:rPr>
        <w:t>）优先选址在地质条件稳定、环境适宜、交通便利、</w:t>
      </w:r>
      <w:r>
        <w:rPr>
          <w:rFonts w:hint="eastAsia"/>
          <w:lang w:val="en-US" w:eastAsia="zh-CN"/>
        </w:rPr>
        <w:t>配套</w:t>
      </w:r>
      <w:r>
        <w:rPr>
          <w:rFonts w:hint="eastAsia"/>
        </w:rPr>
        <w:t>设施相对完善的地段。除有邻避效应和特殊要求</w:t>
      </w:r>
      <w:r>
        <w:rPr>
          <w:rFonts w:hint="eastAsia"/>
          <w:lang w:val="en-US" w:eastAsia="zh-CN"/>
        </w:rPr>
        <w:t>的项目</w:t>
      </w:r>
      <w:r>
        <w:rPr>
          <w:rFonts w:hint="eastAsia"/>
        </w:rPr>
        <w:t>外，</w:t>
      </w:r>
      <w:r>
        <w:rPr>
          <w:rFonts w:hint="eastAsia"/>
          <w:lang w:val="en-US" w:eastAsia="zh-CN"/>
        </w:rPr>
        <w:t>农村住房、公共服务、产业项目、市政设施的布局应相对集中、功能互补</w:t>
      </w:r>
      <w:r>
        <w:rPr>
          <w:rFonts w:hint="eastAsia"/>
        </w:rPr>
        <w:t>。</w:t>
      </w:r>
    </w:p>
    <w:p w14:paraId="780E420C">
      <w:pPr>
        <w:rPr>
          <w:rFonts w:hint="eastAsia"/>
        </w:rPr>
      </w:pPr>
      <w:r>
        <w:rPr>
          <w:rFonts w:hint="eastAsia"/>
          <w:lang w:val="en-US" w:eastAsia="zh-CN"/>
        </w:rPr>
        <w:t>4</w:t>
      </w:r>
      <w:r>
        <w:rPr>
          <w:rFonts w:hint="eastAsia"/>
        </w:rPr>
        <w:t>）应与已批复详细规划、全域土地综合整治项目实施方案、耕地保护和国土绿化空间专项规划、殡葬设施专项规划、矿产资源专项规划、“四好农村路”建设专项工作等做好衔接，统筹优化</w:t>
      </w:r>
      <w:r>
        <w:rPr>
          <w:rFonts w:hint="eastAsia"/>
          <w:lang w:eastAsia="zh"/>
        </w:rPr>
        <w:t>乡村地区</w:t>
      </w:r>
      <w:r>
        <w:rPr>
          <w:rFonts w:hint="eastAsia"/>
        </w:rPr>
        <w:t>空间布局。</w:t>
      </w:r>
    </w:p>
    <w:p w14:paraId="28803E59">
      <w:pPr>
        <w:pStyle w:val="6"/>
        <w:numPr>
          <w:ilvl w:val="0"/>
          <w:numId w:val="3"/>
        </w:numPr>
        <w:ind w:left="0" w:firstLine="709" w:firstLineChars="0"/>
      </w:pPr>
      <w:r>
        <w:rPr>
          <w:rFonts w:hint="eastAsia"/>
        </w:rPr>
        <w:t>农村住房用地指引</w:t>
      </w:r>
    </w:p>
    <w:p w14:paraId="2FEFBF28">
      <w:pPr>
        <w:ind w:firstLine="643"/>
        <w:rPr>
          <w:b/>
          <w:bCs/>
        </w:rPr>
      </w:pPr>
      <w:r>
        <w:rPr>
          <w:rFonts w:hint="eastAsia"/>
          <w:b/>
          <w:bCs/>
        </w:rPr>
        <w:t>1.选址要求</w:t>
      </w:r>
    </w:p>
    <w:p w14:paraId="5A141DA1">
      <w:r>
        <w:rPr>
          <w:rFonts w:hint="eastAsia"/>
        </w:rPr>
        <w:t>除通用</w:t>
      </w:r>
      <w:r>
        <w:rPr>
          <w:rFonts w:hint="eastAsia"/>
          <w:lang w:val="en-US" w:eastAsia="zh-CN"/>
        </w:rPr>
        <w:t>性规定</w:t>
      </w:r>
      <w:r>
        <w:rPr>
          <w:rFonts w:hint="eastAsia"/>
        </w:rPr>
        <w:t>外，农村住房选址还应当符合以下要求：</w:t>
      </w:r>
    </w:p>
    <w:p w14:paraId="1AC5730B">
      <w:r>
        <w:rPr>
          <w:rFonts w:hint="eastAsia"/>
        </w:rPr>
        <w:t>1）严格落实“一户一宅”、农村乱占耕地建房“八不准”</w:t>
      </w:r>
    </w:p>
    <w:p w14:paraId="35901972">
      <w:pPr>
        <w:ind w:firstLine="0" w:firstLineChars="0"/>
        <w:rPr>
          <w:rFonts w:hint="eastAsia"/>
        </w:rPr>
      </w:pPr>
      <w:r>
        <w:rPr>
          <w:rFonts w:hint="eastAsia"/>
        </w:rPr>
        <w:t>政策要求。</w:t>
      </w:r>
    </w:p>
    <w:p w14:paraId="2661B6F8">
      <w:pPr>
        <w:numPr>
          <w:ilvl w:val="0"/>
          <w:numId w:val="4"/>
        </w:numPr>
        <w:rPr>
          <w:rFonts w:hint="eastAsia"/>
        </w:rPr>
      </w:pPr>
      <w:r>
        <w:rPr>
          <w:rFonts w:hint="eastAsia"/>
        </w:rPr>
        <w:t>处于地质灾害隐患点、威胁区的农房受灾户，一律不得原址建设，应按程序另外选址新建。</w:t>
      </w:r>
      <w:r>
        <w:rPr>
          <w:rFonts w:hint="eastAsia"/>
          <w:lang w:val="en-US" w:eastAsia="zh-CN"/>
        </w:rPr>
        <w:t>严格落实防灾安全要求，避免在地质灾害高易发区及极高和高风险区选址，确实难以避让的，应当开展地质灾害危险性评估，并按照评估要求采取相应的防治措施。</w:t>
      </w:r>
    </w:p>
    <w:p w14:paraId="723FD3BD">
      <w:pPr>
        <w:numPr>
          <w:ilvl w:val="0"/>
          <w:numId w:val="4"/>
        </w:numPr>
        <w:rPr>
          <w:rFonts w:hint="eastAsia"/>
          <w:lang w:val="en-US" w:eastAsia="zh-CN"/>
        </w:rPr>
      </w:pPr>
      <w:r>
        <w:rPr>
          <w:rFonts w:hint="eastAsia"/>
        </w:rPr>
        <w:t>新建农房选址坚持宜聚则聚、宜散则散、灵活布置的原则，注重保护和延续原有自然山水、村落格局</w:t>
      </w:r>
      <w:r>
        <w:rPr>
          <w:rFonts w:hint="eastAsia"/>
          <w:lang w:val="en-US" w:eastAsia="zh-CN"/>
        </w:rPr>
        <w:t>和建筑形态</w:t>
      </w:r>
      <w:r>
        <w:rPr>
          <w:rFonts w:hint="eastAsia"/>
        </w:rPr>
        <w:t>，顺应地形</w:t>
      </w:r>
      <w:r>
        <w:rPr>
          <w:rFonts w:hint="eastAsia"/>
          <w:lang w:eastAsia="zh-CN"/>
        </w:rPr>
        <w:t>，引导以8至10户为起点，“小”“微”适度集聚布局</w:t>
      </w:r>
    </w:p>
    <w:p w14:paraId="619EB5F3">
      <w:pPr>
        <w:numPr>
          <w:ilvl w:val="0"/>
          <w:numId w:val="4"/>
        </w:numPr>
        <w:rPr>
          <w:rFonts w:hint="eastAsia"/>
          <w:lang w:val="en-US" w:eastAsia="zh-CN"/>
        </w:rPr>
      </w:pPr>
      <w:r>
        <w:rPr>
          <w:rFonts w:hint="eastAsia"/>
          <w:lang w:val="en-US" w:eastAsia="zh-CN"/>
        </w:rPr>
        <w:t>经批准易地建造住宅的，应严格按照“建新拆旧”要求，将原宅基地交还村集体，因地制宜复垦或还绿。</w:t>
      </w:r>
    </w:p>
    <w:p w14:paraId="668AA936">
      <w:pPr>
        <w:ind w:firstLine="643"/>
        <w:rPr>
          <w:b/>
          <w:bCs/>
        </w:rPr>
      </w:pPr>
      <w:r>
        <w:rPr>
          <w:rFonts w:hint="eastAsia"/>
          <w:b/>
          <w:bCs/>
        </w:rPr>
        <w:t>2.建设标准</w:t>
      </w:r>
    </w:p>
    <w:p w14:paraId="552C208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pPr>
      <w:r>
        <w:rPr>
          <w:rFonts w:hint="eastAsia"/>
        </w:rPr>
        <w:t>村民宅基地标准执行</w:t>
      </w:r>
      <w:r>
        <w:rPr>
          <w:rFonts w:hint="eastAsia" w:ascii="Times New Roman" w:hAnsi="Times New Roman" w:cs="Times New Roman"/>
          <w:highlight w:val="none"/>
        </w:rPr>
        <w:fldChar w:fldCharType="begin"/>
      </w:r>
      <w:r>
        <w:rPr>
          <w:rFonts w:hint="eastAsia" w:ascii="Times New Roman" w:hAnsi="Times New Roman" w:cs="Times New Roman"/>
          <w:highlight w:val="none"/>
        </w:rPr>
        <w:instrText xml:space="preserve"> REF _Ref233897486 \h  \* MERGEFORMAT </w:instrText>
      </w:r>
      <w:r>
        <w:rPr>
          <w:rFonts w:hint="eastAsia" w:ascii="Times New Roman" w:hAnsi="Times New Roman" w:cs="Times New Roman"/>
          <w:highlight w:val="none"/>
        </w:rPr>
        <w:fldChar w:fldCharType="separate"/>
      </w:r>
      <w:r>
        <w:rPr>
          <w:rFonts w:hint="eastAsia" w:ascii="Times New Roman" w:hAnsi="Times New Roman" w:cs="Times New Roman"/>
          <w:highlight w:val="none"/>
        </w:rPr>
        <w:t>《重庆市土地管理规定》（渝府令〔1999〕53号）</w:t>
      </w:r>
      <w:r>
        <w:rPr>
          <w:rFonts w:hint="eastAsia" w:ascii="Times New Roman" w:hAnsi="Times New Roman" w:cs="Times New Roman"/>
          <w:highlight w:val="none"/>
        </w:rPr>
        <w:fldChar w:fldCharType="end"/>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通则</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适用范围内村民人均宅基地标准</w:t>
      </w:r>
      <w:r>
        <w:rPr>
          <w:rFonts w:hint="default" w:ascii="Times New Roman" w:hAnsi="Times New Roman" w:cs="Times New Roman"/>
          <w:highlight w:val="none"/>
        </w:rPr>
        <w:t>不得超过</w:t>
      </w:r>
      <w:r>
        <w:rPr>
          <w:rFonts w:hint="default" w:ascii="Times New Roman" w:hAnsi="Times New Roman" w:cs="Times New Roman"/>
          <w:highlight w:val="none"/>
          <w:lang w:val="en-US" w:eastAsia="zh-CN"/>
        </w:rPr>
        <w:t>30</w:t>
      </w:r>
      <w:r>
        <w:rPr>
          <w:rFonts w:hint="default" w:ascii="Times New Roman" w:hAnsi="Times New Roman" w:cs="Times New Roman"/>
          <w:highlight w:val="none"/>
        </w:rPr>
        <w:t>平方米，</w:t>
      </w:r>
      <w:r>
        <w:rPr>
          <w:rFonts w:hint="eastAsia" w:ascii="Times New Roman" w:hAnsi="Times New Roman" w:cs="Times New Roman"/>
          <w:highlight w:val="none"/>
          <w:lang w:val="en-US" w:eastAsia="zh-CN"/>
        </w:rPr>
        <w:t>3</w:t>
      </w:r>
      <w:r>
        <w:rPr>
          <w:rFonts w:hint="default" w:ascii="Times New Roman" w:hAnsi="Times New Roman" w:cs="Times New Roman"/>
          <w:highlight w:val="none"/>
          <w:lang w:val="en-US" w:eastAsia="zh-CN"/>
        </w:rPr>
        <w:t>人</w:t>
      </w:r>
      <w:r>
        <w:rPr>
          <w:rFonts w:hint="eastAsia" w:ascii="Times New Roman" w:hAnsi="Times New Roman" w:cs="Times New Roman"/>
          <w:highlight w:val="none"/>
          <w:lang w:val="en-US" w:eastAsia="zh-CN"/>
        </w:rPr>
        <w:t>户</w:t>
      </w:r>
      <w:r>
        <w:rPr>
          <w:rFonts w:hint="default" w:ascii="Times New Roman" w:hAnsi="Times New Roman" w:cs="Times New Roman"/>
          <w:highlight w:val="none"/>
          <w:lang w:val="en-US" w:eastAsia="zh-CN"/>
        </w:rPr>
        <w:t>以下按</w:t>
      </w:r>
      <w:r>
        <w:rPr>
          <w:rFonts w:hint="eastAsia" w:ascii="Times New Roman" w:hAnsi="Times New Roman" w:cs="Times New Roman"/>
          <w:highlight w:val="none"/>
          <w:lang w:val="en-US" w:eastAsia="zh-CN"/>
        </w:rPr>
        <w:t>3</w:t>
      </w:r>
      <w:r>
        <w:rPr>
          <w:rFonts w:hint="default" w:ascii="Times New Roman" w:hAnsi="Times New Roman" w:cs="Times New Roman"/>
          <w:highlight w:val="none"/>
          <w:lang w:val="en-US" w:eastAsia="zh-CN"/>
        </w:rPr>
        <w:t>人计算，</w:t>
      </w:r>
      <w:r>
        <w:rPr>
          <w:rFonts w:hint="eastAsia" w:ascii="Times New Roman" w:hAnsi="Times New Roman" w:cs="Times New Roman"/>
          <w:highlight w:val="none"/>
        </w:rPr>
        <w:t>4人户按4人计算，5人以上户按5人计算，</w:t>
      </w:r>
      <w:r>
        <w:rPr>
          <w:rFonts w:hint="default" w:ascii="Times New Roman" w:hAnsi="Times New Roman" w:cs="Times New Roman"/>
          <w:highlight w:val="none"/>
        </w:rPr>
        <w:t>一户最多不得超过1</w:t>
      </w:r>
      <w:r>
        <w:rPr>
          <w:rFonts w:hint="default" w:ascii="Times New Roman" w:hAnsi="Times New Roman" w:cs="Times New Roman"/>
          <w:highlight w:val="none"/>
          <w:lang w:val="en-US" w:eastAsia="zh-CN"/>
        </w:rPr>
        <w:t>5</w:t>
      </w:r>
      <w:r>
        <w:rPr>
          <w:rFonts w:hint="default" w:ascii="Times New Roman" w:hAnsi="Times New Roman" w:cs="Times New Roman"/>
          <w:highlight w:val="none"/>
        </w:rPr>
        <w:t>0平方米</w:t>
      </w:r>
      <w:r>
        <w:rPr>
          <w:rFonts w:hint="eastAsia" w:ascii="Times New Roman" w:hAnsi="Times New Roman" w:cs="Times New Roman"/>
          <w:highlight w:val="none"/>
        </w:rPr>
        <w:t>，改扩建住宅新占的土地面积应连同原有宅基地面积一并计算，如</w:t>
      </w:r>
      <w:r>
        <w:rPr>
          <w:rFonts w:hint="eastAsia" w:ascii="Times New Roman" w:hAnsi="Times New Roman" w:cs="Times New Roman"/>
          <w:highlight w:val="none"/>
          <w:lang w:val="en-US" w:eastAsia="zh-CN"/>
        </w:rPr>
        <w:t>政策调整</w:t>
      </w:r>
      <w:r>
        <w:rPr>
          <w:rFonts w:hint="eastAsia" w:ascii="Times New Roman" w:hAnsi="Times New Roman" w:cs="Times New Roman"/>
          <w:highlight w:val="none"/>
        </w:rPr>
        <w:t>，遵照新规定执行。</w:t>
      </w:r>
    </w:p>
    <w:p w14:paraId="1C76ECE9">
      <w:pPr>
        <w:pStyle w:val="6"/>
        <w:numPr>
          <w:ilvl w:val="0"/>
          <w:numId w:val="3"/>
        </w:numPr>
        <w:ind w:left="0" w:firstLine="709" w:firstLineChars="0"/>
        <w:rPr>
          <w:highlight w:val="none"/>
        </w:rPr>
      </w:pPr>
      <w:r>
        <w:rPr>
          <w:rFonts w:hint="eastAsia"/>
          <w:highlight w:val="none"/>
        </w:rPr>
        <w:t>乡村公共服务设施用地指引</w:t>
      </w:r>
    </w:p>
    <w:p w14:paraId="008B322F">
      <w:pPr>
        <w:ind w:firstLine="643"/>
        <w:rPr>
          <w:b/>
          <w:bCs/>
        </w:rPr>
      </w:pPr>
      <w:r>
        <w:rPr>
          <w:rFonts w:hint="eastAsia"/>
          <w:b/>
          <w:bCs/>
        </w:rPr>
        <w:t>1.选址要求</w:t>
      </w:r>
    </w:p>
    <w:p w14:paraId="1BE6E90B">
      <w:r>
        <w:rPr>
          <w:rFonts w:hint="eastAsia"/>
        </w:rPr>
        <w:t>除通用</w:t>
      </w:r>
      <w:r>
        <w:rPr>
          <w:rFonts w:hint="eastAsia"/>
          <w:lang w:val="en-US" w:eastAsia="zh-CN"/>
        </w:rPr>
        <w:t>性规定</w:t>
      </w:r>
      <w:r>
        <w:rPr>
          <w:rFonts w:hint="eastAsia"/>
        </w:rPr>
        <w:t>外，乡村公共服务设施选址布局还应当符合以下要求：</w:t>
      </w:r>
    </w:p>
    <w:p w14:paraId="538D65A9">
      <w:pPr>
        <w:keepNext w:val="0"/>
        <w:keepLines w:val="0"/>
        <w:widowControl/>
        <w:numPr>
          <w:ilvl w:val="0"/>
          <w:numId w:val="5"/>
        </w:numPr>
        <w:suppressLineNumbers w:val="0"/>
        <w:jc w:val="left"/>
        <w:rPr>
          <w:rFonts w:hint="eastAsia" w:ascii="Times New Roman" w:hAnsi="Times New Roman" w:eastAsia="方正仿宋_GBK" w:cs="Times New Roman"/>
          <w:sz w:val="32"/>
          <w:szCs w:val="32"/>
          <w:lang w:val="en-US" w:eastAsia="zh-CN"/>
        </w:rPr>
      </w:pPr>
      <w:r>
        <w:rPr>
          <w:rFonts w:hint="eastAsia"/>
          <w:lang w:val="en-US" w:eastAsia="zh-CN"/>
        </w:rPr>
        <w:t>鼓励乡村公共服务设施充分利用现有空间，</w:t>
      </w:r>
      <w:r>
        <w:rPr>
          <w:rFonts w:hint="eastAsia" w:ascii="Times New Roman" w:hAnsi="Times New Roman" w:eastAsia="方正仿宋_GBK" w:cs="Times New Roman"/>
          <w:sz w:val="32"/>
          <w:szCs w:val="32"/>
          <w:lang w:val="en-US" w:eastAsia="zh-CN"/>
        </w:rPr>
        <w:t>在满足使用要求和建设规范前提下</w:t>
      </w:r>
      <w:r>
        <w:rPr>
          <w:rFonts w:hint="eastAsia" w:cs="Times New Roman"/>
          <w:sz w:val="32"/>
          <w:szCs w:val="32"/>
          <w:lang w:val="en-US" w:eastAsia="zh-CN"/>
        </w:rPr>
        <w:t>，宜</w:t>
      </w:r>
      <w:r>
        <w:rPr>
          <w:rFonts w:hint="eastAsia"/>
          <w:lang w:val="en-US" w:eastAsia="zh-CN"/>
        </w:rPr>
        <w:t>综合行政管理、文教体育、医疗卫生、养老服务等功能复合设置。按照</w:t>
      </w:r>
      <w:r>
        <w:rPr>
          <w:rFonts w:ascii="仿宋" w:hAnsi="仿宋" w:eastAsia="仿宋" w:cs="仿宋"/>
          <w:color w:val="000000"/>
          <w:kern w:val="0"/>
          <w:sz w:val="31"/>
          <w:szCs w:val="31"/>
          <w:lang w:val="en-US" w:eastAsia="zh-CN" w:bidi="ar"/>
        </w:rPr>
        <w:t>“补齐短板、就近服务、复合利用”原则，</w:t>
      </w:r>
      <w:r>
        <w:rPr>
          <w:rFonts w:hint="eastAsia" w:ascii="仿宋" w:hAnsi="仿宋" w:eastAsia="仿宋" w:cs="仿宋"/>
          <w:color w:val="000000"/>
          <w:kern w:val="0"/>
          <w:sz w:val="31"/>
          <w:szCs w:val="31"/>
          <w:lang w:val="en-US" w:eastAsia="zh-CN" w:bidi="ar"/>
        </w:rPr>
        <w:t>宜选址在</w:t>
      </w:r>
      <w:r>
        <w:rPr>
          <w:rFonts w:hint="eastAsia" w:ascii="Times New Roman" w:hAnsi="Times New Roman" w:eastAsia="方正仿宋_GBK" w:cs="Times New Roman"/>
          <w:sz w:val="32"/>
          <w:szCs w:val="32"/>
          <w:lang w:val="en-US" w:eastAsia="zh-CN"/>
        </w:rPr>
        <w:t>位置适中、内外联系方便的地段，方便村民使用。</w:t>
      </w:r>
    </w:p>
    <w:p w14:paraId="5957F868">
      <w:pPr>
        <w:keepNext w:val="0"/>
        <w:keepLines w:val="0"/>
        <w:widowControl/>
        <w:numPr>
          <w:ilvl w:val="0"/>
          <w:numId w:val="5"/>
        </w:numPr>
        <w:suppressLineNumbers w:val="0"/>
        <w:jc w:val="left"/>
      </w:pPr>
      <w:r>
        <w:rPr>
          <w:rFonts w:hint="eastAsia"/>
          <w:lang w:val="en-US" w:eastAsia="zh-CN"/>
        </w:rPr>
        <w:t>毗邻城区、镇区的村庄可与城镇公共服务设施共享配置，相邻村庄宜共建共用公共服务设施，不需独立占地的可结合农村公共服务中心统一设置。</w:t>
      </w:r>
    </w:p>
    <w:p w14:paraId="04A3C419">
      <w:pPr>
        <w:keepNext w:val="0"/>
        <w:keepLines w:val="0"/>
        <w:widowControl/>
        <w:numPr>
          <w:ilvl w:val="0"/>
          <w:numId w:val="5"/>
        </w:numPr>
        <w:suppressLineNumbers w:val="0"/>
        <w:jc w:val="left"/>
      </w:pPr>
      <w:r>
        <w:rPr>
          <w:rFonts w:hint="eastAsia"/>
        </w:rPr>
        <w:t>原则上不再新建农村中、小学，确需新建的，其选址应符合国土空间总体规划和相关专项规划。</w:t>
      </w:r>
    </w:p>
    <w:p w14:paraId="4787068B">
      <w:pPr>
        <w:keepNext w:val="0"/>
        <w:keepLines w:val="0"/>
        <w:widowControl/>
        <w:numPr>
          <w:ilvl w:val="0"/>
          <w:numId w:val="5"/>
        </w:numPr>
        <w:suppressLineNumbers w:val="0"/>
        <w:jc w:val="left"/>
      </w:pPr>
      <w:r>
        <w:rPr>
          <w:rFonts w:hint="eastAsia"/>
        </w:rPr>
        <w:t>养老、托幼设施应布置在阳光充足、环境较佳的地段，托幼设施同时要方便家长接送。</w:t>
      </w:r>
    </w:p>
    <w:p w14:paraId="5517785A">
      <w:pPr>
        <w:keepNext w:val="0"/>
        <w:keepLines w:val="0"/>
        <w:widowControl/>
        <w:numPr>
          <w:ilvl w:val="0"/>
          <w:numId w:val="5"/>
        </w:numPr>
        <w:suppressLineNumbers w:val="0"/>
        <w:jc w:val="left"/>
      </w:pPr>
      <w:r>
        <w:rPr>
          <w:rFonts w:hint="eastAsia"/>
        </w:rPr>
        <w:t>公共绿地和广场应结合村民日常活动需求，优先布置在村口、村委会周边以及古树、古井、水塘等传统活动场所。</w:t>
      </w:r>
    </w:p>
    <w:p w14:paraId="0C2A4FBF">
      <w:pPr>
        <w:ind w:firstLine="643"/>
      </w:pPr>
      <w:r>
        <w:rPr>
          <w:rFonts w:hint="eastAsia"/>
          <w:b/>
          <w:bCs/>
        </w:rPr>
        <w:t>2.建设标准</w:t>
      </w:r>
    </w:p>
    <w:p w14:paraId="412DCCFE">
      <w:pPr>
        <w:rPr>
          <w:rFonts w:hint="eastAsia" w:eastAsia="方正仿宋_GBK"/>
          <w:lang w:eastAsia="zh-CN"/>
        </w:rPr>
      </w:pPr>
      <w:r>
        <w:rPr>
          <w:rFonts w:hint="eastAsia"/>
        </w:rPr>
        <w:t>乡村公共服务设施的建设标准</w:t>
      </w:r>
      <w:r>
        <w:rPr>
          <w:rFonts w:hint="eastAsia"/>
          <w:lang w:val="en-US" w:eastAsia="zh-CN"/>
        </w:rPr>
        <w:t>应符合</w:t>
      </w:r>
      <w:r>
        <w:rPr>
          <w:rFonts w:hint="eastAsia"/>
        </w:rPr>
        <w:t>《重庆市城乡公共服务设施规划规范》（DB50/T 543—2024）《重庆市15分钟生活圈规划导则》（YGZB 08 -2024）等要求。功能高度关联、合并设置的公共服务设施可</w:t>
      </w:r>
      <w:r>
        <w:rPr>
          <w:rFonts w:hint="eastAsia"/>
          <w:lang w:val="en-US" w:eastAsia="zh-CN"/>
        </w:rPr>
        <w:t>适当</w:t>
      </w:r>
      <w:r>
        <w:rPr>
          <w:rFonts w:hint="eastAsia"/>
        </w:rPr>
        <w:t>缩减规模，</w:t>
      </w:r>
      <w:r>
        <w:rPr>
          <w:rFonts w:hint="eastAsia"/>
          <w:lang w:val="en-US" w:eastAsia="zh-CN"/>
        </w:rPr>
        <w:t>具体可</w:t>
      </w:r>
      <w:r>
        <w:rPr>
          <w:rFonts w:hint="eastAsia"/>
        </w:rPr>
        <w:t>参照</w:t>
      </w:r>
      <w:r>
        <w:fldChar w:fldCharType="begin"/>
      </w:r>
      <w:r>
        <w:instrText xml:space="preserve"> </w:instrText>
      </w:r>
      <w:r>
        <w:rPr>
          <w:rFonts w:hint="eastAsia"/>
        </w:rPr>
        <w:instrText xml:space="preserve">REF _Ref233918247 \h</w:instrText>
      </w:r>
      <w:r>
        <w:instrText xml:space="preserve">  \* MERGEFORMAT </w:instrText>
      </w:r>
      <w:r>
        <w:fldChar w:fldCharType="separate"/>
      </w:r>
      <w:r>
        <w:rPr>
          <w:rFonts w:hint="eastAsia"/>
        </w:rPr>
        <w:t>表</w:t>
      </w:r>
      <w:r>
        <w:t>1</w:t>
      </w:r>
      <w:r>
        <w:fldChar w:fldCharType="end"/>
      </w:r>
      <w:r>
        <w:rPr>
          <w:rFonts w:hint="eastAsia"/>
        </w:rPr>
        <w:t>执行</w:t>
      </w:r>
      <w:r>
        <w:rPr>
          <w:rFonts w:hint="eastAsia"/>
          <w:lang w:eastAsia="zh-CN"/>
        </w:rPr>
        <w:t>。</w:t>
      </w:r>
    </w:p>
    <w:p w14:paraId="423FC820">
      <w:pPr>
        <w:pStyle w:val="10"/>
      </w:pPr>
      <w:bookmarkStart w:id="12" w:name="_Ref233918247"/>
      <w:r>
        <w:rPr>
          <w:rFonts w:hint="eastAsia"/>
        </w:rPr>
        <w:t xml:space="preserve">表 </w:t>
      </w:r>
      <w:r>
        <w:rPr>
          <w:rFonts w:hint="eastAsia"/>
        </w:rPr>
        <w:fldChar w:fldCharType="begin"/>
      </w:r>
      <w:r>
        <w:rPr>
          <w:rFonts w:hint="eastAsia"/>
        </w:rPr>
        <w:instrText xml:space="preserve"> SEQ 表 \* ARABIC </w:instrText>
      </w:r>
      <w:r>
        <w:rPr>
          <w:rFonts w:hint="eastAsia"/>
        </w:rPr>
        <w:fldChar w:fldCharType="separate"/>
      </w:r>
      <w:r>
        <w:rPr>
          <w:rFonts w:hint="eastAsia"/>
        </w:rPr>
        <w:t>1</w:t>
      </w:r>
      <w:r>
        <w:rPr>
          <w:rFonts w:hint="eastAsia"/>
        </w:rPr>
        <w:fldChar w:fldCharType="end"/>
      </w:r>
      <w:bookmarkEnd w:id="12"/>
      <w:r>
        <w:t>乡村公共服务设施配置建议</w:t>
      </w:r>
    </w:p>
    <w:tbl>
      <w:tblPr>
        <w:tblStyle w:val="23"/>
        <w:tblW w:w="8877" w:type="dxa"/>
        <w:tblInd w:w="0" w:type="dxa"/>
        <w:tblLayout w:type="fixed"/>
        <w:tblCellMar>
          <w:top w:w="0" w:type="dxa"/>
          <w:left w:w="108" w:type="dxa"/>
          <w:bottom w:w="0" w:type="dxa"/>
          <w:right w:w="108" w:type="dxa"/>
        </w:tblCellMar>
      </w:tblPr>
      <w:tblGrid>
        <w:gridCol w:w="806"/>
        <w:gridCol w:w="1501"/>
        <w:gridCol w:w="999"/>
        <w:gridCol w:w="1046"/>
        <w:gridCol w:w="961"/>
        <w:gridCol w:w="3564"/>
      </w:tblGrid>
      <w:tr w14:paraId="1036D377">
        <w:tblPrEx>
          <w:tblCellMar>
            <w:top w:w="0" w:type="dxa"/>
            <w:left w:w="108" w:type="dxa"/>
            <w:bottom w:w="0" w:type="dxa"/>
            <w:right w:w="108" w:type="dxa"/>
          </w:tblCellMar>
        </w:tblPrEx>
        <w:trPr>
          <w:trHeight w:val="291" w:hRule="atLeast"/>
          <w:tblHeader/>
        </w:trPr>
        <w:tc>
          <w:tcPr>
            <w:tcW w:w="806" w:type="dxa"/>
            <w:tcBorders>
              <w:top w:val="single" w:color="000000" w:sz="4" w:space="0"/>
              <w:left w:val="single" w:color="000000" w:sz="4" w:space="0"/>
              <w:bottom w:val="single" w:color="000000" w:sz="4" w:space="0"/>
              <w:right w:val="single" w:color="000000" w:sz="4" w:space="0"/>
            </w:tcBorders>
            <w:vAlign w:val="center"/>
          </w:tcPr>
          <w:p w14:paraId="5B57E5C0">
            <w:pPr>
              <w:pStyle w:val="37"/>
              <w:rPr>
                <w:rFonts w:eastAsia="仿宋"/>
                <w:b/>
                <w:bCs/>
              </w:rPr>
            </w:pPr>
            <w:r>
              <w:rPr>
                <w:rFonts w:hint="eastAsia" w:eastAsia="仿宋"/>
                <w:b/>
                <w:bCs/>
              </w:rPr>
              <w:t>类别</w:t>
            </w:r>
          </w:p>
        </w:tc>
        <w:tc>
          <w:tcPr>
            <w:tcW w:w="1501" w:type="dxa"/>
            <w:tcBorders>
              <w:top w:val="single" w:color="000000" w:sz="4" w:space="0"/>
              <w:left w:val="single" w:color="000000" w:sz="4" w:space="0"/>
              <w:bottom w:val="single" w:color="000000" w:sz="4" w:space="0"/>
              <w:right w:val="single" w:color="000000" w:sz="4" w:space="0"/>
            </w:tcBorders>
            <w:vAlign w:val="center"/>
          </w:tcPr>
          <w:p w14:paraId="0AA2F3FD">
            <w:pPr>
              <w:pStyle w:val="37"/>
              <w:rPr>
                <w:rFonts w:eastAsia="仿宋"/>
                <w:b/>
                <w:bCs/>
              </w:rPr>
            </w:pPr>
            <w:r>
              <w:rPr>
                <w:rFonts w:hint="eastAsia" w:eastAsia="仿宋"/>
                <w:b/>
                <w:bCs/>
              </w:rPr>
              <w:t>建筑名称</w:t>
            </w:r>
          </w:p>
        </w:tc>
        <w:tc>
          <w:tcPr>
            <w:tcW w:w="999" w:type="dxa"/>
            <w:tcBorders>
              <w:top w:val="single" w:color="000000" w:sz="4" w:space="0"/>
              <w:left w:val="single" w:color="000000" w:sz="4" w:space="0"/>
              <w:bottom w:val="single" w:color="000000" w:sz="4" w:space="0"/>
              <w:right w:val="single" w:color="000000" w:sz="4" w:space="0"/>
            </w:tcBorders>
            <w:vAlign w:val="center"/>
          </w:tcPr>
          <w:p w14:paraId="3E7B82E9">
            <w:pPr>
              <w:pStyle w:val="37"/>
              <w:rPr>
                <w:rFonts w:eastAsia="仿宋"/>
                <w:b/>
                <w:bCs/>
              </w:rPr>
            </w:pPr>
            <w:r>
              <w:rPr>
                <w:rFonts w:hint="eastAsia" w:eastAsia="仿宋"/>
                <w:b/>
                <w:bCs/>
              </w:rPr>
              <w:t>大型村</w:t>
            </w:r>
          </w:p>
        </w:tc>
        <w:tc>
          <w:tcPr>
            <w:tcW w:w="1046" w:type="dxa"/>
            <w:tcBorders>
              <w:top w:val="single" w:color="000000" w:sz="4" w:space="0"/>
              <w:left w:val="single" w:color="000000" w:sz="4" w:space="0"/>
              <w:bottom w:val="single" w:color="000000" w:sz="4" w:space="0"/>
              <w:right w:val="single" w:color="000000" w:sz="4" w:space="0"/>
            </w:tcBorders>
            <w:vAlign w:val="center"/>
          </w:tcPr>
          <w:p w14:paraId="45CB0A7C">
            <w:pPr>
              <w:pStyle w:val="37"/>
              <w:rPr>
                <w:rFonts w:eastAsia="仿宋"/>
                <w:b/>
                <w:bCs/>
              </w:rPr>
            </w:pPr>
            <w:r>
              <w:rPr>
                <w:rFonts w:hint="eastAsia" w:eastAsia="仿宋"/>
                <w:b/>
                <w:bCs/>
              </w:rPr>
              <w:t>中型村</w:t>
            </w:r>
          </w:p>
        </w:tc>
        <w:tc>
          <w:tcPr>
            <w:tcW w:w="961" w:type="dxa"/>
            <w:tcBorders>
              <w:top w:val="single" w:color="000000" w:sz="4" w:space="0"/>
              <w:left w:val="single" w:color="000000" w:sz="4" w:space="0"/>
              <w:bottom w:val="single" w:color="000000" w:sz="4" w:space="0"/>
              <w:right w:val="single" w:color="000000" w:sz="4" w:space="0"/>
            </w:tcBorders>
            <w:vAlign w:val="center"/>
          </w:tcPr>
          <w:p w14:paraId="20D48354">
            <w:pPr>
              <w:pStyle w:val="37"/>
              <w:rPr>
                <w:rFonts w:eastAsia="仿宋"/>
                <w:b/>
                <w:bCs/>
              </w:rPr>
            </w:pPr>
            <w:r>
              <w:rPr>
                <w:rFonts w:hint="eastAsia" w:eastAsia="仿宋"/>
                <w:b/>
                <w:bCs/>
              </w:rPr>
              <w:t>小型村</w:t>
            </w:r>
          </w:p>
        </w:tc>
        <w:tc>
          <w:tcPr>
            <w:tcW w:w="3564" w:type="dxa"/>
            <w:tcBorders>
              <w:top w:val="single" w:color="000000" w:sz="4" w:space="0"/>
              <w:left w:val="single" w:color="000000" w:sz="4" w:space="0"/>
              <w:bottom w:val="single" w:color="000000" w:sz="4" w:space="0"/>
              <w:right w:val="single" w:color="000000" w:sz="4" w:space="0"/>
            </w:tcBorders>
            <w:noWrap/>
            <w:vAlign w:val="center"/>
          </w:tcPr>
          <w:p w14:paraId="7A58B48E">
            <w:pPr>
              <w:pStyle w:val="37"/>
              <w:rPr>
                <w:rFonts w:eastAsia="仿宋"/>
                <w:b/>
                <w:bCs/>
              </w:rPr>
            </w:pPr>
            <w:r>
              <w:rPr>
                <w:rFonts w:hint="eastAsia" w:eastAsia="仿宋"/>
                <w:b/>
                <w:bCs/>
              </w:rPr>
              <w:t>建筑/用地面积（平方米）</w:t>
            </w:r>
          </w:p>
        </w:tc>
      </w:tr>
      <w:tr w14:paraId="670065FC">
        <w:tblPrEx>
          <w:tblCellMar>
            <w:top w:w="0" w:type="dxa"/>
            <w:left w:w="108" w:type="dxa"/>
            <w:bottom w:w="0" w:type="dxa"/>
            <w:right w:w="108" w:type="dxa"/>
          </w:tblCellMar>
        </w:tblPrEx>
        <w:trPr>
          <w:trHeight w:val="584" w:hRule="atLeast"/>
        </w:trPr>
        <w:tc>
          <w:tcPr>
            <w:tcW w:w="806" w:type="dxa"/>
            <w:tcBorders>
              <w:top w:val="single" w:color="000000" w:sz="4" w:space="0"/>
              <w:left w:val="single" w:color="000000" w:sz="4" w:space="0"/>
              <w:bottom w:val="single" w:color="000000" w:sz="4" w:space="0"/>
              <w:right w:val="single" w:color="000000" w:sz="4" w:space="0"/>
            </w:tcBorders>
            <w:vAlign w:val="center"/>
          </w:tcPr>
          <w:p w14:paraId="43D432C0">
            <w:pPr>
              <w:pStyle w:val="37"/>
              <w:rPr>
                <w:rFonts w:eastAsia="仿宋"/>
              </w:rPr>
            </w:pPr>
            <w:r>
              <w:rPr>
                <w:rFonts w:hint="eastAsia" w:eastAsia="仿宋"/>
              </w:rPr>
              <w:t>行政管理</w:t>
            </w:r>
          </w:p>
        </w:tc>
        <w:tc>
          <w:tcPr>
            <w:tcW w:w="1501" w:type="dxa"/>
            <w:tcBorders>
              <w:top w:val="single" w:color="000000" w:sz="4" w:space="0"/>
              <w:left w:val="single" w:color="000000" w:sz="4" w:space="0"/>
              <w:bottom w:val="single" w:color="000000" w:sz="4" w:space="0"/>
              <w:right w:val="single" w:color="000000" w:sz="4" w:space="0"/>
            </w:tcBorders>
            <w:vAlign w:val="center"/>
          </w:tcPr>
          <w:p w14:paraId="0C9FC54B">
            <w:pPr>
              <w:pStyle w:val="37"/>
              <w:rPr>
                <w:rFonts w:eastAsia="仿宋"/>
              </w:rPr>
            </w:pPr>
            <w:r>
              <w:rPr>
                <w:rFonts w:hint="eastAsia" w:eastAsia="仿宋"/>
              </w:rPr>
              <w:t>村管理用房</w:t>
            </w:r>
          </w:p>
        </w:tc>
        <w:tc>
          <w:tcPr>
            <w:tcW w:w="999" w:type="dxa"/>
            <w:tcBorders>
              <w:top w:val="single" w:color="000000" w:sz="4" w:space="0"/>
              <w:left w:val="single" w:color="000000" w:sz="4" w:space="0"/>
              <w:bottom w:val="single" w:color="000000" w:sz="4" w:space="0"/>
              <w:right w:val="single" w:color="000000" w:sz="4" w:space="0"/>
            </w:tcBorders>
            <w:vAlign w:val="center"/>
          </w:tcPr>
          <w:p w14:paraId="4572E727">
            <w:pPr>
              <w:pStyle w:val="37"/>
              <w:rPr>
                <w:rFonts w:eastAsia="仿宋"/>
              </w:rPr>
            </w:pPr>
            <w:r>
              <w:rPr>
                <w:rFonts w:hint="eastAsia" w:eastAsia="仿宋"/>
              </w:rPr>
              <w:t>●</w:t>
            </w:r>
          </w:p>
        </w:tc>
        <w:tc>
          <w:tcPr>
            <w:tcW w:w="1046" w:type="dxa"/>
            <w:tcBorders>
              <w:top w:val="single" w:color="000000" w:sz="4" w:space="0"/>
              <w:left w:val="single" w:color="000000" w:sz="4" w:space="0"/>
              <w:bottom w:val="single" w:color="000000" w:sz="4" w:space="0"/>
              <w:right w:val="single" w:color="000000" w:sz="4" w:space="0"/>
            </w:tcBorders>
            <w:vAlign w:val="center"/>
          </w:tcPr>
          <w:p w14:paraId="47B33E68">
            <w:pPr>
              <w:pStyle w:val="37"/>
              <w:rPr>
                <w:rFonts w:eastAsia="仿宋"/>
              </w:rPr>
            </w:pPr>
            <w:r>
              <w:rPr>
                <w:rFonts w:hint="eastAsia" w:eastAsia="仿宋"/>
              </w:rPr>
              <w:t>●</w:t>
            </w:r>
          </w:p>
        </w:tc>
        <w:tc>
          <w:tcPr>
            <w:tcW w:w="961" w:type="dxa"/>
            <w:tcBorders>
              <w:top w:val="single" w:color="000000" w:sz="4" w:space="0"/>
              <w:left w:val="single" w:color="000000" w:sz="4" w:space="0"/>
              <w:bottom w:val="single" w:color="000000" w:sz="4" w:space="0"/>
              <w:right w:val="single" w:color="000000" w:sz="4" w:space="0"/>
            </w:tcBorders>
            <w:vAlign w:val="center"/>
          </w:tcPr>
          <w:p w14:paraId="6215737C">
            <w:pPr>
              <w:pStyle w:val="37"/>
              <w:rPr>
                <w:rFonts w:eastAsia="仿宋"/>
              </w:rPr>
            </w:pPr>
            <w:r>
              <w:rPr>
                <w:rFonts w:hint="eastAsia" w:eastAsia="仿宋"/>
              </w:rPr>
              <w:t>●</w:t>
            </w:r>
          </w:p>
        </w:tc>
        <w:tc>
          <w:tcPr>
            <w:tcW w:w="3564" w:type="dxa"/>
            <w:tcBorders>
              <w:top w:val="single" w:color="000000" w:sz="4" w:space="0"/>
              <w:left w:val="single" w:color="000000" w:sz="4" w:space="0"/>
              <w:bottom w:val="single" w:color="000000" w:sz="4" w:space="0"/>
              <w:right w:val="single" w:color="000000" w:sz="4" w:space="0"/>
            </w:tcBorders>
            <w:vAlign w:val="center"/>
          </w:tcPr>
          <w:p w14:paraId="42DA66EF">
            <w:pPr>
              <w:pStyle w:val="37"/>
              <w:rPr>
                <w:rFonts w:eastAsia="仿宋"/>
              </w:rPr>
            </w:pPr>
            <w:r>
              <w:rPr>
                <w:rFonts w:hint="eastAsia" w:eastAsia="仿宋"/>
              </w:rPr>
              <w:t>中、大型村：400～500</w:t>
            </w:r>
            <w:r>
              <w:rPr>
                <w:rFonts w:hint="eastAsia" w:eastAsia="仿宋"/>
              </w:rPr>
              <w:br w:type="textWrapping"/>
            </w:r>
            <w:r>
              <w:rPr>
                <w:rFonts w:hint="eastAsia" w:eastAsia="仿宋"/>
              </w:rPr>
              <w:t>小型村：100～400</w:t>
            </w:r>
          </w:p>
        </w:tc>
      </w:tr>
      <w:tr w14:paraId="66EBDBD1">
        <w:tblPrEx>
          <w:tblCellMar>
            <w:top w:w="0" w:type="dxa"/>
            <w:left w:w="108" w:type="dxa"/>
            <w:bottom w:w="0" w:type="dxa"/>
            <w:right w:w="108" w:type="dxa"/>
          </w:tblCellMar>
        </w:tblPrEx>
        <w:trPr>
          <w:trHeight w:val="573" w:hRule="atLeast"/>
        </w:trPr>
        <w:tc>
          <w:tcPr>
            <w:tcW w:w="806" w:type="dxa"/>
            <w:tcBorders>
              <w:top w:val="single" w:color="000000" w:sz="4" w:space="0"/>
              <w:left w:val="single" w:color="000000" w:sz="4" w:space="0"/>
              <w:bottom w:val="single" w:color="000000" w:sz="4" w:space="0"/>
              <w:right w:val="single" w:color="000000" w:sz="4" w:space="0"/>
            </w:tcBorders>
            <w:vAlign w:val="center"/>
          </w:tcPr>
          <w:p w14:paraId="27BC5BB5">
            <w:pPr>
              <w:pStyle w:val="37"/>
              <w:rPr>
                <w:rFonts w:eastAsia="仿宋"/>
              </w:rPr>
            </w:pPr>
            <w:r>
              <w:rPr>
                <w:rFonts w:hint="eastAsia" w:eastAsia="仿宋"/>
              </w:rPr>
              <w:t>基础教育</w:t>
            </w:r>
          </w:p>
        </w:tc>
        <w:tc>
          <w:tcPr>
            <w:tcW w:w="1501" w:type="dxa"/>
            <w:tcBorders>
              <w:top w:val="single" w:color="000000" w:sz="4" w:space="0"/>
              <w:left w:val="single" w:color="000000" w:sz="4" w:space="0"/>
              <w:bottom w:val="single" w:color="000000" w:sz="4" w:space="0"/>
              <w:right w:val="single" w:color="000000" w:sz="4" w:space="0"/>
            </w:tcBorders>
            <w:vAlign w:val="center"/>
          </w:tcPr>
          <w:p w14:paraId="083850B5">
            <w:pPr>
              <w:pStyle w:val="37"/>
              <w:rPr>
                <w:rFonts w:eastAsia="仿宋"/>
              </w:rPr>
            </w:pPr>
            <w:r>
              <w:rPr>
                <w:rFonts w:hint="eastAsia" w:eastAsia="仿宋"/>
              </w:rPr>
              <w:t>幼儿园</w:t>
            </w:r>
          </w:p>
        </w:tc>
        <w:tc>
          <w:tcPr>
            <w:tcW w:w="999" w:type="dxa"/>
            <w:tcBorders>
              <w:top w:val="single" w:color="000000" w:sz="4" w:space="0"/>
              <w:left w:val="single" w:color="000000" w:sz="4" w:space="0"/>
              <w:bottom w:val="single" w:color="000000" w:sz="4" w:space="0"/>
              <w:right w:val="single" w:color="000000" w:sz="4" w:space="0"/>
            </w:tcBorders>
            <w:vAlign w:val="center"/>
          </w:tcPr>
          <w:p w14:paraId="402B3BBF">
            <w:pPr>
              <w:pStyle w:val="37"/>
              <w:rPr>
                <w:rFonts w:eastAsia="仿宋"/>
              </w:rPr>
            </w:pPr>
            <w:r>
              <w:rPr>
                <w:rFonts w:hint="eastAsia" w:eastAsia="仿宋"/>
              </w:rPr>
              <w:t>●</w:t>
            </w:r>
          </w:p>
        </w:tc>
        <w:tc>
          <w:tcPr>
            <w:tcW w:w="2007" w:type="dxa"/>
            <w:gridSpan w:val="2"/>
            <w:tcBorders>
              <w:top w:val="single" w:color="000000" w:sz="4" w:space="0"/>
              <w:left w:val="single" w:color="000000" w:sz="4" w:space="0"/>
              <w:bottom w:val="single" w:color="000000" w:sz="4" w:space="0"/>
              <w:right w:val="single" w:color="000000" w:sz="4" w:space="0"/>
            </w:tcBorders>
            <w:vAlign w:val="center"/>
          </w:tcPr>
          <w:p w14:paraId="3A793012">
            <w:pPr>
              <w:pStyle w:val="37"/>
              <w:rPr>
                <w:rFonts w:eastAsia="仿宋"/>
              </w:rPr>
            </w:pPr>
            <w:r>
              <w:rPr>
                <w:rFonts w:hint="eastAsia" w:eastAsia="仿宋"/>
              </w:rPr>
              <w:t>可相邻村庄共建共用</w:t>
            </w:r>
          </w:p>
        </w:tc>
        <w:tc>
          <w:tcPr>
            <w:tcW w:w="3564" w:type="dxa"/>
            <w:tcBorders>
              <w:top w:val="single" w:color="000000" w:sz="4" w:space="0"/>
              <w:left w:val="single" w:color="000000" w:sz="4" w:space="0"/>
              <w:bottom w:val="single" w:color="000000" w:sz="4" w:space="0"/>
              <w:right w:val="single" w:color="000000" w:sz="4" w:space="0"/>
            </w:tcBorders>
            <w:vAlign w:val="center"/>
          </w:tcPr>
          <w:p w14:paraId="5A7882A8">
            <w:pPr>
              <w:pStyle w:val="37"/>
              <w:rPr>
                <w:rFonts w:eastAsia="仿宋"/>
              </w:rPr>
            </w:pPr>
            <w:r>
              <w:rPr>
                <w:rFonts w:hint="eastAsia" w:eastAsia="仿宋"/>
              </w:rPr>
              <w:t>参照</w:t>
            </w:r>
            <w:r>
              <w:rPr>
                <w:rFonts w:eastAsia="仿宋"/>
              </w:rPr>
              <w:fldChar w:fldCharType="begin"/>
            </w:r>
            <w:r>
              <w:rPr>
                <w:rFonts w:eastAsia="仿宋"/>
              </w:rPr>
              <w:instrText xml:space="preserve"> </w:instrText>
            </w:r>
            <w:r>
              <w:rPr>
                <w:rFonts w:hint="eastAsia" w:eastAsia="仿宋"/>
              </w:rPr>
              <w:instrText xml:space="preserve">REF _Ref233808617 \h</w:instrText>
            </w:r>
            <w:r>
              <w:rPr>
                <w:rFonts w:eastAsia="仿宋"/>
              </w:rPr>
              <w:instrText xml:space="preserve">  \* MERGEFORMAT </w:instrText>
            </w:r>
            <w:r>
              <w:rPr>
                <w:rFonts w:eastAsia="仿宋"/>
              </w:rPr>
              <w:fldChar w:fldCharType="separate"/>
            </w:r>
            <w:r>
              <w:rPr>
                <w:rFonts w:hint="eastAsia" w:eastAsia="仿宋"/>
              </w:rPr>
              <w:t>《城乡公共服务设施规划规范》（DB50/T543-2024）</w:t>
            </w:r>
            <w:r>
              <w:rPr>
                <w:rFonts w:eastAsia="仿宋"/>
              </w:rPr>
              <w:fldChar w:fldCharType="end"/>
            </w:r>
            <w:r>
              <w:rPr>
                <w:rFonts w:hint="eastAsia" w:eastAsia="仿宋"/>
              </w:rPr>
              <w:t>执行</w:t>
            </w:r>
          </w:p>
        </w:tc>
      </w:tr>
      <w:tr w14:paraId="764191C0">
        <w:tblPrEx>
          <w:tblCellMar>
            <w:top w:w="0" w:type="dxa"/>
            <w:left w:w="108" w:type="dxa"/>
            <w:bottom w:w="0" w:type="dxa"/>
            <w:right w:w="108" w:type="dxa"/>
          </w:tblCellMar>
        </w:tblPrEx>
        <w:trPr>
          <w:trHeight w:val="573" w:hRule="atLeast"/>
        </w:trPr>
        <w:tc>
          <w:tcPr>
            <w:tcW w:w="806" w:type="dxa"/>
            <w:tcBorders>
              <w:top w:val="single" w:color="000000" w:sz="4" w:space="0"/>
              <w:left w:val="single" w:color="000000" w:sz="4" w:space="0"/>
              <w:bottom w:val="single" w:color="000000" w:sz="4" w:space="0"/>
              <w:right w:val="single" w:color="000000" w:sz="4" w:space="0"/>
            </w:tcBorders>
            <w:vAlign w:val="center"/>
          </w:tcPr>
          <w:p w14:paraId="48B8DB37">
            <w:pPr>
              <w:pStyle w:val="37"/>
              <w:rPr>
                <w:rFonts w:eastAsia="仿宋"/>
              </w:rPr>
            </w:pPr>
            <w:r>
              <w:rPr>
                <w:rFonts w:hint="eastAsia" w:eastAsia="仿宋"/>
              </w:rPr>
              <w:t>医疗卫生</w:t>
            </w:r>
          </w:p>
        </w:tc>
        <w:tc>
          <w:tcPr>
            <w:tcW w:w="1501" w:type="dxa"/>
            <w:tcBorders>
              <w:top w:val="single" w:color="000000" w:sz="4" w:space="0"/>
              <w:left w:val="single" w:color="000000" w:sz="4" w:space="0"/>
              <w:bottom w:val="single" w:color="000000" w:sz="4" w:space="0"/>
              <w:right w:val="single" w:color="000000" w:sz="4" w:space="0"/>
            </w:tcBorders>
            <w:vAlign w:val="center"/>
          </w:tcPr>
          <w:p w14:paraId="4472FC53">
            <w:pPr>
              <w:pStyle w:val="37"/>
              <w:rPr>
                <w:rFonts w:eastAsia="仿宋"/>
              </w:rPr>
            </w:pPr>
            <w:r>
              <w:rPr>
                <w:rFonts w:hint="eastAsia" w:eastAsia="仿宋"/>
              </w:rPr>
              <w:t>村卫生室</w:t>
            </w:r>
          </w:p>
        </w:tc>
        <w:tc>
          <w:tcPr>
            <w:tcW w:w="999" w:type="dxa"/>
            <w:tcBorders>
              <w:top w:val="single" w:color="000000" w:sz="4" w:space="0"/>
              <w:left w:val="single" w:color="000000" w:sz="4" w:space="0"/>
              <w:bottom w:val="single" w:color="000000" w:sz="4" w:space="0"/>
              <w:right w:val="single" w:color="000000" w:sz="4" w:space="0"/>
            </w:tcBorders>
            <w:vAlign w:val="center"/>
          </w:tcPr>
          <w:p w14:paraId="05CF2795">
            <w:pPr>
              <w:pStyle w:val="37"/>
              <w:rPr>
                <w:rFonts w:eastAsia="仿宋"/>
              </w:rPr>
            </w:pPr>
            <w:r>
              <w:rPr>
                <w:rFonts w:hint="eastAsia" w:eastAsia="仿宋"/>
              </w:rPr>
              <w:t>●</w:t>
            </w:r>
          </w:p>
        </w:tc>
        <w:tc>
          <w:tcPr>
            <w:tcW w:w="1046" w:type="dxa"/>
            <w:tcBorders>
              <w:top w:val="single" w:color="000000" w:sz="4" w:space="0"/>
              <w:left w:val="single" w:color="000000" w:sz="4" w:space="0"/>
              <w:bottom w:val="single" w:color="000000" w:sz="4" w:space="0"/>
              <w:right w:val="single" w:color="000000" w:sz="4" w:space="0"/>
            </w:tcBorders>
            <w:vAlign w:val="center"/>
          </w:tcPr>
          <w:p w14:paraId="7E55A238">
            <w:pPr>
              <w:pStyle w:val="37"/>
              <w:rPr>
                <w:rFonts w:eastAsia="仿宋"/>
              </w:rPr>
            </w:pPr>
            <w:r>
              <w:rPr>
                <w:rFonts w:hint="eastAsia" w:eastAsia="仿宋"/>
              </w:rPr>
              <w:t>○</w:t>
            </w:r>
          </w:p>
        </w:tc>
        <w:tc>
          <w:tcPr>
            <w:tcW w:w="961" w:type="dxa"/>
            <w:tcBorders>
              <w:top w:val="single" w:color="000000" w:sz="4" w:space="0"/>
              <w:left w:val="single" w:color="000000" w:sz="4" w:space="0"/>
              <w:bottom w:val="single" w:color="000000" w:sz="4" w:space="0"/>
              <w:right w:val="single" w:color="000000" w:sz="4" w:space="0"/>
            </w:tcBorders>
            <w:vAlign w:val="center"/>
          </w:tcPr>
          <w:p w14:paraId="33612B1D">
            <w:pPr>
              <w:pStyle w:val="37"/>
              <w:rPr>
                <w:rFonts w:eastAsia="仿宋"/>
              </w:rPr>
            </w:pPr>
            <w:r>
              <w:rPr>
                <w:rFonts w:hint="eastAsia" w:eastAsia="仿宋"/>
              </w:rPr>
              <w:t>○</w:t>
            </w:r>
          </w:p>
        </w:tc>
        <w:tc>
          <w:tcPr>
            <w:tcW w:w="3564" w:type="dxa"/>
            <w:tcBorders>
              <w:top w:val="single" w:color="000000" w:sz="4" w:space="0"/>
              <w:left w:val="single" w:color="000000" w:sz="4" w:space="0"/>
              <w:bottom w:val="single" w:color="000000" w:sz="4" w:space="0"/>
              <w:right w:val="single" w:color="000000" w:sz="4" w:space="0"/>
            </w:tcBorders>
            <w:vAlign w:val="center"/>
          </w:tcPr>
          <w:p w14:paraId="3B09467F">
            <w:pPr>
              <w:pStyle w:val="37"/>
              <w:rPr>
                <w:rFonts w:eastAsia="仿宋"/>
              </w:rPr>
            </w:pPr>
            <w:r>
              <w:rPr>
                <w:rFonts w:hint="eastAsia" w:eastAsia="仿宋"/>
              </w:rPr>
              <w:t>中、大型村：100</w:t>
            </w:r>
            <w:r>
              <w:rPr>
                <w:rFonts w:hint="eastAsia" w:eastAsia="仿宋"/>
              </w:rPr>
              <w:br w:type="textWrapping"/>
            </w:r>
            <w:r>
              <w:rPr>
                <w:rFonts w:hint="eastAsia" w:eastAsia="仿宋"/>
              </w:rPr>
              <w:t>小型村：80</w:t>
            </w:r>
          </w:p>
        </w:tc>
      </w:tr>
      <w:tr w14:paraId="7D41808A">
        <w:tblPrEx>
          <w:tblCellMar>
            <w:top w:w="0" w:type="dxa"/>
            <w:left w:w="108" w:type="dxa"/>
            <w:bottom w:w="0" w:type="dxa"/>
            <w:right w:w="108" w:type="dxa"/>
          </w:tblCellMar>
        </w:tblPrEx>
        <w:trPr>
          <w:trHeight w:val="573" w:hRule="atLeast"/>
        </w:trPr>
        <w:tc>
          <w:tcPr>
            <w:tcW w:w="806" w:type="dxa"/>
            <w:tcBorders>
              <w:top w:val="single" w:color="000000" w:sz="4" w:space="0"/>
              <w:left w:val="single" w:color="000000" w:sz="4" w:space="0"/>
              <w:bottom w:val="single" w:color="000000" w:sz="4" w:space="0"/>
              <w:right w:val="single" w:color="000000" w:sz="4" w:space="0"/>
            </w:tcBorders>
            <w:vAlign w:val="center"/>
          </w:tcPr>
          <w:p w14:paraId="50CBAC87">
            <w:pPr>
              <w:pStyle w:val="37"/>
              <w:rPr>
                <w:rFonts w:eastAsia="仿宋"/>
              </w:rPr>
            </w:pPr>
            <w:r>
              <w:rPr>
                <w:rFonts w:hint="eastAsia" w:eastAsia="仿宋"/>
              </w:rPr>
              <w:t>社会保障</w:t>
            </w:r>
          </w:p>
        </w:tc>
        <w:tc>
          <w:tcPr>
            <w:tcW w:w="1501" w:type="dxa"/>
            <w:tcBorders>
              <w:top w:val="single" w:color="000000" w:sz="4" w:space="0"/>
              <w:left w:val="single" w:color="000000" w:sz="4" w:space="0"/>
              <w:bottom w:val="single" w:color="000000" w:sz="4" w:space="0"/>
              <w:right w:val="single" w:color="000000" w:sz="4" w:space="0"/>
            </w:tcBorders>
            <w:vAlign w:val="center"/>
          </w:tcPr>
          <w:p w14:paraId="11ABEE8F">
            <w:pPr>
              <w:pStyle w:val="37"/>
              <w:rPr>
                <w:rFonts w:eastAsia="仿宋"/>
              </w:rPr>
            </w:pPr>
            <w:r>
              <w:rPr>
                <w:rFonts w:hint="eastAsia" w:eastAsia="仿宋"/>
              </w:rPr>
              <w:t>养老服务设施</w:t>
            </w:r>
          </w:p>
        </w:tc>
        <w:tc>
          <w:tcPr>
            <w:tcW w:w="999" w:type="dxa"/>
            <w:tcBorders>
              <w:top w:val="single" w:color="000000" w:sz="4" w:space="0"/>
              <w:left w:val="single" w:color="000000" w:sz="4" w:space="0"/>
              <w:bottom w:val="single" w:color="000000" w:sz="4" w:space="0"/>
              <w:right w:val="single" w:color="000000" w:sz="4" w:space="0"/>
            </w:tcBorders>
            <w:vAlign w:val="center"/>
          </w:tcPr>
          <w:p w14:paraId="4616D02E">
            <w:pPr>
              <w:pStyle w:val="37"/>
              <w:rPr>
                <w:rFonts w:eastAsia="仿宋"/>
              </w:rPr>
            </w:pPr>
            <w:r>
              <w:rPr>
                <w:rFonts w:hint="eastAsia" w:eastAsia="仿宋"/>
              </w:rPr>
              <w:t>●</w:t>
            </w:r>
          </w:p>
        </w:tc>
        <w:tc>
          <w:tcPr>
            <w:tcW w:w="2007" w:type="dxa"/>
            <w:gridSpan w:val="2"/>
            <w:tcBorders>
              <w:top w:val="single" w:color="000000" w:sz="4" w:space="0"/>
              <w:left w:val="single" w:color="000000" w:sz="4" w:space="0"/>
              <w:bottom w:val="single" w:color="000000" w:sz="4" w:space="0"/>
              <w:right w:val="single" w:color="000000" w:sz="4" w:space="0"/>
            </w:tcBorders>
            <w:vAlign w:val="center"/>
          </w:tcPr>
          <w:p w14:paraId="79BD5086">
            <w:pPr>
              <w:pStyle w:val="37"/>
              <w:rPr>
                <w:rFonts w:eastAsia="仿宋"/>
              </w:rPr>
            </w:pPr>
            <w:r>
              <w:rPr>
                <w:rFonts w:hint="eastAsia" w:eastAsia="仿宋"/>
              </w:rPr>
              <w:t>可相邻村庄共建共用</w:t>
            </w:r>
          </w:p>
        </w:tc>
        <w:tc>
          <w:tcPr>
            <w:tcW w:w="3564" w:type="dxa"/>
            <w:tcBorders>
              <w:top w:val="single" w:color="000000" w:sz="4" w:space="0"/>
              <w:left w:val="single" w:color="000000" w:sz="4" w:space="0"/>
              <w:bottom w:val="single" w:color="000000" w:sz="4" w:space="0"/>
              <w:right w:val="single" w:color="000000" w:sz="4" w:space="0"/>
            </w:tcBorders>
            <w:vAlign w:val="center"/>
          </w:tcPr>
          <w:p w14:paraId="54871B61">
            <w:pPr>
              <w:pStyle w:val="37"/>
              <w:rPr>
                <w:rFonts w:eastAsia="仿宋"/>
              </w:rPr>
            </w:pPr>
            <w:r>
              <w:rPr>
                <w:rFonts w:hint="eastAsia" w:eastAsia="仿宋"/>
              </w:rPr>
              <w:t>中、大型村：200</w:t>
            </w:r>
            <w:r>
              <w:rPr>
                <w:rFonts w:hint="eastAsia" w:eastAsia="仿宋"/>
              </w:rPr>
              <w:br w:type="textWrapping"/>
            </w:r>
            <w:r>
              <w:rPr>
                <w:rFonts w:hint="eastAsia" w:eastAsia="仿宋"/>
              </w:rPr>
              <w:t>小型村：50</w:t>
            </w:r>
          </w:p>
        </w:tc>
      </w:tr>
      <w:tr w14:paraId="0E0C1C55">
        <w:tblPrEx>
          <w:tblCellMar>
            <w:top w:w="0" w:type="dxa"/>
            <w:left w:w="108" w:type="dxa"/>
            <w:bottom w:w="0" w:type="dxa"/>
            <w:right w:w="108" w:type="dxa"/>
          </w:tblCellMar>
        </w:tblPrEx>
        <w:trPr>
          <w:trHeight w:val="291" w:hRule="atLeast"/>
        </w:trPr>
        <w:tc>
          <w:tcPr>
            <w:tcW w:w="806" w:type="dxa"/>
            <w:vMerge w:val="restart"/>
            <w:tcBorders>
              <w:top w:val="single" w:color="000000" w:sz="4" w:space="0"/>
              <w:left w:val="single" w:color="000000" w:sz="4" w:space="0"/>
              <w:bottom w:val="single" w:color="000000" w:sz="4" w:space="0"/>
              <w:right w:val="single" w:color="000000" w:sz="4" w:space="0"/>
            </w:tcBorders>
            <w:vAlign w:val="center"/>
          </w:tcPr>
          <w:p w14:paraId="0FA07E31">
            <w:pPr>
              <w:pStyle w:val="37"/>
              <w:rPr>
                <w:rFonts w:eastAsia="仿宋"/>
              </w:rPr>
            </w:pPr>
            <w:r>
              <w:rPr>
                <w:rFonts w:hint="eastAsia" w:eastAsia="仿宋"/>
              </w:rPr>
              <w:t>文化体育</w:t>
            </w:r>
          </w:p>
        </w:tc>
        <w:tc>
          <w:tcPr>
            <w:tcW w:w="1501" w:type="dxa"/>
            <w:tcBorders>
              <w:top w:val="single" w:color="000000" w:sz="4" w:space="0"/>
              <w:left w:val="single" w:color="000000" w:sz="4" w:space="0"/>
              <w:bottom w:val="single" w:color="000000" w:sz="4" w:space="0"/>
              <w:right w:val="single" w:color="000000" w:sz="4" w:space="0"/>
            </w:tcBorders>
            <w:vAlign w:val="center"/>
          </w:tcPr>
          <w:p w14:paraId="1D39AFE6">
            <w:pPr>
              <w:pStyle w:val="37"/>
              <w:rPr>
                <w:rFonts w:eastAsia="仿宋"/>
              </w:rPr>
            </w:pPr>
            <w:r>
              <w:rPr>
                <w:rFonts w:hint="eastAsia" w:eastAsia="仿宋"/>
              </w:rPr>
              <w:t>村史馆</w:t>
            </w:r>
          </w:p>
        </w:tc>
        <w:tc>
          <w:tcPr>
            <w:tcW w:w="999" w:type="dxa"/>
            <w:tcBorders>
              <w:top w:val="single" w:color="000000" w:sz="4" w:space="0"/>
              <w:left w:val="single" w:color="000000" w:sz="4" w:space="0"/>
              <w:bottom w:val="single" w:color="000000" w:sz="4" w:space="0"/>
              <w:right w:val="single" w:color="000000" w:sz="4" w:space="0"/>
            </w:tcBorders>
            <w:vAlign w:val="center"/>
          </w:tcPr>
          <w:p w14:paraId="56811980">
            <w:pPr>
              <w:pStyle w:val="37"/>
              <w:rPr>
                <w:rFonts w:eastAsia="仿宋"/>
              </w:rPr>
            </w:pPr>
            <w:r>
              <w:rPr>
                <w:rFonts w:hint="eastAsia" w:eastAsia="仿宋"/>
              </w:rPr>
              <w:t>○</w:t>
            </w:r>
          </w:p>
        </w:tc>
        <w:tc>
          <w:tcPr>
            <w:tcW w:w="1046" w:type="dxa"/>
            <w:tcBorders>
              <w:top w:val="single" w:color="000000" w:sz="4" w:space="0"/>
              <w:left w:val="single" w:color="000000" w:sz="4" w:space="0"/>
              <w:bottom w:val="single" w:color="000000" w:sz="4" w:space="0"/>
              <w:right w:val="single" w:color="000000" w:sz="4" w:space="0"/>
            </w:tcBorders>
            <w:vAlign w:val="center"/>
          </w:tcPr>
          <w:p w14:paraId="325D0D6C">
            <w:pPr>
              <w:pStyle w:val="37"/>
              <w:rPr>
                <w:rFonts w:eastAsia="仿宋"/>
              </w:rPr>
            </w:pPr>
            <w:r>
              <w:rPr>
                <w:rFonts w:hint="eastAsia" w:eastAsia="仿宋"/>
              </w:rPr>
              <w:t>○</w:t>
            </w:r>
          </w:p>
        </w:tc>
        <w:tc>
          <w:tcPr>
            <w:tcW w:w="961" w:type="dxa"/>
            <w:tcBorders>
              <w:top w:val="single" w:color="000000" w:sz="4" w:space="0"/>
              <w:left w:val="single" w:color="000000" w:sz="4" w:space="0"/>
              <w:bottom w:val="single" w:color="000000" w:sz="4" w:space="0"/>
              <w:right w:val="single" w:color="000000" w:sz="4" w:space="0"/>
            </w:tcBorders>
            <w:vAlign w:val="center"/>
          </w:tcPr>
          <w:p w14:paraId="380CDD0E">
            <w:pPr>
              <w:pStyle w:val="37"/>
              <w:rPr>
                <w:rFonts w:eastAsia="仿宋"/>
              </w:rPr>
            </w:pPr>
            <w:r>
              <w:rPr>
                <w:rFonts w:hint="eastAsia" w:eastAsia="仿宋"/>
              </w:rPr>
              <w:t>○</w:t>
            </w:r>
          </w:p>
        </w:tc>
        <w:tc>
          <w:tcPr>
            <w:tcW w:w="3564" w:type="dxa"/>
            <w:vMerge w:val="restart"/>
            <w:tcBorders>
              <w:top w:val="single" w:color="000000" w:sz="4" w:space="0"/>
              <w:left w:val="single" w:color="000000" w:sz="4" w:space="0"/>
              <w:bottom w:val="single" w:color="000000" w:sz="4" w:space="0"/>
              <w:right w:val="single" w:color="000000" w:sz="4" w:space="0"/>
            </w:tcBorders>
            <w:vAlign w:val="center"/>
          </w:tcPr>
          <w:p w14:paraId="7FC49A78">
            <w:pPr>
              <w:pStyle w:val="37"/>
              <w:rPr>
                <w:rFonts w:eastAsia="仿宋"/>
              </w:rPr>
            </w:pPr>
            <w:r>
              <w:rPr>
                <w:rFonts w:hint="eastAsia" w:eastAsia="仿宋"/>
              </w:rPr>
              <w:t>参照</w:t>
            </w:r>
            <w:r>
              <w:rPr>
                <w:rFonts w:eastAsia="仿宋"/>
              </w:rPr>
              <w:fldChar w:fldCharType="begin"/>
            </w:r>
            <w:r>
              <w:rPr>
                <w:rFonts w:eastAsia="仿宋"/>
              </w:rPr>
              <w:instrText xml:space="preserve"> </w:instrText>
            </w:r>
            <w:r>
              <w:rPr>
                <w:rFonts w:hint="eastAsia" w:eastAsia="仿宋"/>
              </w:rPr>
              <w:instrText xml:space="preserve">REF _Ref233808617 \h</w:instrText>
            </w:r>
            <w:r>
              <w:rPr>
                <w:rFonts w:eastAsia="仿宋"/>
              </w:rPr>
              <w:instrText xml:space="preserve">  \* MERGEFORMAT </w:instrText>
            </w:r>
            <w:r>
              <w:rPr>
                <w:rFonts w:eastAsia="仿宋"/>
              </w:rPr>
              <w:fldChar w:fldCharType="separate"/>
            </w:r>
            <w:r>
              <w:rPr>
                <w:rFonts w:hint="eastAsia" w:eastAsia="仿宋"/>
              </w:rPr>
              <w:t>《城乡公共服务设施规划规范》（DB50/T543-2024）</w:t>
            </w:r>
            <w:r>
              <w:rPr>
                <w:rFonts w:eastAsia="仿宋"/>
              </w:rPr>
              <w:fldChar w:fldCharType="end"/>
            </w:r>
            <w:r>
              <w:rPr>
                <w:rFonts w:hint="eastAsia" w:eastAsia="仿宋"/>
              </w:rPr>
              <w:t>执行</w:t>
            </w:r>
          </w:p>
        </w:tc>
      </w:tr>
      <w:tr w14:paraId="36ABB389">
        <w:tblPrEx>
          <w:tblCellMar>
            <w:top w:w="0" w:type="dxa"/>
            <w:left w:w="108" w:type="dxa"/>
            <w:bottom w:w="0" w:type="dxa"/>
            <w:right w:w="108" w:type="dxa"/>
          </w:tblCellMar>
        </w:tblPrEx>
        <w:trPr>
          <w:trHeight w:val="291" w:hRule="atLeast"/>
        </w:trPr>
        <w:tc>
          <w:tcPr>
            <w:tcW w:w="806" w:type="dxa"/>
            <w:vMerge w:val="continue"/>
            <w:tcBorders>
              <w:top w:val="single" w:color="000000" w:sz="4" w:space="0"/>
              <w:left w:val="single" w:color="000000" w:sz="4" w:space="0"/>
              <w:bottom w:val="single" w:color="000000" w:sz="4" w:space="0"/>
              <w:right w:val="single" w:color="000000" w:sz="4" w:space="0"/>
            </w:tcBorders>
            <w:vAlign w:val="center"/>
          </w:tcPr>
          <w:p w14:paraId="3C27298C">
            <w:pPr>
              <w:pStyle w:val="37"/>
              <w:rPr>
                <w:rFonts w:eastAsia="仿宋"/>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61860F8C">
            <w:pPr>
              <w:pStyle w:val="37"/>
              <w:rPr>
                <w:rFonts w:eastAsia="仿宋"/>
              </w:rPr>
            </w:pPr>
            <w:r>
              <w:rPr>
                <w:rFonts w:hint="eastAsia" w:eastAsia="仿宋"/>
              </w:rPr>
              <w:t>文化活动室</w:t>
            </w:r>
          </w:p>
        </w:tc>
        <w:tc>
          <w:tcPr>
            <w:tcW w:w="999" w:type="dxa"/>
            <w:tcBorders>
              <w:top w:val="single" w:color="000000" w:sz="4" w:space="0"/>
              <w:left w:val="single" w:color="000000" w:sz="4" w:space="0"/>
              <w:bottom w:val="single" w:color="000000" w:sz="4" w:space="0"/>
              <w:right w:val="single" w:color="000000" w:sz="4" w:space="0"/>
            </w:tcBorders>
            <w:vAlign w:val="center"/>
          </w:tcPr>
          <w:p w14:paraId="7AF350C8">
            <w:pPr>
              <w:pStyle w:val="37"/>
              <w:rPr>
                <w:rFonts w:eastAsia="仿宋"/>
              </w:rPr>
            </w:pPr>
            <w:r>
              <w:rPr>
                <w:rFonts w:hint="eastAsia" w:eastAsia="仿宋"/>
              </w:rPr>
              <w:t>●</w:t>
            </w:r>
          </w:p>
        </w:tc>
        <w:tc>
          <w:tcPr>
            <w:tcW w:w="1046" w:type="dxa"/>
            <w:tcBorders>
              <w:top w:val="single" w:color="000000" w:sz="4" w:space="0"/>
              <w:left w:val="single" w:color="000000" w:sz="4" w:space="0"/>
              <w:bottom w:val="single" w:color="000000" w:sz="4" w:space="0"/>
              <w:right w:val="single" w:color="000000" w:sz="4" w:space="0"/>
            </w:tcBorders>
            <w:vAlign w:val="center"/>
          </w:tcPr>
          <w:p w14:paraId="5B1F1D8D">
            <w:pPr>
              <w:pStyle w:val="37"/>
              <w:rPr>
                <w:rFonts w:eastAsia="仿宋"/>
              </w:rPr>
            </w:pPr>
            <w:r>
              <w:rPr>
                <w:rFonts w:hint="eastAsia" w:eastAsia="仿宋"/>
              </w:rPr>
              <w:t>○</w:t>
            </w:r>
          </w:p>
        </w:tc>
        <w:tc>
          <w:tcPr>
            <w:tcW w:w="961" w:type="dxa"/>
            <w:tcBorders>
              <w:top w:val="single" w:color="000000" w:sz="4" w:space="0"/>
              <w:left w:val="single" w:color="000000" w:sz="4" w:space="0"/>
              <w:bottom w:val="single" w:color="000000" w:sz="4" w:space="0"/>
              <w:right w:val="single" w:color="000000" w:sz="4" w:space="0"/>
            </w:tcBorders>
            <w:vAlign w:val="center"/>
          </w:tcPr>
          <w:p w14:paraId="383948B9">
            <w:pPr>
              <w:pStyle w:val="37"/>
              <w:rPr>
                <w:rFonts w:eastAsia="仿宋"/>
              </w:rPr>
            </w:pPr>
            <w:r>
              <w:rPr>
                <w:rFonts w:hint="eastAsia" w:eastAsia="仿宋"/>
              </w:rPr>
              <w:t>○</w:t>
            </w:r>
          </w:p>
        </w:tc>
        <w:tc>
          <w:tcPr>
            <w:tcW w:w="3564" w:type="dxa"/>
            <w:vMerge w:val="continue"/>
            <w:tcBorders>
              <w:top w:val="single" w:color="000000" w:sz="4" w:space="0"/>
              <w:left w:val="single" w:color="000000" w:sz="4" w:space="0"/>
              <w:bottom w:val="single" w:color="000000" w:sz="4" w:space="0"/>
              <w:right w:val="single" w:color="000000" w:sz="4" w:space="0"/>
            </w:tcBorders>
            <w:vAlign w:val="center"/>
          </w:tcPr>
          <w:p w14:paraId="3BAF6DCD">
            <w:pPr>
              <w:pStyle w:val="37"/>
              <w:rPr>
                <w:rFonts w:eastAsia="仿宋"/>
              </w:rPr>
            </w:pPr>
          </w:p>
        </w:tc>
      </w:tr>
      <w:tr w14:paraId="1A7FC16A">
        <w:tblPrEx>
          <w:tblCellMar>
            <w:top w:w="0" w:type="dxa"/>
            <w:left w:w="108" w:type="dxa"/>
            <w:bottom w:w="0" w:type="dxa"/>
            <w:right w:w="108" w:type="dxa"/>
          </w:tblCellMar>
        </w:tblPrEx>
        <w:trPr>
          <w:trHeight w:val="291" w:hRule="atLeast"/>
        </w:trPr>
        <w:tc>
          <w:tcPr>
            <w:tcW w:w="806" w:type="dxa"/>
            <w:vMerge w:val="continue"/>
            <w:tcBorders>
              <w:top w:val="single" w:color="000000" w:sz="4" w:space="0"/>
              <w:left w:val="single" w:color="000000" w:sz="4" w:space="0"/>
              <w:bottom w:val="single" w:color="000000" w:sz="4" w:space="0"/>
              <w:right w:val="single" w:color="000000" w:sz="4" w:space="0"/>
            </w:tcBorders>
            <w:vAlign w:val="center"/>
          </w:tcPr>
          <w:p w14:paraId="22CB5259">
            <w:pPr>
              <w:pStyle w:val="37"/>
              <w:rPr>
                <w:rFonts w:eastAsia="仿宋"/>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6B854142">
            <w:pPr>
              <w:pStyle w:val="37"/>
              <w:rPr>
                <w:rFonts w:eastAsia="仿宋"/>
              </w:rPr>
            </w:pPr>
            <w:r>
              <w:rPr>
                <w:rFonts w:hint="eastAsia" w:eastAsia="仿宋"/>
              </w:rPr>
              <w:t>图书室</w:t>
            </w:r>
          </w:p>
        </w:tc>
        <w:tc>
          <w:tcPr>
            <w:tcW w:w="999" w:type="dxa"/>
            <w:tcBorders>
              <w:top w:val="single" w:color="000000" w:sz="4" w:space="0"/>
              <w:left w:val="single" w:color="000000" w:sz="4" w:space="0"/>
              <w:bottom w:val="single" w:color="000000" w:sz="4" w:space="0"/>
              <w:right w:val="single" w:color="000000" w:sz="4" w:space="0"/>
            </w:tcBorders>
            <w:vAlign w:val="center"/>
          </w:tcPr>
          <w:p w14:paraId="7AFA0FD7">
            <w:pPr>
              <w:pStyle w:val="37"/>
              <w:rPr>
                <w:rFonts w:eastAsia="仿宋"/>
              </w:rPr>
            </w:pPr>
            <w:r>
              <w:rPr>
                <w:rFonts w:hint="eastAsia" w:eastAsia="仿宋"/>
              </w:rPr>
              <w:t>●</w:t>
            </w:r>
          </w:p>
        </w:tc>
        <w:tc>
          <w:tcPr>
            <w:tcW w:w="1046" w:type="dxa"/>
            <w:tcBorders>
              <w:top w:val="single" w:color="000000" w:sz="4" w:space="0"/>
              <w:left w:val="single" w:color="000000" w:sz="4" w:space="0"/>
              <w:bottom w:val="single" w:color="000000" w:sz="4" w:space="0"/>
              <w:right w:val="single" w:color="000000" w:sz="4" w:space="0"/>
            </w:tcBorders>
            <w:vAlign w:val="center"/>
          </w:tcPr>
          <w:p w14:paraId="56C04867">
            <w:pPr>
              <w:pStyle w:val="37"/>
              <w:rPr>
                <w:rFonts w:eastAsia="仿宋"/>
              </w:rPr>
            </w:pPr>
            <w:r>
              <w:rPr>
                <w:rFonts w:hint="eastAsia" w:eastAsia="仿宋"/>
              </w:rPr>
              <w:t>○</w:t>
            </w:r>
          </w:p>
        </w:tc>
        <w:tc>
          <w:tcPr>
            <w:tcW w:w="961" w:type="dxa"/>
            <w:tcBorders>
              <w:top w:val="single" w:color="000000" w:sz="4" w:space="0"/>
              <w:left w:val="single" w:color="000000" w:sz="4" w:space="0"/>
              <w:bottom w:val="single" w:color="000000" w:sz="4" w:space="0"/>
              <w:right w:val="single" w:color="000000" w:sz="4" w:space="0"/>
            </w:tcBorders>
            <w:vAlign w:val="center"/>
          </w:tcPr>
          <w:p w14:paraId="7432D31A">
            <w:pPr>
              <w:pStyle w:val="37"/>
              <w:rPr>
                <w:rFonts w:eastAsia="仿宋"/>
              </w:rPr>
            </w:pPr>
            <w:r>
              <w:rPr>
                <w:rFonts w:hint="eastAsia" w:eastAsia="仿宋"/>
              </w:rPr>
              <w:t>○</w:t>
            </w:r>
          </w:p>
        </w:tc>
        <w:tc>
          <w:tcPr>
            <w:tcW w:w="3564" w:type="dxa"/>
            <w:vMerge w:val="continue"/>
            <w:tcBorders>
              <w:top w:val="single" w:color="000000" w:sz="4" w:space="0"/>
              <w:left w:val="single" w:color="000000" w:sz="4" w:space="0"/>
              <w:bottom w:val="single" w:color="000000" w:sz="4" w:space="0"/>
              <w:right w:val="single" w:color="000000" w:sz="4" w:space="0"/>
            </w:tcBorders>
            <w:vAlign w:val="center"/>
          </w:tcPr>
          <w:p w14:paraId="349B9067">
            <w:pPr>
              <w:pStyle w:val="37"/>
              <w:rPr>
                <w:rFonts w:eastAsia="仿宋"/>
              </w:rPr>
            </w:pPr>
          </w:p>
        </w:tc>
      </w:tr>
      <w:tr w14:paraId="14106C57">
        <w:tblPrEx>
          <w:tblCellMar>
            <w:top w:w="0" w:type="dxa"/>
            <w:left w:w="108" w:type="dxa"/>
            <w:bottom w:w="0" w:type="dxa"/>
            <w:right w:w="108" w:type="dxa"/>
          </w:tblCellMar>
        </w:tblPrEx>
        <w:trPr>
          <w:trHeight w:val="291" w:hRule="atLeast"/>
        </w:trPr>
        <w:tc>
          <w:tcPr>
            <w:tcW w:w="806" w:type="dxa"/>
            <w:vMerge w:val="continue"/>
            <w:tcBorders>
              <w:top w:val="single" w:color="000000" w:sz="4" w:space="0"/>
              <w:left w:val="single" w:color="000000" w:sz="4" w:space="0"/>
              <w:bottom w:val="single" w:color="000000" w:sz="4" w:space="0"/>
              <w:right w:val="single" w:color="000000" w:sz="4" w:space="0"/>
            </w:tcBorders>
            <w:vAlign w:val="center"/>
          </w:tcPr>
          <w:p w14:paraId="7591F491">
            <w:pPr>
              <w:pStyle w:val="37"/>
              <w:rPr>
                <w:rFonts w:eastAsia="仿宋"/>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7A6E6556">
            <w:pPr>
              <w:pStyle w:val="37"/>
              <w:rPr>
                <w:rFonts w:eastAsia="仿宋"/>
              </w:rPr>
            </w:pPr>
            <w:r>
              <w:rPr>
                <w:rFonts w:hint="eastAsia" w:eastAsia="仿宋"/>
              </w:rPr>
              <w:t>活动场所</w:t>
            </w:r>
          </w:p>
        </w:tc>
        <w:tc>
          <w:tcPr>
            <w:tcW w:w="999" w:type="dxa"/>
            <w:tcBorders>
              <w:top w:val="single" w:color="000000" w:sz="4" w:space="0"/>
              <w:left w:val="single" w:color="000000" w:sz="4" w:space="0"/>
              <w:bottom w:val="single" w:color="000000" w:sz="4" w:space="0"/>
              <w:right w:val="single" w:color="000000" w:sz="4" w:space="0"/>
            </w:tcBorders>
            <w:vAlign w:val="center"/>
          </w:tcPr>
          <w:p w14:paraId="45570839">
            <w:pPr>
              <w:pStyle w:val="37"/>
              <w:rPr>
                <w:rFonts w:eastAsia="仿宋"/>
              </w:rPr>
            </w:pPr>
            <w:r>
              <w:rPr>
                <w:rFonts w:hint="eastAsia" w:eastAsia="仿宋"/>
              </w:rPr>
              <w:t>●</w:t>
            </w:r>
          </w:p>
        </w:tc>
        <w:tc>
          <w:tcPr>
            <w:tcW w:w="1046" w:type="dxa"/>
            <w:tcBorders>
              <w:top w:val="single" w:color="000000" w:sz="4" w:space="0"/>
              <w:left w:val="single" w:color="000000" w:sz="4" w:space="0"/>
              <w:bottom w:val="single" w:color="000000" w:sz="4" w:space="0"/>
              <w:right w:val="single" w:color="000000" w:sz="4" w:space="0"/>
            </w:tcBorders>
            <w:vAlign w:val="center"/>
          </w:tcPr>
          <w:p w14:paraId="7C20160F">
            <w:pPr>
              <w:pStyle w:val="37"/>
              <w:rPr>
                <w:rFonts w:eastAsia="仿宋"/>
              </w:rPr>
            </w:pPr>
            <w:r>
              <w:rPr>
                <w:rFonts w:hint="eastAsia" w:eastAsia="仿宋"/>
              </w:rPr>
              <w:t>●</w:t>
            </w:r>
          </w:p>
        </w:tc>
        <w:tc>
          <w:tcPr>
            <w:tcW w:w="961" w:type="dxa"/>
            <w:tcBorders>
              <w:top w:val="single" w:color="000000" w:sz="4" w:space="0"/>
              <w:left w:val="single" w:color="000000" w:sz="4" w:space="0"/>
              <w:bottom w:val="single" w:color="000000" w:sz="4" w:space="0"/>
              <w:right w:val="single" w:color="000000" w:sz="4" w:space="0"/>
            </w:tcBorders>
            <w:vAlign w:val="center"/>
          </w:tcPr>
          <w:p w14:paraId="2CF7120F">
            <w:pPr>
              <w:pStyle w:val="37"/>
              <w:rPr>
                <w:rFonts w:eastAsia="仿宋"/>
              </w:rPr>
            </w:pPr>
            <w:r>
              <w:rPr>
                <w:rFonts w:hint="eastAsia" w:eastAsia="仿宋"/>
              </w:rPr>
              <w:t>●</w:t>
            </w:r>
          </w:p>
        </w:tc>
        <w:tc>
          <w:tcPr>
            <w:tcW w:w="3564" w:type="dxa"/>
            <w:vMerge w:val="continue"/>
            <w:tcBorders>
              <w:top w:val="single" w:color="000000" w:sz="4" w:space="0"/>
              <w:left w:val="single" w:color="000000" w:sz="4" w:space="0"/>
              <w:bottom w:val="single" w:color="000000" w:sz="4" w:space="0"/>
              <w:right w:val="single" w:color="000000" w:sz="4" w:space="0"/>
            </w:tcBorders>
            <w:vAlign w:val="center"/>
          </w:tcPr>
          <w:p w14:paraId="3607BCF3">
            <w:pPr>
              <w:pStyle w:val="37"/>
              <w:rPr>
                <w:rFonts w:eastAsia="仿宋"/>
              </w:rPr>
            </w:pPr>
          </w:p>
        </w:tc>
      </w:tr>
      <w:tr w14:paraId="4D3E0BFD">
        <w:tblPrEx>
          <w:tblCellMar>
            <w:top w:w="0" w:type="dxa"/>
            <w:left w:w="108" w:type="dxa"/>
            <w:bottom w:w="0" w:type="dxa"/>
            <w:right w:w="108" w:type="dxa"/>
          </w:tblCellMar>
        </w:tblPrEx>
        <w:trPr>
          <w:trHeight w:val="573" w:hRule="atLeast"/>
        </w:trPr>
        <w:tc>
          <w:tcPr>
            <w:tcW w:w="806" w:type="dxa"/>
            <w:vMerge w:val="restart"/>
            <w:tcBorders>
              <w:top w:val="single" w:color="000000" w:sz="4" w:space="0"/>
              <w:left w:val="single" w:color="000000" w:sz="4" w:space="0"/>
              <w:bottom w:val="single" w:color="000000" w:sz="4" w:space="0"/>
              <w:right w:val="single" w:color="000000" w:sz="4" w:space="0"/>
            </w:tcBorders>
            <w:vAlign w:val="center"/>
          </w:tcPr>
          <w:p w14:paraId="6341CD15">
            <w:pPr>
              <w:pStyle w:val="37"/>
              <w:rPr>
                <w:rFonts w:eastAsia="仿宋"/>
              </w:rPr>
            </w:pPr>
            <w:r>
              <w:rPr>
                <w:rFonts w:hint="eastAsia" w:eastAsia="仿宋"/>
              </w:rPr>
              <w:t>商业服务</w:t>
            </w:r>
          </w:p>
        </w:tc>
        <w:tc>
          <w:tcPr>
            <w:tcW w:w="1501" w:type="dxa"/>
            <w:tcBorders>
              <w:top w:val="single" w:color="000000" w:sz="4" w:space="0"/>
              <w:left w:val="single" w:color="000000" w:sz="4" w:space="0"/>
              <w:bottom w:val="single" w:color="000000" w:sz="4" w:space="0"/>
              <w:right w:val="single" w:color="000000" w:sz="4" w:space="0"/>
            </w:tcBorders>
            <w:vAlign w:val="center"/>
          </w:tcPr>
          <w:p w14:paraId="20A20331">
            <w:pPr>
              <w:pStyle w:val="37"/>
              <w:rPr>
                <w:rFonts w:eastAsia="仿宋"/>
              </w:rPr>
            </w:pPr>
            <w:r>
              <w:rPr>
                <w:rFonts w:hint="eastAsia" w:eastAsia="仿宋"/>
              </w:rPr>
              <w:t>商店</w:t>
            </w:r>
          </w:p>
        </w:tc>
        <w:tc>
          <w:tcPr>
            <w:tcW w:w="999" w:type="dxa"/>
            <w:tcBorders>
              <w:top w:val="single" w:color="000000" w:sz="4" w:space="0"/>
              <w:left w:val="single" w:color="000000" w:sz="4" w:space="0"/>
              <w:bottom w:val="single" w:color="000000" w:sz="4" w:space="0"/>
              <w:right w:val="single" w:color="000000" w:sz="4" w:space="0"/>
            </w:tcBorders>
            <w:vAlign w:val="center"/>
          </w:tcPr>
          <w:p w14:paraId="7521D091">
            <w:pPr>
              <w:pStyle w:val="37"/>
              <w:rPr>
                <w:rFonts w:eastAsia="仿宋"/>
              </w:rPr>
            </w:pPr>
            <w:r>
              <w:rPr>
                <w:rFonts w:hint="eastAsia" w:eastAsia="仿宋"/>
              </w:rPr>
              <w:t>●</w:t>
            </w:r>
          </w:p>
        </w:tc>
        <w:tc>
          <w:tcPr>
            <w:tcW w:w="1046" w:type="dxa"/>
            <w:tcBorders>
              <w:top w:val="single" w:color="000000" w:sz="4" w:space="0"/>
              <w:left w:val="single" w:color="000000" w:sz="4" w:space="0"/>
              <w:bottom w:val="single" w:color="000000" w:sz="4" w:space="0"/>
              <w:right w:val="single" w:color="000000" w:sz="4" w:space="0"/>
            </w:tcBorders>
            <w:vAlign w:val="center"/>
          </w:tcPr>
          <w:p w14:paraId="3704C4C2">
            <w:pPr>
              <w:pStyle w:val="37"/>
              <w:rPr>
                <w:rFonts w:eastAsia="仿宋"/>
              </w:rPr>
            </w:pPr>
            <w:r>
              <w:rPr>
                <w:rFonts w:hint="eastAsia" w:eastAsia="仿宋"/>
              </w:rPr>
              <w:t>○</w:t>
            </w:r>
          </w:p>
        </w:tc>
        <w:tc>
          <w:tcPr>
            <w:tcW w:w="961" w:type="dxa"/>
            <w:tcBorders>
              <w:top w:val="single" w:color="000000" w:sz="4" w:space="0"/>
              <w:left w:val="single" w:color="000000" w:sz="4" w:space="0"/>
              <w:bottom w:val="single" w:color="000000" w:sz="4" w:space="0"/>
              <w:right w:val="single" w:color="000000" w:sz="4" w:space="0"/>
            </w:tcBorders>
            <w:vAlign w:val="center"/>
          </w:tcPr>
          <w:p w14:paraId="7F8DBFF8">
            <w:pPr>
              <w:pStyle w:val="37"/>
              <w:rPr>
                <w:rFonts w:eastAsia="仿宋"/>
              </w:rPr>
            </w:pPr>
            <w:r>
              <w:rPr>
                <w:rFonts w:hint="eastAsia" w:eastAsia="仿宋"/>
              </w:rPr>
              <w:t>○</w:t>
            </w:r>
          </w:p>
        </w:tc>
        <w:tc>
          <w:tcPr>
            <w:tcW w:w="3564" w:type="dxa"/>
            <w:tcBorders>
              <w:top w:val="single" w:color="000000" w:sz="4" w:space="0"/>
              <w:left w:val="single" w:color="000000" w:sz="4" w:space="0"/>
              <w:bottom w:val="single" w:color="000000" w:sz="4" w:space="0"/>
              <w:right w:val="single" w:color="000000" w:sz="4" w:space="0"/>
            </w:tcBorders>
            <w:vAlign w:val="center"/>
          </w:tcPr>
          <w:p w14:paraId="17F16B6D">
            <w:pPr>
              <w:pStyle w:val="37"/>
              <w:rPr>
                <w:rFonts w:eastAsia="仿宋" w:cs="方正仿宋_GBK"/>
              </w:rPr>
            </w:pPr>
            <w:r>
              <w:rPr>
                <w:rFonts w:hint="eastAsia" w:eastAsia="仿宋"/>
              </w:rPr>
              <w:t>中、大型村：80</w:t>
            </w:r>
          </w:p>
          <w:p w14:paraId="377CCBF2">
            <w:pPr>
              <w:pStyle w:val="37"/>
              <w:rPr>
                <w:rFonts w:eastAsia="仿宋"/>
              </w:rPr>
            </w:pPr>
            <w:r>
              <w:rPr>
                <w:rFonts w:hint="eastAsia" w:eastAsia="仿宋"/>
              </w:rPr>
              <w:t>小型村：40</w:t>
            </w:r>
          </w:p>
        </w:tc>
      </w:tr>
      <w:tr w14:paraId="3687697C">
        <w:tblPrEx>
          <w:tblCellMar>
            <w:top w:w="0" w:type="dxa"/>
            <w:left w:w="108" w:type="dxa"/>
            <w:bottom w:w="0" w:type="dxa"/>
            <w:right w:w="108" w:type="dxa"/>
          </w:tblCellMar>
        </w:tblPrEx>
        <w:trPr>
          <w:trHeight w:val="582" w:hRule="atLeast"/>
        </w:trPr>
        <w:tc>
          <w:tcPr>
            <w:tcW w:w="806" w:type="dxa"/>
            <w:vMerge w:val="continue"/>
            <w:tcBorders>
              <w:top w:val="single" w:color="000000" w:sz="4" w:space="0"/>
              <w:left w:val="single" w:color="000000" w:sz="4" w:space="0"/>
              <w:bottom w:val="single" w:color="000000" w:sz="4" w:space="0"/>
              <w:right w:val="single" w:color="000000" w:sz="4" w:space="0"/>
            </w:tcBorders>
            <w:vAlign w:val="center"/>
          </w:tcPr>
          <w:p w14:paraId="3C80AD86">
            <w:pPr>
              <w:pStyle w:val="37"/>
              <w:rPr>
                <w:rFonts w:eastAsia="仿宋"/>
              </w:rPr>
            </w:pPr>
          </w:p>
        </w:tc>
        <w:tc>
          <w:tcPr>
            <w:tcW w:w="1501" w:type="dxa"/>
            <w:tcBorders>
              <w:top w:val="single" w:color="000000" w:sz="4" w:space="0"/>
              <w:left w:val="single" w:color="000000" w:sz="4" w:space="0"/>
              <w:bottom w:val="single" w:color="000000" w:sz="4" w:space="0"/>
              <w:right w:val="single" w:color="000000" w:sz="4" w:space="0"/>
            </w:tcBorders>
            <w:vAlign w:val="center"/>
          </w:tcPr>
          <w:p w14:paraId="3CF80151">
            <w:pPr>
              <w:pStyle w:val="37"/>
              <w:rPr>
                <w:rFonts w:eastAsia="仿宋"/>
              </w:rPr>
            </w:pPr>
            <w:r>
              <w:rPr>
                <w:rFonts w:hint="eastAsia" w:eastAsia="仿宋"/>
              </w:rPr>
              <w:t>邮政点、快递站</w:t>
            </w:r>
          </w:p>
        </w:tc>
        <w:tc>
          <w:tcPr>
            <w:tcW w:w="999" w:type="dxa"/>
            <w:tcBorders>
              <w:top w:val="single" w:color="000000" w:sz="4" w:space="0"/>
              <w:left w:val="single" w:color="000000" w:sz="4" w:space="0"/>
              <w:bottom w:val="single" w:color="000000" w:sz="4" w:space="0"/>
              <w:right w:val="single" w:color="000000" w:sz="4" w:space="0"/>
            </w:tcBorders>
            <w:vAlign w:val="center"/>
          </w:tcPr>
          <w:p w14:paraId="4DA7D98A">
            <w:pPr>
              <w:pStyle w:val="37"/>
              <w:rPr>
                <w:rFonts w:eastAsia="仿宋"/>
              </w:rPr>
            </w:pPr>
            <w:r>
              <w:rPr>
                <w:rFonts w:hint="eastAsia" w:eastAsia="仿宋"/>
              </w:rPr>
              <w:t>●</w:t>
            </w:r>
          </w:p>
        </w:tc>
        <w:tc>
          <w:tcPr>
            <w:tcW w:w="1046" w:type="dxa"/>
            <w:tcBorders>
              <w:top w:val="single" w:color="000000" w:sz="4" w:space="0"/>
              <w:left w:val="single" w:color="000000" w:sz="4" w:space="0"/>
              <w:bottom w:val="single" w:color="000000" w:sz="4" w:space="0"/>
              <w:right w:val="single" w:color="000000" w:sz="4" w:space="0"/>
            </w:tcBorders>
            <w:vAlign w:val="center"/>
          </w:tcPr>
          <w:p w14:paraId="2F565FDC">
            <w:pPr>
              <w:pStyle w:val="37"/>
              <w:rPr>
                <w:rFonts w:eastAsia="仿宋"/>
              </w:rPr>
            </w:pPr>
            <w:r>
              <w:rPr>
                <w:rFonts w:hint="eastAsia" w:eastAsia="仿宋"/>
              </w:rPr>
              <w:t>●</w:t>
            </w:r>
          </w:p>
        </w:tc>
        <w:tc>
          <w:tcPr>
            <w:tcW w:w="961" w:type="dxa"/>
            <w:tcBorders>
              <w:top w:val="single" w:color="000000" w:sz="4" w:space="0"/>
              <w:left w:val="single" w:color="000000" w:sz="4" w:space="0"/>
              <w:bottom w:val="single" w:color="000000" w:sz="4" w:space="0"/>
              <w:right w:val="single" w:color="000000" w:sz="4" w:space="0"/>
            </w:tcBorders>
            <w:vAlign w:val="center"/>
          </w:tcPr>
          <w:p w14:paraId="20B0CFB0">
            <w:pPr>
              <w:pStyle w:val="37"/>
              <w:rPr>
                <w:rFonts w:eastAsia="仿宋"/>
              </w:rPr>
            </w:pPr>
            <w:r>
              <w:rPr>
                <w:rFonts w:hint="eastAsia" w:eastAsia="仿宋"/>
              </w:rPr>
              <w:t>○</w:t>
            </w:r>
          </w:p>
        </w:tc>
        <w:tc>
          <w:tcPr>
            <w:tcW w:w="3564" w:type="dxa"/>
            <w:tcBorders>
              <w:top w:val="single" w:color="000000" w:sz="4" w:space="0"/>
              <w:left w:val="single" w:color="000000" w:sz="4" w:space="0"/>
              <w:bottom w:val="single" w:color="000000" w:sz="4" w:space="0"/>
              <w:right w:val="single" w:color="000000" w:sz="4" w:space="0"/>
            </w:tcBorders>
            <w:vAlign w:val="center"/>
          </w:tcPr>
          <w:p w14:paraId="07BAA82B">
            <w:pPr>
              <w:pStyle w:val="37"/>
              <w:rPr>
                <w:rFonts w:eastAsia="仿宋"/>
              </w:rPr>
            </w:pPr>
            <w:r>
              <w:rPr>
                <w:rFonts w:hint="eastAsia" w:eastAsia="仿宋"/>
              </w:rPr>
              <w:t>中、大型村：80</w:t>
            </w:r>
            <w:r>
              <w:rPr>
                <w:rFonts w:hint="eastAsia" w:eastAsia="仿宋"/>
              </w:rPr>
              <w:br w:type="textWrapping"/>
            </w:r>
            <w:r>
              <w:rPr>
                <w:rFonts w:hint="eastAsia" w:eastAsia="仿宋"/>
              </w:rPr>
              <w:t>小型村：50</w:t>
            </w:r>
          </w:p>
        </w:tc>
      </w:tr>
    </w:tbl>
    <w:p w14:paraId="26E93AB9">
      <w:pPr>
        <w:pStyle w:val="37"/>
        <w:jc w:val="left"/>
        <w:rPr>
          <w:rFonts w:eastAsia="仿宋"/>
        </w:rPr>
      </w:pPr>
      <w:r>
        <w:rPr>
          <w:rFonts w:hint="eastAsia" w:eastAsia="仿宋"/>
        </w:rPr>
        <w:t>注1:●表示必须配置，○表示可根据实际情况选择性配置；村常住人口&gt;2000人为大型村；1000-2000人为中型村；&lt;1000人为小型村。</w:t>
      </w:r>
    </w:p>
    <w:p w14:paraId="6747C0B6">
      <w:pPr>
        <w:pStyle w:val="37"/>
        <w:jc w:val="left"/>
        <w:rPr>
          <w:rFonts w:eastAsia="仿宋"/>
        </w:rPr>
      </w:pPr>
      <w:r>
        <w:rPr>
          <w:rFonts w:hint="eastAsia" w:eastAsia="仿宋"/>
        </w:rPr>
        <w:t>注2：文化活动室可与图书室合并设置。</w:t>
      </w:r>
    </w:p>
    <w:p w14:paraId="404EADCC">
      <w:pPr>
        <w:pStyle w:val="37"/>
        <w:jc w:val="left"/>
        <w:rPr>
          <w:rFonts w:eastAsia="仿宋"/>
        </w:rPr>
      </w:pPr>
      <w:r>
        <w:rPr>
          <w:rFonts w:hint="eastAsia" w:eastAsia="仿宋"/>
        </w:rPr>
        <w:t>注3：此表仅供参考，可结合相关部门实际需求和最新城乡公共服务设施规划标准进行调整。</w:t>
      </w:r>
    </w:p>
    <w:p w14:paraId="07CBF1CB">
      <w:pPr>
        <w:pStyle w:val="6"/>
        <w:numPr>
          <w:ilvl w:val="0"/>
          <w:numId w:val="3"/>
        </w:numPr>
        <w:ind w:left="0" w:firstLine="709" w:firstLineChars="0"/>
      </w:pPr>
      <w:r>
        <w:rPr>
          <w:rFonts w:hint="eastAsia"/>
        </w:rPr>
        <w:t>乡村市政公用设施用地指引</w:t>
      </w:r>
    </w:p>
    <w:p w14:paraId="31CAC6A8">
      <w:pPr>
        <w:ind w:firstLine="643"/>
        <w:rPr>
          <w:b/>
          <w:bCs/>
        </w:rPr>
      </w:pPr>
      <w:r>
        <w:rPr>
          <w:rFonts w:hint="eastAsia"/>
          <w:b/>
          <w:bCs/>
        </w:rPr>
        <w:t>1.</w:t>
      </w:r>
      <w:r>
        <w:rPr>
          <w:b/>
          <w:bCs/>
        </w:rPr>
        <w:t>选址要求</w:t>
      </w:r>
    </w:p>
    <w:p w14:paraId="1EC3F2F1">
      <w:pPr>
        <w:rPr>
          <w:rFonts w:hint="eastAsia"/>
        </w:rPr>
      </w:pPr>
      <w:r>
        <w:rPr>
          <w:rFonts w:hint="eastAsia"/>
        </w:rPr>
        <w:t>除通用</w:t>
      </w:r>
      <w:r>
        <w:rPr>
          <w:rFonts w:hint="eastAsia"/>
          <w:lang w:val="en-US" w:eastAsia="zh-CN"/>
        </w:rPr>
        <w:t>性规定</w:t>
      </w:r>
      <w:r>
        <w:rPr>
          <w:rFonts w:hint="eastAsia"/>
        </w:rPr>
        <w:t>外，乡村市政公用设施选址布局还应当符合以下要求：</w:t>
      </w:r>
    </w:p>
    <w:p w14:paraId="442DBEBC">
      <w:pPr>
        <w:numPr>
          <w:ilvl w:val="0"/>
          <w:numId w:val="6"/>
        </w:numPr>
        <w:rPr>
          <w:rFonts w:hint="eastAsia"/>
          <w:b w:val="0"/>
          <w:bCs w:val="0"/>
        </w:rPr>
      </w:pPr>
      <w:r>
        <w:rPr>
          <w:rFonts w:hint="eastAsia"/>
          <w:b w:val="0"/>
          <w:bCs w:val="0"/>
        </w:rPr>
        <w:t>供水设施</w:t>
      </w:r>
    </w:p>
    <w:p w14:paraId="503CBD44">
      <w:pPr>
        <w:rPr>
          <w:rFonts w:hint="eastAsia"/>
        </w:rPr>
      </w:pPr>
      <w:r>
        <w:rPr>
          <w:rFonts w:hint="eastAsia"/>
        </w:rPr>
        <w:t>有城镇市政集中供水管网覆盖的乡村，应优先选择接入市政供水管网。无法接入集中供水管网的村庄宜采用联村、连片供水或单村供水方式，建设集中式供水工程。</w:t>
      </w:r>
    </w:p>
    <w:p w14:paraId="6485204B">
      <w:pPr>
        <w:rPr>
          <w:rFonts w:hint="eastAsia"/>
        </w:rPr>
      </w:pPr>
      <w:r>
        <w:rPr>
          <w:rFonts w:hint="eastAsia"/>
        </w:rPr>
        <w:t>小型农村取水设施应位于河流上游、水源水质符合标准、水量充足稳定、远离污染源（工厂、养殖场、垃圾填埋场等）且兼顾用水便利性的地段。</w:t>
      </w:r>
    </w:p>
    <w:p w14:paraId="68078E58">
      <w:pPr>
        <w:rPr>
          <w:rFonts w:hint="eastAsia"/>
          <w:b/>
          <w:bCs/>
        </w:rPr>
      </w:pPr>
      <w:r>
        <w:rPr>
          <w:rFonts w:hint="eastAsia"/>
        </w:rPr>
        <w:t>高位水池、泵站等供水设施应布置地势较高处，尽量靠近供水水源，同时兼顾集中居住点，以减少输送成本，并为未来预留可扩建空间。</w:t>
      </w:r>
    </w:p>
    <w:p w14:paraId="1B884637">
      <w:pPr>
        <w:numPr>
          <w:ilvl w:val="0"/>
          <w:numId w:val="6"/>
        </w:numPr>
        <w:rPr>
          <w:rFonts w:hint="eastAsia"/>
          <w:b w:val="0"/>
          <w:bCs w:val="0"/>
        </w:rPr>
      </w:pPr>
      <w:r>
        <w:rPr>
          <w:rFonts w:hint="eastAsia"/>
          <w:b w:val="0"/>
          <w:bCs w:val="0"/>
        </w:rPr>
        <w:t>排水</w:t>
      </w:r>
      <w:r>
        <w:rPr>
          <w:rFonts w:hint="eastAsia"/>
          <w:b w:val="0"/>
          <w:bCs w:val="0"/>
          <w:lang w:val="en-US" w:eastAsia="zh-CN"/>
        </w:rPr>
        <w:t>设施</w:t>
      </w:r>
    </w:p>
    <w:p w14:paraId="1E565CCC">
      <w:pPr>
        <w:keepNext w:val="0"/>
        <w:keepLines w:val="0"/>
        <w:pageBreakBefore w:val="0"/>
        <w:widowControl w:val="0"/>
        <w:numPr>
          <w:ilvl w:val="0"/>
          <w:numId w:val="0"/>
        </w:numPr>
        <w:kinsoku/>
        <w:wordWrap/>
        <w:overflowPunct/>
        <w:topLinePunct w:val="0"/>
        <w:autoSpaceDE/>
        <w:autoSpaceDN/>
        <w:bidi w:val="0"/>
        <w:adjustRightInd w:val="0"/>
        <w:snapToGrid w:val="0"/>
        <w:ind w:firstLine="640" w:firstLineChars="200"/>
        <w:textAlignment w:val="auto"/>
        <w:rPr>
          <w:rFonts w:hint="eastAsia"/>
        </w:rPr>
      </w:pPr>
      <w:r>
        <w:rPr>
          <w:rFonts w:hint="eastAsia"/>
        </w:rPr>
        <w:t>乡村雨水系统应结合地势实现收集利用或就近排放。</w:t>
      </w:r>
    </w:p>
    <w:p w14:paraId="7E7C79B9">
      <w:pPr>
        <w:keepNext w:val="0"/>
        <w:keepLines w:val="0"/>
        <w:pageBreakBefore w:val="0"/>
        <w:widowControl w:val="0"/>
        <w:numPr>
          <w:ilvl w:val="0"/>
          <w:numId w:val="0"/>
        </w:numPr>
        <w:kinsoku/>
        <w:wordWrap/>
        <w:overflowPunct/>
        <w:topLinePunct w:val="0"/>
        <w:autoSpaceDE/>
        <w:autoSpaceDN/>
        <w:bidi w:val="0"/>
        <w:adjustRightInd w:val="0"/>
        <w:snapToGrid w:val="0"/>
        <w:ind w:firstLine="640" w:firstLineChars="200"/>
        <w:textAlignment w:val="auto"/>
        <w:rPr>
          <w:rFonts w:hint="eastAsia"/>
        </w:rPr>
      </w:pPr>
      <w:r>
        <w:rPr>
          <w:rFonts w:hint="eastAsia"/>
        </w:rPr>
        <w:t>位于城镇污水处理厂服务范围内的村庄，应优先纳入城镇污水处理系统。位于城镇污水处理厂服务范围外，20户以上的集中居民点宜建设污水处理设施集中处理；20户以下的居民点及散居农房，可分户处理，鼓励采用自然湿地、生物塘、沼气池、化粪池等生态化方式处理后，就近资源化利用。</w:t>
      </w:r>
    </w:p>
    <w:p w14:paraId="44096F07">
      <w:pPr>
        <w:keepNext w:val="0"/>
        <w:keepLines w:val="0"/>
        <w:pageBreakBefore w:val="0"/>
        <w:widowControl w:val="0"/>
        <w:numPr>
          <w:ilvl w:val="0"/>
          <w:numId w:val="0"/>
        </w:numPr>
        <w:kinsoku/>
        <w:wordWrap/>
        <w:overflowPunct/>
        <w:topLinePunct w:val="0"/>
        <w:autoSpaceDE/>
        <w:autoSpaceDN/>
        <w:bidi w:val="0"/>
        <w:adjustRightInd w:val="0"/>
        <w:snapToGrid w:val="0"/>
        <w:ind w:firstLine="640" w:firstLineChars="200"/>
        <w:textAlignment w:val="auto"/>
        <w:rPr>
          <w:rFonts w:hint="eastAsia"/>
        </w:rPr>
      </w:pPr>
      <w:r>
        <w:rPr>
          <w:rFonts w:hint="eastAsia"/>
        </w:rPr>
        <w:t>污水处理设施宜选址在集中居民点的夏季主导风的下风向、河流下游，与住宅卫生防护距离≥30米，同时远离学校、医院等环境敏感性公共建筑；宜布置在地势低处但不应设置在低洼易涝区，并应靠近受纳水体或农田灌溉区。</w:t>
      </w:r>
    </w:p>
    <w:p w14:paraId="451587BD">
      <w:pPr>
        <w:numPr>
          <w:ilvl w:val="0"/>
          <w:numId w:val="6"/>
        </w:numPr>
        <w:rPr>
          <w:rFonts w:hint="eastAsia"/>
          <w:b w:val="0"/>
          <w:bCs w:val="0"/>
          <w:lang w:eastAsia="zh-CN"/>
        </w:rPr>
      </w:pPr>
      <w:r>
        <w:rPr>
          <w:rFonts w:hint="eastAsia"/>
          <w:b w:val="0"/>
          <w:bCs w:val="0"/>
          <w:lang w:val="en-US" w:eastAsia="zh-CN"/>
        </w:rPr>
        <w:t>供电设施</w:t>
      </w:r>
    </w:p>
    <w:p w14:paraId="68B065D0">
      <w:pPr>
        <w:keepNext w:val="0"/>
        <w:keepLines w:val="0"/>
        <w:pageBreakBefore w:val="0"/>
        <w:widowControl w:val="0"/>
        <w:numPr>
          <w:ilvl w:val="0"/>
          <w:numId w:val="0"/>
        </w:numPr>
        <w:kinsoku/>
        <w:wordWrap/>
        <w:overflowPunct/>
        <w:topLinePunct w:val="0"/>
        <w:autoSpaceDE/>
        <w:autoSpaceDN/>
        <w:bidi w:val="0"/>
        <w:adjustRightInd w:val="0"/>
        <w:snapToGrid w:val="0"/>
        <w:ind w:firstLine="640" w:firstLineChars="200"/>
        <w:textAlignment w:val="auto"/>
        <w:rPr>
          <w:rFonts w:hint="eastAsia"/>
        </w:rPr>
      </w:pPr>
      <w:r>
        <w:rPr>
          <w:rFonts w:hint="eastAsia"/>
        </w:rPr>
        <w:t>电力线敷设。在满足安全要求的基础上沿农村道路规范有序架设，沿主要景观展示面有条件的可埋地敷设，避免线路交叉跨越，敷设路径需避开林木茂密区及建筑密集区。</w:t>
      </w:r>
    </w:p>
    <w:p w14:paraId="21DB5ADD">
      <w:pPr>
        <w:rPr>
          <w:rFonts w:hint="eastAsia"/>
        </w:rPr>
      </w:pPr>
      <w:r>
        <w:rPr>
          <w:rFonts w:hint="eastAsia"/>
        </w:rPr>
        <w:t>变电站、开闭所、配电房（或变压器）。宜靠近电力负荷中心，降低线路损耗，站址选择地势较高、排水良好的区域，避开易积水、强振动、多粉尘及腐蚀性气体环境，并与周边居民区保持必要防护距离。</w:t>
      </w:r>
    </w:p>
    <w:p w14:paraId="37628E05">
      <w:pPr>
        <w:rPr>
          <w:rFonts w:hint="eastAsia"/>
        </w:rPr>
      </w:pPr>
      <w:r>
        <w:rPr>
          <w:rFonts w:hint="eastAsia"/>
        </w:rPr>
        <w:t>光伏设施可利用屋顶、荒坡敷设。</w:t>
      </w:r>
    </w:p>
    <w:p w14:paraId="76364E6D">
      <w:pPr>
        <w:numPr>
          <w:ilvl w:val="0"/>
          <w:numId w:val="6"/>
        </w:numPr>
        <w:rPr>
          <w:rFonts w:hint="eastAsia"/>
          <w:b w:val="0"/>
          <w:bCs w:val="0"/>
          <w:lang w:eastAsia="zh-CN"/>
        </w:rPr>
      </w:pPr>
      <w:r>
        <w:rPr>
          <w:rFonts w:hint="eastAsia"/>
          <w:b w:val="0"/>
          <w:bCs w:val="0"/>
          <w:lang w:val="en-US" w:eastAsia="zh-CN"/>
        </w:rPr>
        <w:t>通信设施</w:t>
      </w:r>
    </w:p>
    <w:p w14:paraId="037BA82E">
      <w:pPr>
        <w:rPr>
          <w:rFonts w:hint="eastAsia"/>
        </w:rPr>
      </w:pPr>
      <w:r>
        <w:rPr>
          <w:rFonts w:hint="eastAsia"/>
        </w:rPr>
        <w:t>通信基站宜选择地势较高处，避开高压变电站等电磁干扰源，确保信号有效覆盖。同时与聚居点保持适当距离，满足电磁辐射安全标准。</w:t>
      </w:r>
    </w:p>
    <w:p w14:paraId="3459371A">
      <w:pPr>
        <w:numPr>
          <w:ilvl w:val="0"/>
          <w:numId w:val="6"/>
        </w:numPr>
        <w:rPr>
          <w:rFonts w:hint="eastAsia"/>
          <w:b w:val="0"/>
          <w:bCs w:val="0"/>
          <w:lang w:eastAsia="zh-CN"/>
        </w:rPr>
      </w:pPr>
      <w:r>
        <w:rPr>
          <w:rFonts w:hint="eastAsia"/>
          <w:b w:val="0"/>
          <w:bCs w:val="0"/>
          <w:lang w:val="en-US" w:eastAsia="zh-CN"/>
        </w:rPr>
        <w:t>环卫设施</w:t>
      </w:r>
    </w:p>
    <w:p w14:paraId="3311E62F">
      <w:r>
        <w:rPr>
          <w:rFonts w:hint="eastAsia"/>
        </w:rPr>
        <w:t>垃圾收集点。考虑方便村民投放、方便清运、不干扰村民正常生活、不影响村容村貌等要求，宜布置在村庄主要道路旁，距离村民住房20米以上。每个村应建立1个及以上的垃圾收集点，服务半径宜为70～200米之间。</w:t>
      </w:r>
    </w:p>
    <w:p w14:paraId="59512EC9">
      <w:r>
        <w:rPr>
          <w:rFonts w:hint="eastAsia"/>
        </w:rPr>
        <w:t>垃圾转运站。应位于村庄夏季主导风的下风向，与最近居民点保持适当防护距离，外围宜设置绿化隔离带。采用人力收集的小型转运站服务半径不宜超过1.0千米；采用机械收集的小型转运点服务半径不宜超过3.0千米。</w:t>
      </w:r>
    </w:p>
    <w:p w14:paraId="613ABC7E">
      <w:pPr>
        <w:rPr>
          <w:rFonts w:hint="eastAsia"/>
        </w:rPr>
      </w:pPr>
      <w:r>
        <w:rPr>
          <w:rFonts w:hint="eastAsia"/>
        </w:rPr>
        <w:t>公共厕所。以方便使用为原则，鼓励与其他设施合建。宜设置在人流较多的道路沿线、公共建筑及公共活动场所附近。服务半径宜为500～1000米，其中具有旅游功能的公厕服务半径宜为600～800米，距离集中式供水点和地下取水构筑物30米以上。</w:t>
      </w:r>
    </w:p>
    <w:p w14:paraId="269249BF">
      <w:pPr>
        <w:numPr>
          <w:ilvl w:val="0"/>
          <w:numId w:val="6"/>
        </w:numPr>
        <w:rPr>
          <w:rFonts w:hint="eastAsia"/>
          <w:b w:val="0"/>
          <w:bCs w:val="0"/>
          <w:lang w:eastAsia="zh-CN"/>
        </w:rPr>
      </w:pPr>
      <w:r>
        <w:rPr>
          <w:rFonts w:hint="eastAsia"/>
          <w:b w:val="0"/>
          <w:bCs w:val="0"/>
          <w:lang w:val="en-US" w:eastAsia="zh-CN"/>
        </w:rPr>
        <w:t>消防设施</w:t>
      </w:r>
    </w:p>
    <w:p w14:paraId="6EF8DD50">
      <w:r>
        <w:rPr>
          <w:rFonts w:hint="eastAsia"/>
        </w:rPr>
        <w:t>充分利用就近天然水体作为消防水源，利用天然水体困难的，具备给水管网条件的，应设室外消防给水系统；不具备给水管网条件或室外消防给水系统不符合消防供水要求的，应建设消防水池。乡村建设须遵守《建筑防火通用规范》《农村防火规范》要求，确保消防车道畅通。村内主要公共建筑及人员密集公共场所应规范配置消防器材。</w:t>
      </w:r>
    </w:p>
    <w:p w14:paraId="0CB39465">
      <w:pPr>
        <w:ind w:firstLine="643"/>
        <w:rPr>
          <w:b/>
          <w:bCs/>
        </w:rPr>
      </w:pPr>
      <w:r>
        <w:rPr>
          <w:rFonts w:hint="eastAsia"/>
          <w:b/>
          <w:bCs/>
        </w:rPr>
        <w:t>2.建设标准</w:t>
      </w:r>
    </w:p>
    <w:p w14:paraId="7E74EDA9">
      <w:r>
        <w:rPr>
          <w:rFonts w:hint="eastAsia"/>
        </w:rPr>
        <w:t>乡村市政公用设施的建设标准应符合</w:t>
      </w:r>
      <w:r>
        <w:rPr>
          <w:rFonts w:hint="eastAsia"/>
        </w:rPr>
        <w:fldChar w:fldCharType="begin"/>
      </w:r>
      <w:r>
        <w:rPr>
          <w:rFonts w:hint="eastAsia"/>
        </w:rPr>
        <w:instrText xml:space="preserve"> REF _Ref233797261 \h  \* MERGEFORMAT </w:instrText>
      </w:r>
      <w:r>
        <w:rPr>
          <w:rFonts w:hint="eastAsia"/>
        </w:rPr>
        <w:fldChar w:fldCharType="separate"/>
      </w:r>
      <w:r>
        <w:rPr>
          <w:rFonts w:hint="eastAsia"/>
        </w:rPr>
        <w:t>《城乡排水工程项目规范》</w:t>
      </w:r>
      <w:r>
        <w:rPr>
          <w:rFonts w:hint="eastAsia"/>
        </w:rPr>
        <w:fldChar w:fldCharType="end"/>
      </w:r>
      <w:r>
        <w:rPr>
          <w:rFonts w:hint="eastAsia" w:ascii="Times New Roman" w:hAnsi="Times New Roman" w:eastAsia="方正仿宋_GBK" w:cs="Times New Roman"/>
          <w:sz w:val="32"/>
          <w:szCs w:val="32"/>
          <w:lang w:val="en-US" w:eastAsia="zh-CN"/>
        </w:rPr>
        <w:t>《燃气工程项目规范》</w:t>
      </w:r>
      <w:r>
        <w:rPr>
          <w:rFonts w:hint="eastAsia"/>
        </w:rPr>
        <w:fldChar w:fldCharType="begin"/>
      </w:r>
      <w:r>
        <w:rPr>
          <w:rFonts w:hint="eastAsia"/>
        </w:rPr>
        <w:instrText xml:space="preserve"> REF _Ref233797278 \h  \* MERGEFORMAT </w:instrText>
      </w:r>
      <w:r>
        <w:rPr>
          <w:rFonts w:hint="eastAsia"/>
        </w:rPr>
        <w:fldChar w:fldCharType="separate"/>
      </w:r>
      <w:r>
        <w:rPr>
          <w:rFonts w:hint="eastAsia"/>
        </w:rPr>
        <w:t>《环境卫生设施设置标准》</w:t>
      </w:r>
      <w:r>
        <w:rPr>
          <w:rFonts w:hint="eastAsia"/>
        </w:rPr>
        <w:fldChar w:fldCharType="end"/>
      </w:r>
      <w:r>
        <w:rPr>
          <w:rFonts w:hint="eastAsia"/>
        </w:rPr>
        <w:t>等规范、相关专项规划</w:t>
      </w:r>
      <w:r>
        <w:rPr>
          <w:rFonts w:hint="eastAsia" w:ascii="Times New Roman" w:hAnsi="Times New Roman" w:eastAsia="方正仿宋_GBK" w:cs="Times New Roman"/>
          <w:sz w:val="32"/>
          <w:szCs w:val="32"/>
          <w:lang w:val="en-US" w:eastAsia="zh-CN"/>
        </w:rPr>
        <w:t>以及相关行业标准</w:t>
      </w:r>
      <w:r>
        <w:rPr>
          <w:rFonts w:hint="eastAsia"/>
        </w:rPr>
        <w:t>，具体可参考</w:t>
      </w:r>
      <w:r>
        <w:rPr>
          <w:rFonts w:hint="eastAsia"/>
        </w:rPr>
        <w:fldChar w:fldCharType="begin"/>
      </w:r>
      <w:r>
        <w:rPr>
          <w:rFonts w:hint="eastAsia"/>
        </w:rPr>
        <w:instrText xml:space="preserve"> REF _Ref233565826 \h  \* MERGEFORMAT </w:instrText>
      </w:r>
      <w:r>
        <w:rPr>
          <w:rFonts w:hint="eastAsia"/>
        </w:rPr>
        <w:fldChar w:fldCharType="separate"/>
      </w:r>
      <w:r>
        <w:rPr>
          <w:rFonts w:hint="eastAsia"/>
        </w:rPr>
        <w:t>表</w:t>
      </w:r>
      <w:r>
        <w:t>2</w:t>
      </w:r>
      <w:r>
        <w:rPr>
          <w:rFonts w:hint="eastAsia"/>
        </w:rPr>
        <w:fldChar w:fldCharType="end"/>
      </w:r>
      <w:r>
        <w:rPr>
          <w:rFonts w:hint="eastAsia"/>
        </w:rPr>
        <w:t>配建。</w:t>
      </w:r>
    </w:p>
    <w:p w14:paraId="2C69CA06">
      <w:pPr>
        <w:pStyle w:val="10"/>
      </w:pPr>
      <w:bookmarkStart w:id="13" w:name="_Ref233565826"/>
      <w:r>
        <w:rPr>
          <w:rFonts w:hint="eastAsia"/>
        </w:rPr>
        <w:t xml:space="preserve">表 </w:t>
      </w:r>
      <w:r>
        <w:fldChar w:fldCharType="begin"/>
      </w:r>
      <w:r>
        <w:instrText xml:space="preserve"> </w:instrText>
      </w:r>
      <w:r>
        <w:rPr>
          <w:rFonts w:hint="eastAsia"/>
        </w:rPr>
        <w:instrText xml:space="preserve">SEQ 表 \* ARABIC</w:instrText>
      </w:r>
      <w:r>
        <w:instrText xml:space="preserve"> </w:instrText>
      </w:r>
      <w:r>
        <w:fldChar w:fldCharType="separate"/>
      </w:r>
      <w:r>
        <w:rPr>
          <w:rFonts w:hint="eastAsia"/>
        </w:rPr>
        <w:t>2</w:t>
      </w:r>
      <w:r>
        <w:fldChar w:fldCharType="end"/>
      </w:r>
      <w:bookmarkEnd w:id="13"/>
      <w:r>
        <w:rPr>
          <w:rFonts w:hint="eastAsia"/>
        </w:rPr>
        <w:t>乡村市政公用设施配置建议</w:t>
      </w:r>
    </w:p>
    <w:tbl>
      <w:tblPr>
        <w:tblStyle w:val="24"/>
        <w:tblW w:w="8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316"/>
        <w:gridCol w:w="3618"/>
        <w:gridCol w:w="3239"/>
      </w:tblGrid>
      <w:tr w14:paraId="3A6C8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blHeader/>
        </w:trPr>
        <w:tc>
          <w:tcPr>
            <w:tcW w:w="783" w:type="dxa"/>
            <w:vAlign w:val="center"/>
          </w:tcPr>
          <w:p w14:paraId="7D824355">
            <w:pPr>
              <w:pStyle w:val="37"/>
              <w:rPr>
                <w:b/>
                <w:bCs/>
              </w:rPr>
            </w:pPr>
            <w:r>
              <w:rPr>
                <w:rFonts w:hint="eastAsia"/>
                <w:b/>
                <w:bCs/>
              </w:rPr>
              <w:t>要素</w:t>
            </w:r>
          </w:p>
          <w:p w14:paraId="55881BE5">
            <w:pPr>
              <w:pStyle w:val="37"/>
              <w:rPr>
                <w:b/>
                <w:bCs/>
              </w:rPr>
            </w:pPr>
            <w:r>
              <w:rPr>
                <w:rFonts w:hint="eastAsia"/>
                <w:b/>
                <w:bCs/>
              </w:rPr>
              <w:t>类型</w:t>
            </w:r>
          </w:p>
        </w:tc>
        <w:tc>
          <w:tcPr>
            <w:tcW w:w="1316" w:type="dxa"/>
            <w:vAlign w:val="center"/>
          </w:tcPr>
          <w:p w14:paraId="2EF44B64">
            <w:pPr>
              <w:pStyle w:val="37"/>
              <w:rPr>
                <w:b/>
                <w:bCs/>
              </w:rPr>
            </w:pPr>
            <w:r>
              <w:rPr>
                <w:rFonts w:hint="eastAsia"/>
                <w:b/>
                <w:bCs/>
              </w:rPr>
              <w:t>要素名称</w:t>
            </w:r>
          </w:p>
        </w:tc>
        <w:tc>
          <w:tcPr>
            <w:tcW w:w="3618" w:type="dxa"/>
            <w:vAlign w:val="center"/>
          </w:tcPr>
          <w:p w14:paraId="3A7E32FE">
            <w:pPr>
              <w:pStyle w:val="37"/>
              <w:rPr>
                <w:b/>
                <w:bCs/>
              </w:rPr>
            </w:pPr>
            <w:r>
              <w:rPr>
                <w:rFonts w:hint="eastAsia"/>
                <w:b/>
                <w:bCs/>
              </w:rPr>
              <w:t>配置要求</w:t>
            </w:r>
          </w:p>
        </w:tc>
        <w:tc>
          <w:tcPr>
            <w:tcW w:w="3239" w:type="dxa"/>
            <w:vAlign w:val="center"/>
          </w:tcPr>
          <w:p w14:paraId="4FE33128">
            <w:pPr>
              <w:pStyle w:val="37"/>
              <w:rPr>
                <w:b/>
                <w:bCs/>
              </w:rPr>
            </w:pPr>
            <w:r>
              <w:rPr>
                <w:rFonts w:hint="eastAsia"/>
                <w:b/>
                <w:bCs/>
              </w:rPr>
              <w:t>建设标准依据</w:t>
            </w:r>
          </w:p>
        </w:tc>
      </w:tr>
      <w:tr w14:paraId="4F8E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14:paraId="785DF067">
            <w:pPr>
              <w:pStyle w:val="37"/>
            </w:pPr>
            <w:r>
              <w:rPr>
                <w:rFonts w:hint="eastAsia"/>
              </w:rPr>
              <w:t>供水</w:t>
            </w:r>
          </w:p>
        </w:tc>
        <w:tc>
          <w:tcPr>
            <w:tcW w:w="1316" w:type="dxa"/>
            <w:vAlign w:val="center"/>
          </w:tcPr>
          <w:p w14:paraId="51281E1F">
            <w:pPr>
              <w:pStyle w:val="37"/>
            </w:pPr>
            <w:r>
              <w:rPr>
                <w:rFonts w:hint="eastAsia"/>
              </w:rPr>
              <w:t>包括取水、调蓄水构筑物、泵站、高位水池等</w:t>
            </w:r>
          </w:p>
        </w:tc>
        <w:tc>
          <w:tcPr>
            <w:tcW w:w="3618" w:type="dxa"/>
            <w:vAlign w:val="center"/>
          </w:tcPr>
          <w:p w14:paraId="27EC4D22">
            <w:pPr>
              <w:pStyle w:val="37"/>
            </w:pPr>
            <w:r>
              <w:rPr>
                <w:rFonts w:hint="eastAsia"/>
              </w:rPr>
              <w:t>1）有条件纳入城镇集中供水或城乡一体化供水的行政村，根据专业规划设置；</w:t>
            </w:r>
            <w:r>
              <w:rPr>
                <w:rFonts w:hint="eastAsia"/>
              </w:rPr>
              <w:br w:type="textWrapping"/>
            </w:r>
            <w:r>
              <w:rPr>
                <w:rFonts w:hint="eastAsia"/>
              </w:rPr>
              <w:t>2）其他行政村设1套供水设施，村域面积较大或集中居民点较分散的可多点设置。</w:t>
            </w:r>
          </w:p>
        </w:tc>
        <w:tc>
          <w:tcPr>
            <w:tcW w:w="3239" w:type="dxa"/>
            <w:vAlign w:val="center"/>
          </w:tcPr>
          <w:p w14:paraId="076A847A">
            <w:pPr>
              <w:pStyle w:val="37"/>
            </w:pPr>
            <w:r>
              <w:rPr>
                <w:rFonts w:hint="eastAsia"/>
              </w:rPr>
              <w:fldChar w:fldCharType="begin"/>
            </w:r>
            <w:r>
              <w:rPr>
                <w:rFonts w:hint="eastAsia"/>
              </w:rPr>
              <w:instrText xml:space="preserve"> REF _Ref233797335 \h  \* MERGEFORMAT </w:instrText>
            </w:r>
            <w:r>
              <w:rPr>
                <w:rFonts w:hint="eastAsia"/>
              </w:rPr>
              <w:fldChar w:fldCharType="separate"/>
            </w:r>
            <w:r>
              <w:rPr>
                <w:rFonts w:hint="eastAsia"/>
              </w:rPr>
              <w:t>《村镇供水工程技术规范》（GB/T43824-2024）</w:t>
            </w:r>
            <w:r>
              <w:rPr>
                <w:rFonts w:hint="eastAsia"/>
              </w:rPr>
              <w:fldChar w:fldCharType="end"/>
            </w:r>
            <w:r>
              <w:rPr>
                <w:rFonts w:hint="eastAsia"/>
              </w:rPr>
              <w:fldChar w:fldCharType="begin"/>
            </w:r>
            <w:r>
              <w:rPr>
                <w:rFonts w:hint="eastAsia"/>
              </w:rPr>
              <w:instrText xml:space="preserve"> REF _Ref233809203 \h  \* MERGEFORMAT </w:instrText>
            </w:r>
            <w:r>
              <w:rPr>
                <w:rFonts w:hint="eastAsia"/>
              </w:rPr>
              <w:fldChar w:fldCharType="separate"/>
            </w:r>
            <w:r>
              <w:rPr>
                <w:rFonts w:hint="eastAsia"/>
              </w:rPr>
              <w:t>《小型农村供水工程规范化提升技术规程》（SL/T825-2024）</w:t>
            </w:r>
            <w:r>
              <w:rPr>
                <w:rFonts w:hint="eastAsia"/>
              </w:rPr>
              <w:fldChar w:fldCharType="end"/>
            </w:r>
          </w:p>
          <w:p w14:paraId="3D400CAB">
            <w:pPr>
              <w:pStyle w:val="37"/>
            </w:pPr>
            <w:r>
              <w:rPr>
                <w:rFonts w:hint="eastAsia"/>
              </w:rPr>
              <w:fldChar w:fldCharType="begin"/>
            </w:r>
            <w:r>
              <w:rPr>
                <w:rFonts w:hint="eastAsia"/>
              </w:rPr>
              <w:instrText xml:space="preserve"> REF _Ref233809261 \h  \* MERGEFORMAT </w:instrText>
            </w:r>
            <w:r>
              <w:rPr>
                <w:rFonts w:hint="eastAsia"/>
              </w:rPr>
              <w:fldChar w:fldCharType="separate"/>
            </w:r>
            <w:r>
              <w:rPr>
                <w:rFonts w:hint="eastAsia"/>
              </w:rPr>
              <w:t>《镇（乡）村给水工程规划规范》（CJJ/T246-2016）</w:t>
            </w:r>
            <w:r>
              <w:rPr>
                <w:rFonts w:hint="eastAsia"/>
              </w:rPr>
              <w:fldChar w:fldCharType="end"/>
            </w:r>
          </w:p>
        </w:tc>
      </w:tr>
      <w:tr w14:paraId="2A0A9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14:paraId="3BA77EC9">
            <w:pPr>
              <w:pStyle w:val="37"/>
            </w:pPr>
            <w:r>
              <w:rPr>
                <w:rFonts w:hint="eastAsia"/>
              </w:rPr>
              <w:t>排水</w:t>
            </w:r>
          </w:p>
        </w:tc>
        <w:tc>
          <w:tcPr>
            <w:tcW w:w="1316" w:type="dxa"/>
            <w:vAlign w:val="center"/>
          </w:tcPr>
          <w:p w14:paraId="5D8F9B05">
            <w:pPr>
              <w:pStyle w:val="37"/>
            </w:pPr>
            <w:r>
              <w:rPr>
                <w:rFonts w:hint="eastAsia"/>
              </w:rPr>
              <w:t>污水处理设施</w:t>
            </w:r>
          </w:p>
        </w:tc>
        <w:tc>
          <w:tcPr>
            <w:tcW w:w="3618" w:type="dxa"/>
            <w:vAlign w:val="center"/>
          </w:tcPr>
          <w:p w14:paraId="3237B4E0">
            <w:pPr>
              <w:pStyle w:val="37"/>
            </w:pPr>
            <w:r>
              <w:rPr>
                <w:rFonts w:hint="eastAsia"/>
              </w:rPr>
              <w:t>1）有条件纳入城镇集中污水处理的村庄，根据专业规划设置；</w:t>
            </w:r>
            <w:r>
              <w:rPr>
                <w:rFonts w:hint="eastAsia"/>
              </w:rPr>
              <w:br w:type="textWrapping"/>
            </w:r>
            <w:r>
              <w:rPr>
                <w:rFonts w:hint="eastAsia"/>
              </w:rPr>
              <w:t>2）其他行政村设1处集中污水处理设施，村域面积较大的可多点设置。居民点较分散的地区宜采用生态化方式处理后，就近就地资源化利用。</w:t>
            </w:r>
          </w:p>
        </w:tc>
        <w:tc>
          <w:tcPr>
            <w:tcW w:w="3239" w:type="dxa"/>
            <w:vAlign w:val="center"/>
          </w:tcPr>
          <w:p w14:paraId="16DA9F5D">
            <w:pPr>
              <w:pStyle w:val="37"/>
            </w:pPr>
            <w:r>
              <w:rPr>
                <w:rFonts w:hint="eastAsia"/>
              </w:rPr>
              <w:fldChar w:fldCharType="begin"/>
            </w:r>
            <w:r>
              <w:rPr>
                <w:rFonts w:hint="eastAsia"/>
              </w:rPr>
              <w:instrText xml:space="preserve"> REF _Ref233809375 \h  \* MERGEFORMAT </w:instrText>
            </w:r>
            <w:r>
              <w:rPr>
                <w:rFonts w:hint="eastAsia"/>
              </w:rPr>
              <w:fldChar w:fldCharType="separate"/>
            </w:r>
            <w:r>
              <w:rPr>
                <w:rFonts w:hint="eastAsia"/>
              </w:rPr>
              <w:t>《农村生活污水处理工程技术标准》（GB/T51347-2019）</w:t>
            </w:r>
            <w:r>
              <w:rPr>
                <w:rFonts w:hint="eastAsia"/>
              </w:rPr>
              <w:fldChar w:fldCharType="end"/>
            </w:r>
          </w:p>
          <w:p w14:paraId="632CDA6E">
            <w:pPr>
              <w:pStyle w:val="37"/>
            </w:pPr>
            <w:r>
              <w:rPr>
                <w:rFonts w:hint="eastAsia"/>
              </w:rPr>
              <w:fldChar w:fldCharType="begin"/>
            </w:r>
            <w:r>
              <w:rPr>
                <w:rFonts w:hint="eastAsia"/>
              </w:rPr>
              <w:instrText xml:space="preserve"> REF _Ref233797261 \h  \* MERGEFORMAT </w:instrText>
            </w:r>
            <w:r>
              <w:rPr>
                <w:rFonts w:hint="eastAsia"/>
              </w:rPr>
              <w:fldChar w:fldCharType="separate"/>
            </w:r>
            <w:r>
              <w:rPr>
                <w:rFonts w:hint="eastAsia"/>
              </w:rPr>
              <w:t>《城乡排水工程项目规范》（GB55027-2022）</w:t>
            </w:r>
            <w:r>
              <w:rPr>
                <w:rFonts w:hint="eastAsia"/>
              </w:rPr>
              <w:fldChar w:fldCharType="end"/>
            </w:r>
          </w:p>
        </w:tc>
      </w:tr>
      <w:tr w14:paraId="22FD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14:paraId="5E2D7C41">
            <w:pPr>
              <w:pStyle w:val="37"/>
            </w:pPr>
            <w:r>
              <w:rPr>
                <w:rFonts w:hint="eastAsia"/>
              </w:rPr>
              <w:t>供电</w:t>
            </w:r>
          </w:p>
        </w:tc>
        <w:tc>
          <w:tcPr>
            <w:tcW w:w="1316" w:type="dxa"/>
            <w:vAlign w:val="center"/>
          </w:tcPr>
          <w:p w14:paraId="1E2D5C8A">
            <w:pPr>
              <w:pStyle w:val="37"/>
            </w:pPr>
            <w:r>
              <w:rPr>
                <w:rFonts w:hint="eastAsia"/>
              </w:rPr>
              <w:t>供电设施</w:t>
            </w:r>
          </w:p>
        </w:tc>
        <w:tc>
          <w:tcPr>
            <w:tcW w:w="3618" w:type="dxa"/>
            <w:vAlign w:val="center"/>
          </w:tcPr>
          <w:p w14:paraId="4D019CAF">
            <w:pPr>
              <w:pStyle w:val="37"/>
            </w:pPr>
            <w:r>
              <w:rPr>
                <w:rFonts w:hint="eastAsia"/>
              </w:rPr>
              <w:t>根据专业规划设置</w:t>
            </w:r>
          </w:p>
        </w:tc>
        <w:tc>
          <w:tcPr>
            <w:tcW w:w="3239" w:type="dxa"/>
            <w:vAlign w:val="center"/>
          </w:tcPr>
          <w:p w14:paraId="3C5FBF80">
            <w:pPr>
              <w:pStyle w:val="37"/>
            </w:pPr>
            <w:r>
              <w:rPr>
                <w:rFonts w:hint="eastAsia"/>
              </w:rPr>
              <w:fldChar w:fldCharType="begin"/>
            </w:r>
            <w:r>
              <w:rPr>
                <w:rFonts w:hint="eastAsia"/>
              </w:rPr>
              <w:instrText xml:space="preserve"> REF _Ref233809399 \h  \* MERGEFORMAT </w:instrText>
            </w:r>
            <w:r>
              <w:rPr>
                <w:rFonts w:hint="eastAsia"/>
              </w:rPr>
              <w:fldChar w:fldCharType="separate"/>
            </w:r>
            <w:r>
              <w:rPr>
                <w:rFonts w:hint="eastAsia"/>
              </w:rPr>
              <w:t>《农村电网建设与改造技术导则》（DL/T5131-2015）</w:t>
            </w:r>
            <w:r>
              <w:rPr>
                <w:rFonts w:hint="eastAsia"/>
              </w:rPr>
              <w:fldChar w:fldCharType="end"/>
            </w:r>
          </w:p>
          <w:p w14:paraId="186A7A9D">
            <w:pPr>
              <w:pStyle w:val="37"/>
            </w:pPr>
            <w:r>
              <w:rPr>
                <w:rFonts w:hint="eastAsia"/>
              </w:rPr>
              <w:t>《配电网规划设计技术导则》（DL/T5729-2023）</w:t>
            </w:r>
          </w:p>
        </w:tc>
      </w:tr>
      <w:tr w14:paraId="2E4E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14:paraId="5EB60CA7">
            <w:pPr>
              <w:pStyle w:val="37"/>
            </w:pPr>
            <w:r>
              <w:rPr>
                <w:rFonts w:hint="eastAsia"/>
              </w:rPr>
              <w:t>通信</w:t>
            </w:r>
          </w:p>
        </w:tc>
        <w:tc>
          <w:tcPr>
            <w:tcW w:w="1316" w:type="dxa"/>
            <w:vAlign w:val="center"/>
          </w:tcPr>
          <w:p w14:paraId="4A4A3A63">
            <w:pPr>
              <w:pStyle w:val="37"/>
            </w:pPr>
            <w:r>
              <w:rPr>
                <w:rFonts w:hint="eastAsia"/>
              </w:rPr>
              <w:t>通信基站</w:t>
            </w:r>
          </w:p>
        </w:tc>
        <w:tc>
          <w:tcPr>
            <w:tcW w:w="3618" w:type="dxa"/>
            <w:vAlign w:val="center"/>
          </w:tcPr>
          <w:p w14:paraId="7D5ABF70">
            <w:pPr>
              <w:pStyle w:val="37"/>
            </w:pPr>
            <w:r>
              <w:rPr>
                <w:rFonts w:hint="eastAsia"/>
              </w:rPr>
              <w:t>根据专业规划设置</w:t>
            </w:r>
          </w:p>
        </w:tc>
        <w:tc>
          <w:tcPr>
            <w:tcW w:w="3239" w:type="dxa"/>
            <w:vAlign w:val="center"/>
          </w:tcPr>
          <w:p w14:paraId="05DFB8CD">
            <w:pPr>
              <w:pStyle w:val="37"/>
            </w:pPr>
            <w:r>
              <w:rPr>
                <w:rFonts w:hint="eastAsia"/>
              </w:rPr>
              <w:fldChar w:fldCharType="begin"/>
            </w:r>
            <w:r>
              <w:rPr>
                <w:rFonts w:hint="eastAsia"/>
              </w:rPr>
              <w:instrText xml:space="preserve"> REF _Ref233809424 \h  \* MERGEFORMAT </w:instrText>
            </w:r>
            <w:r>
              <w:rPr>
                <w:rFonts w:hint="eastAsia"/>
              </w:rPr>
              <w:fldChar w:fldCharType="separate"/>
            </w:r>
            <w:r>
              <w:rPr>
                <w:rFonts w:hint="eastAsia"/>
              </w:rPr>
              <w:t>《移动通信基站工程技术标准》（GB/T51431-2020）</w:t>
            </w:r>
            <w:r>
              <w:rPr>
                <w:rFonts w:hint="eastAsia"/>
              </w:rPr>
              <w:fldChar w:fldCharType="end"/>
            </w:r>
          </w:p>
        </w:tc>
      </w:tr>
      <w:tr w14:paraId="09CF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Merge w:val="restart"/>
            <w:vAlign w:val="center"/>
          </w:tcPr>
          <w:p w14:paraId="70AD7A21">
            <w:pPr>
              <w:pStyle w:val="37"/>
            </w:pPr>
            <w:r>
              <w:rPr>
                <w:rFonts w:hint="eastAsia"/>
              </w:rPr>
              <w:t>环</w:t>
            </w:r>
            <w:r>
              <w:t>卫</w:t>
            </w:r>
          </w:p>
        </w:tc>
        <w:tc>
          <w:tcPr>
            <w:tcW w:w="1316" w:type="dxa"/>
            <w:vAlign w:val="center"/>
          </w:tcPr>
          <w:p w14:paraId="2F5D2084">
            <w:pPr>
              <w:pStyle w:val="37"/>
            </w:pPr>
            <w:r>
              <w:rPr>
                <w:rFonts w:hint="eastAsia"/>
              </w:rPr>
              <w:t>垃圾转运站</w:t>
            </w:r>
          </w:p>
        </w:tc>
        <w:tc>
          <w:tcPr>
            <w:tcW w:w="3618" w:type="dxa"/>
            <w:vAlign w:val="center"/>
          </w:tcPr>
          <w:p w14:paraId="39389D26">
            <w:pPr>
              <w:pStyle w:val="37"/>
            </w:pPr>
            <w:r>
              <w:rPr>
                <w:rFonts w:hint="eastAsia"/>
              </w:rPr>
              <w:t>根据专业规划设置</w:t>
            </w:r>
          </w:p>
        </w:tc>
        <w:tc>
          <w:tcPr>
            <w:tcW w:w="3239" w:type="dxa"/>
            <w:vAlign w:val="center"/>
          </w:tcPr>
          <w:p w14:paraId="254B039E">
            <w:pPr>
              <w:pStyle w:val="37"/>
            </w:pPr>
            <w:r>
              <w:rPr>
                <w:rFonts w:hint="eastAsia"/>
              </w:rPr>
              <w:fldChar w:fldCharType="begin"/>
            </w:r>
            <w:r>
              <w:rPr>
                <w:rFonts w:hint="eastAsia"/>
              </w:rPr>
              <w:instrText xml:space="preserve"> REF _Ref233797278 \h  \* MERGEFORMAT </w:instrText>
            </w:r>
            <w:r>
              <w:rPr>
                <w:rFonts w:hint="eastAsia"/>
              </w:rPr>
              <w:fldChar w:fldCharType="separate"/>
            </w:r>
            <w:r>
              <w:rPr>
                <w:rFonts w:hint="eastAsia"/>
              </w:rPr>
              <w:t>《环境卫生设施设置标准》（CJJ27-2012）</w:t>
            </w:r>
            <w:r>
              <w:rPr>
                <w:rFonts w:hint="eastAsia"/>
              </w:rPr>
              <w:fldChar w:fldCharType="end"/>
            </w:r>
          </w:p>
        </w:tc>
      </w:tr>
      <w:tr w14:paraId="2EFA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Merge w:val="continue"/>
            <w:vAlign w:val="center"/>
          </w:tcPr>
          <w:p w14:paraId="5A72490B">
            <w:pPr>
              <w:pStyle w:val="37"/>
            </w:pPr>
          </w:p>
        </w:tc>
        <w:tc>
          <w:tcPr>
            <w:tcW w:w="1316" w:type="dxa"/>
            <w:vAlign w:val="center"/>
          </w:tcPr>
          <w:p w14:paraId="7FBE4A57">
            <w:pPr>
              <w:pStyle w:val="37"/>
            </w:pPr>
            <w:r>
              <w:rPr>
                <w:rFonts w:hint="eastAsia"/>
              </w:rPr>
              <w:t>垃圾收集点</w:t>
            </w:r>
          </w:p>
        </w:tc>
        <w:tc>
          <w:tcPr>
            <w:tcW w:w="3618" w:type="dxa"/>
            <w:vAlign w:val="center"/>
          </w:tcPr>
          <w:p w14:paraId="750943C0">
            <w:pPr>
              <w:pStyle w:val="37"/>
            </w:pPr>
            <w:r>
              <w:rPr>
                <w:rFonts w:hint="eastAsia"/>
              </w:rPr>
              <w:t>各村组至少应设置1处，服务半径不宜大于200米，村域面积较大或集中居民点较分散情况下可多点设置</w:t>
            </w:r>
            <w:r>
              <w:t>。</w:t>
            </w:r>
          </w:p>
        </w:tc>
        <w:tc>
          <w:tcPr>
            <w:tcW w:w="3239" w:type="dxa"/>
            <w:vAlign w:val="center"/>
          </w:tcPr>
          <w:p w14:paraId="08E4D393">
            <w:pPr>
              <w:pStyle w:val="37"/>
            </w:pPr>
            <w:r>
              <w:rPr>
                <w:rFonts w:hint="eastAsia"/>
              </w:rPr>
              <w:fldChar w:fldCharType="begin"/>
            </w:r>
            <w:r>
              <w:rPr>
                <w:rFonts w:hint="eastAsia"/>
              </w:rPr>
              <w:instrText xml:space="preserve"> REF _Ref233797278 \h  \* MERGEFORMAT </w:instrText>
            </w:r>
            <w:r>
              <w:rPr>
                <w:rFonts w:hint="eastAsia"/>
              </w:rPr>
              <w:fldChar w:fldCharType="separate"/>
            </w:r>
            <w:r>
              <w:rPr>
                <w:rFonts w:hint="eastAsia"/>
              </w:rPr>
              <w:t>《环境卫生设施设置标准》（CJJ27-2012）</w:t>
            </w:r>
            <w:r>
              <w:rPr>
                <w:rFonts w:hint="eastAsia"/>
              </w:rPr>
              <w:fldChar w:fldCharType="end"/>
            </w:r>
          </w:p>
        </w:tc>
      </w:tr>
      <w:tr w14:paraId="0112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Merge w:val="continue"/>
            <w:vAlign w:val="center"/>
          </w:tcPr>
          <w:p w14:paraId="1CC27601">
            <w:pPr>
              <w:pStyle w:val="37"/>
            </w:pPr>
          </w:p>
        </w:tc>
        <w:tc>
          <w:tcPr>
            <w:tcW w:w="1316" w:type="dxa"/>
            <w:vAlign w:val="center"/>
          </w:tcPr>
          <w:p w14:paraId="30B69ED5">
            <w:pPr>
              <w:pStyle w:val="37"/>
            </w:pPr>
            <w:r>
              <w:rPr>
                <w:rFonts w:hint="eastAsia"/>
              </w:rPr>
              <w:t>公共厕所</w:t>
            </w:r>
          </w:p>
        </w:tc>
        <w:tc>
          <w:tcPr>
            <w:tcW w:w="3618" w:type="dxa"/>
            <w:vAlign w:val="center"/>
          </w:tcPr>
          <w:p w14:paraId="6B415C40">
            <w:pPr>
              <w:pStyle w:val="37"/>
            </w:pPr>
            <w:r>
              <w:rPr>
                <w:rFonts w:hint="eastAsia"/>
              </w:rPr>
              <w:t>各行政村设1处，村域面积较大或集中居民点较分散情况下可多点设置。</w:t>
            </w:r>
          </w:p>
        </w:tc>
        <w:tc>
          <w:tcPr>
            <w:tcW w:w="3239" w:type="dxa"/>
            <w:vAlign w:val="center"/>
          </w:tcPr>
          <w:p w14:paraId="09FF260D">
            <w:pPr>
              <w:pStyle w:val="37"/>
            </w:pPr>
            <w:r>
              <w:rPr>
                <w:rFonts w:hint="eastAsia"/>
              </w:rPr>
              <w:fldChar w:fldCharType="begin"/>
            </w:r>
            <w:r>
              <w:rPr>
                <w:rFonts w:hint="eastAsia"/>
              </w:rPr>
              <w:instrText xml:space="preserve"> REF _Ref233809472 \h  \* MERGEFORMAT </w:instrText>
            </w:r>
            <w:r>
              <w:rPr>
                <w:rFonts w:hint="eastAsia"/>
              </w:rPr>
              <w:fldChar w:fldCharType="separate"/>
            </w:r>
            <w:r>
              <w:rPr>
                <w:rFonts w:hint="eastAsia"/>
              </w:rPr>
              <w:t>《农村公共厕所建设与管理规范》（GB/T38353-2019）</w:t>
            </w:r>
            <w:r>
              <w:rPr>
                <w:rFonts w:hint="eastAsia"/>
              </w:rPr>
              <w:fldChar w:fldCharType="end"/>
            </w:r>
          </w:p>
        </w:tc>
      </w:tr>
      <w:tr w14:paraId="6E95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14:paraId="36374749">
            <w:pPr>
              <w:pStyle w:val="37"/>
            </w:pPr>
            <w:r>
              <w:rPr>
                <w:rFonts w:hint="eastAsia"/>
              </w:rPr>
              <w:t>消防</w:t>
            </w:r>
          </w:p>
        </w:tc>
        <w:tc>
          <w:tcPr>
            <w:tcW w:w="1316" w:type="dxa"/>
            <w:vAlign w:val="center"/>
          </w:tcPr>
          <w:p w14:paraId="7DD489D1">
            <w:pPr>
              <w:pStyle w:val="37"/>
            </w:pPr>
            <w:r>
              <w:rPr>
                <w:rFonts w:hint="eastAsia"/>
              </w:rPr>
              <w:t>消防水源、通道、灭火器材等</w:t>
            </w:r>
          </w:p>
        </w:tc>
        <w:tc>
          <w:tcPr>
            <w:tcW w:w="3618" w:type="dxa"/>
            <w:vAlign w:val="center"/>
          </w:tcPr>
          <w:p w14:paraId="018301CE">
            <w:pPr>
              <w:pStyle w:val="37"/>
            </w:pPr>
            <w:r>
              <w:rPr>
                <w:rFonts w:hint="eastAsia"/>
              </w:rPr>
              <w:t>采用天然水源、给水管网或消防水池保障农村消防水源供给。确保消防通道畅通，主要公共建筑和场所应配备消防器材。</w:t>
            </w:r>
          </w:p>
        </w:tc>
        <w:tc>
          <w:tcPr>
            <w:tcW w:w="3239" w:type="dxa"/>
            <w:vAlign w:val="center"/>
          </w:tcPr>
          <w:p w14:paraId="54D2D87A">
            <w:pPr>
              <w:pStyle w:val="37"/>
            </w:pPr>
            <w:r>
              <w:rPr>
                <w:rFonts w:hint="eastAsia"/>
              </w:rPr>
              <w:fldChar w:fldCharType="begin"/>
            </w:r>
            <w:r>
              <w:rPr>
                <w:rFonts w:hint="eastAsia"/>
              </w:rPr>
              <w:instrText xml:space="preserve"> REF _Ref233797782 \h  \* MERGEFORMAT </w:instrText>
            </w:r>
            <w:r>
              <w:rPr>
                <w:rFonts w:hint="eastAsia"/>
              </w:rPr>
              <w:fldChar w:fldCharType="separate"/>
            </w:r>
            <w:r>
              <w:rPr>
                <w:rFonts w:hint="eastAsia"/>
              </w:rPr>
              <w:t>《农村防火规范》（GB50039-2010）</w:t>
            </w:r>
            <w:r>
              <w:rPr>
                <w:rFonts w:hint="eastAsia"/>
              </w:rPr>
              <w:fldChar w:fldCharType="end"/>
            </w:r>
          </w:p>
        </w:tc>
      </w:tr>
    </w:tbl>
    <w:p w14:paraId="0A75602F">
      <w:pPr>
        <w:pStyle w:val="6"/>
        <w:numPr>
          <w:ilvl w:val="0"/>
          <w:numId w:val="3"/>
        </w:numPr>
        <w:ind w:left="0" w:firstLine="709" w:firstLineChars="0"/>
      </w:pPr>
      <w:r>
        <w:rPr>
          <w:rFonts w:hint="eastAsia"/>
        </w:rPr>
        <w:t>乡村交通基础设施用地指引</w:t>
      </w:r>
    </w:p>
    <w:p w14:paraId="78712E32">
      <w:pPr>
        <w:ind w:firstLine="643"/>
        <w:rPr>
          <w:b/>
          <w:bCs/>
        </w:rPr>
      </w:pPr>
      <w:r>
        <w:rPr>
          <w:rFonts w:hint="eastAsia"/>
          <w:b/>
          <w:bCs/>
        </w:rPr>
        <w:t>1.</w:t>
      </w:r>
      <w:r>
        <w:rPr>
          <w:b/>
          <w:bCs/>
        </w:rPr>
        <w:t>选址要求</w:t>
      </w:r>
    </w:p>
    <w:p w14:paraId="5B746DCA">
      <w:r>
        <w:rPr>
          <w:rFonts w:hint="eastAsia"/>
        </w:rPr>
        <w:t>除通用</w:t>
      </w:r>
      <w:r>
        <w:rPr>
          <w:rFonts w:hint="eastAsia"/>
          <w:lang w:val="en-US" w:eastAsia="zh-CN"/>
        </w:rPr>
        <w:t>性规定</w:t>
      </w:r>
      <w:r>
        <w:rPr>
          <w:rFonts w:hint="eastAsia"/>
        </w:rPr>
        <w:t>外，乡村交通基础设施选址布局还应当符合以下要求：</w:t>
      </w:r>
    </w:p>
    <w:p w14:paraId="4556476A">
      <w:pPr>
        <w:numPr>
          <w:ilvl w:val="0"/>
          <w:numId w:val="7"/>
        </w:numPr>
        <w:rPr>
          <w:rFonts w:hint="eastAsia"/>
          <w:lang w:eastAsia="zh"/>
        </w:rPr>
      </w:pPr>
      <w:r>
        <w:rPr>
          <w:rFonts w:hint="eastAsia"/>
        </w:rPr>
        <w:t>农村道路选线应尽量利用现有路基基础，顺应原有的地形地貌、山水格局及村庄肌理，避免占用水体、山体等生态敏感区域，减少对自然环境的破坏。</w:t>
      </w:r>
      <w:r>
        <w:rPr>
          <w:rFonts w:hint="eastAsia"/>
          <w:lang w:eastAsia="zh"/>
        </w:rPr>
        <w:t>对于以发展旅游观光为特色的村庄</w:t>
      </w:r>
      <w:r>
        <w:rPr>
          <w:rFonts w:hint="eastAsia"/>
        </w:rPr>
        <w:t>，选线时</w:t>
      </w:r>
      <w:r>
        <w:rPr>
          <w:rFonts w:hint="eastAsia"/>
          <w:lang w:val="en-US" w:eastAsia="zh-CN"/>
        </w:rPr>
        <w:t>应</w:t>
      </w:r>
      <w:r>
        <w:rPr>
          <w:rFonts w:hint="eastAsia"/>
        </w:rPr>
        <w:t>兼顾旅游线路</w:t>
      </w:r>
      <w:r>
        <w:rPr>
          <w:rFonts w:hint="eastAsia"/>
          <w:lang w:eastAsia="zh-CN"/>
        </w:rPr>
        <w:t>，</w:t>
      </w:r>
      <w:r>
        <w:rPr>
          <w:rFonts w:hint="eastAsia"/>
          <w:lang w:eastAsia="zh"/>
        </w:rPr>
        <w:t>因地制宜规划绿道、骑行道、慢行道等旅游特色道路。</w:t>
      </w:r>
    </w:p>
    <w:p w14:paraId="13D3364E">
      <w:pPr>
        <w:pStyle w:val="9"/>
        <w:spacing w:line="560" w:lineRule="exact"/>
        <w:ind w:firstLine="632"/>
        <w:rPr>
          <w:rFonts w:hint="eastAsia"/>
          <w:lang w:eastAsia="zh-CN"/>
        </w:rPr>
      </w:pPr>
      <w:r>
        <w:rPr>
          <w:rFonts w:hint="eastAsia"/>
          <w:lang w:val="en-US" w:eastAsia="zh-CN"/>
        </w:rPr>
        <w:t>2</w:t>
      </w:r>
      <w:r>
        <w:rPr>
          <w:rFonts w:hint="eastAsia"/>
        </w:rPr>
        <w:t>）农村</w:t>
      </w:r>
      <w:r>
        <w:rPr>
          <w:rFonts w:eastAsia="方正仿宋_GBK"/>
          <w:szCs w:val="32"/>
          <w:lang w:eastAsia="zh"/>
        </w:rPr>
        <w:t>道路选</w:t>
      </w:r>
      <w:r>
        <w:rPr>
          <w:rFonts w:hint="eastAsia"/>
        </w:rPr>
        <w:t>线</w:t>
      </w:r>
      <w:r>
        <w:rPr>
          <w:rFonts w:eastAsia="方正仿宋_GBK"/>
          <w:szCs w:val="32"/>
          <w:lang w:eastAsia="zh"/>
        </w:rPr>
        <w:t>应便于城市电力线路、给排水管道、燃气管道等基础设施的引入和连接；对于涉及文化遗产保护的道路项目，应遵循相关保护规定，避免</w:t>
      </w:r>
      <w:r>
        <w:rPr>
          <w:rFonts w:hint="eastAsia"/>
          <w:szCs w:val="32"/>
          <w:lang w:val="en-US" w:eastAsia="zh-CN"/>
        </w:rPr>
        <w:t>对</w:t>
      </w:r>
      <w:r>
        <w:rPr>
          <w:rFonts w:eastAsia="方正仿宋_GBK"/>
          <w:szCs w:val="32"/>
          <w:lang w:eastAsia="zh"/>
        </w:rPr>
        <w:t>古遗址、古墓葬等不可移动文物</w:t>
      </w:r>
      <w:r>
        <w:rPr>
          <w:rFonts w:hint="eastAsia"/>
          <w:szCs w:val="32"/>
          <w:lang w:val="en-US" w:eastAsia="zh-CN"/>
        </w:rPr>
        <w:t>造成破坏。</w:t>
      </w:r>
    </w:p>
    <w:p w14:paraId="279CFE63">
      <w:pPr>
        <w:rPr>
          <w:rFonts w:hint="eastAsia" w:eastAsia="方正仿宋_GBK"/>
          <w:lang w:val="en-US" w:eastAsia="zh-CN"/>
        </w:rPr>
      </w:pPr>
      <w:r>
        <w:rPr>
          <w:rFonts w:hint="eastAsia"/>
          <w:lang w:val="en-US" w:eastAsia="zh-CN"/>
        </w:rPr>
        <w:t>3</w:t>
      </w:r>
      <w:r>
        <w:rPr>
          <w:rFonts w:hint="eastAsia"/>
        </w:rPr>
        <w:t>）农村道路需重点连接村民聚居区、农业生产区，方便村民</w:t>
      </w:r>
      <w:r>
        <w:rPr>
          <w:rFonts w:hint="eastAsia"/>
          <w:lang w:val="en-US" w:eastAsia="zh-CN"/>
        </w:rPr>
        <w:t>日常</w:t>
      </w:r>
      <w:r>
        <w:rPr>
          <w:rFonts w:hint="eastAsia"/>
        </w:rPr>
        <w:t>出行和农产品运输，并与省道、县道、乡道等公路网顺畅</w:t>
      </w:r>
      <w:r>
        <w:rPr>
          <w:rFonts w:hint="eastAsia"/>
          <w:lang w:val="en-US" w:eastAsia="zh-CN"/>
        </w:rPr>
        <w:t>衔接。</w:t>
      </w:r>
    </w:p>
    <w:p w14:paraId="4AF04DF3">
      <w:r>
        <w:rPr>
          <w:rFonts w:hint="eastAsia"/>
          <w:lang w:val="en-US" w:eastAsia="zh-CN"/>
        </w:rPr>
        <w:t>4</w:t>
      </w:r>
      <w:r>
        <w:rPr>
          <w:rFonts w:hint="eastAsia"/>
        </w:rPr>
        <w:t>）乡村社会停车场宜靠近主要道路、村口或村委会设置，鼓励按照“一场多用”原则，结合广场、晒坝等公共开敞空间复合布置。</w:t>
      </w:r>
    </w:p>
    <w:p w14:paraId="5DB25BDC">
      <w:pPr>
        <w:rPr>
          <w:rFonts w:hint="eastAsia"/>
        </w:rPr>
      </w:pPr>
      <w:r>
        <w:rPr>
          <w:rFonts w:hint="eastAsia"/>
          <w:lang w:val="en-US" w:eastAsia="zh-CN"/>
        </w:rPr>
        <w:t>5</w:t>
      </w:r>
      <w:r>
        <w:rPr>
          <w:rFonts w:hint="eastAsia"/>
        </w:rPr>
        <w:t>）乡村公共充电设施可结合停车场地按需建设，满足新能源汽车充电需求。</w:t>
      </w:r>
    </w:p>
    <w:p w14:paraId="2649820C">
      <w:pPr>
        <w:ind w:firstLine="643"/>
        <w:rPr>
          <w:b/>
          <w:bCs/>
        </w:rPr>
      </w:pPr>
      <w:r>
        <w:rPr>
          <w:rFonts w:hint="eastAsia"/>
          <w:b/>
          <w:bCs/>
        </w:rPr>
        <w:t>2.建设标准</w:t>
      </w:r>
    </w:p>
    <w:p w14:paraId="0314814B">
      <w:pPr>
        <w:pStyle w:val="48"/>
        <w:ind w:firstLine="643"/>
      </w:pPr>
      <w:r>
        <w:rPr>
          <w:rFonts w:hint="eastAsia"/>
          <w:b/>
        </w:rPr>
        <w:t>农村道路。</w:t>
      </w:r>
      <w:r>
        <w:rPr>
          <w:rFonts w:hint="eastAsia"/>
        </w:rPr>
        <w:t>新建、改建、扩建村道应当不低于四级公路技术等级。村域之间或村组之间连接道路路面宽度宜为4.5～6米，不应小于4.5米，部分条件受限地区路面宽度不宜小于3.5米；村庄内部主要道路路面宽度宜为4.5米，不宜小于3.5米，次要道路路面宽度不宜小于2.5米。不能满足会车要求的，应在一定距离内根据地形条件设置会车场地。</w:t>
      </w:r>
    </w:p>
    <w:p w14:paraId="5398759F">
      <w:pPr>
        <w:pStyle w:val="48"/>
        <w:ind w:firstLine="643"/>
      </w:pPr>
      <w:r>
        <w:rPr>
          <w:rFonts w:hint="eastAsia"/>
          <w:b/>
        </w:rPr>
        <w:t>社会停车场。</w:t>
      </w:r>
      <w:r>
        <w:rPr>
          <w:rFonts w:hint="eastAsia"/>
        </w:rPr>
        <w:t>配建停车位为弹性控制内容，应充分考虑乡村地区小汽车发展趋势合理布局和预留停车空间。农村公共服务设施、产业项目等应结合建设规模和实际需求合理配置停车位及充电设施；农户私家车结合农房入户空间停放；发展乡村旅游的村庄应合理配置旅游专用停车场地，不宜与村民公用停车场地混用，旅游景区停车场应按景区详细规划确定具体规模。</w:t>
      </w:r>
    </w:p>
    <w:p w14:paraId="63355DF5">
      <w:pPr>
        <w:pStyle w:val="6"/>
        <w:numPr>
          <w:ilvl w:val="0"/>
          <w:numId w:val="3"/>
        </w:numPr>
        <w:ind w:left="0" w:firstLine="709" w:firstLineChars="0"/>
        <w:rPr>
          <w:highlight w:val="none"/>
        </w:rPr>
      </w:pPr>
      <w:r>
        <w:rPr>
          <w:rFonts w:hint="eastAsia"/>
          <w:highlight w:val="none"/>
        </w:rPr>
        <w:t>乡村产业项目用地指引</w:t>
      </w:r>
    </w:p>
    <w:p w14:paraId="59C24BD7">
      <w:pPr>
        <w:ind w:firstLine="643"/>
        <w:rPr>
          <w:b/>
          <w:bCs/>
        </w:rPr>
      </w:pPr>
      <w:r>
        <w:rPr>
          <w:rFonts w:hint="eastAsia"/>
          <w:b/>
          <w:bCs/>
        </w:rPr>
        <w:t>1.</w:t>
      </w:r>
      <w:r>
        <w:rPr>
          <w:rFonts w:hint="eastAsia"/>
          <w:b/>
          <w:bCs/>
          <w:lang w:eastAsia="zh"/>
        </w:rPr>
        <w:t>产业类型</w:t>
      </w:r>
    </w:p>
    <w:p w14:paraId="76A3A9FD">
      <w:pPr>
        <w:rPr>
          <w:rFonts w:hint="eastAsia"/>
        </w:rPr>
      </w:pPr>
      <w:r>
        <w:rPr>
          <w:rFonts w:hint="eastAsia"/>
        </w:rPr>
        <w:t>依据村庄资源禀赋、区位条件和发展需求</w:t>
      </w:r>
      <w:r>
        <w:rPr>
          <w:rFonts w:hint="eastAsia"/>
          <w:lang w:eastAsia="zh-CN"/>
        </w:rPr>
        <w:t>，</w:t>
      </w:r>
      <w:r>
        <w:rPr>
          <w:rFonts w:hint="eastAsia"/>
          <w:lang w:val="en-US" w:eastAsia="zh-CN"/>
        </w:rPr>
        <w:t>因地制宜确定乡村产业类型</w:t>
      </w:r>
      <w:r>
        <w:rPr>
          <w:rFonts w:hint="eastAsia"/>
        </w:rPr>
        <w:t>，原则上应为直接服务于乡村振兴和农村生产生活的项目，并符合村庄所在的乡（镇）主体功能定位和相关产业规划，不得违背产业准入负面清单。其准入条件按照</w:t>
      </w:r>
      <w:r>
        <w:rPr>
          <w:rFonts w:hint="eastAsia"/>
        </w:rPr>
        <w:fldChar w:fldCharType="begin"/>
      </w:r>
      <w:r>
        <w:rPr>
          <w:rFonts w:hint="eastAsia"/>
        </w:rPr>
        <w:instrText xml:space="preserve"> REF _Ref233797896 \h </w:instrText>
      </w:r>
      <w:r>
        <w:instrText xml:space="preserve"> \* MERGEFORMAT </w:instrText>
      </w:r>
      <w:r>
        <w:rPr>
          <w:rFonts w:hint="eastAsia"/>
        </w:rPr>
        <w:fldChar w:fldCharType="separate"/>
      </w:r>
      <w:r>
        <w:rPr>
          <w:rFonts w:hint="eastAsia"/>
        </w:rPr>
        <w:t>《长江经济带发展负面清单（试行）》</w:t>
      </w:r>
      <w:r>
        <w:rPr>
          <w:rFonts w:hint="eastAsia"/>
        </w:rPr>
        <w:fldChar w:fldCharType="end"/>
      </w:r>
      <w:r>
        <w:rPr>
          <w:rFonts w:hint="eastAsia"/>
        </w:rPr>
        <w:fldChar w:fldCharType="begin"/>
      </w:r>
      <w:r>
        <w:rPr>
          <w:rFonts w:hint="eastAsia"/>
        </w:rPr>
        <w:instrText xml:space="preserve"> REF _Ref233809625 \h </w:instrText>
      </w:r>
      <w:r>
        <w:instrText xml:space="preserve"> \* MERGEFORMAT </w:instrText>
      </w:r>
      <w:r>
        <w:rPr>
          <w:rFonts w:hint="eastAsia"/>
        </w:rPr>
        <w:fldChar w:fldCharType="separate"/>
      </w:r>
      <w:r>
        <w:rPr>
          <w:rFonts w:hint="eastAsia"/>
        </w:rPr>
        <w:t>《产业结构调整指导目录（2024年本）》</w:t>
      </w:r>
      <w:r>
        <w:rPr>
          <w:rFonts w:hint="eastAsia"/>
        </w:rPr>
        <w:fldChar w:fldCharType="end"/>
      </w:r>
      <w:r>
        <w:rPr>
          <w:rFonts w:hint="eastAsia"/>
        </w:rPr>
        <w:fldChar w:fldCharType="begin"/>
      </w:r>
      <w:r>
        <w:rPr>
          <w:rFonts w:hint="eastAsia"/>
        </w:rPr>
        <w:instrText xml:space="preserve"> REF _Ref233797948 \h </w:instrText>
      </w:r>
      <w:r>
        <w:instrText xml:space="preserve"> \* MERGEFORMAT </w:instrText>
      </w:r>
      <w:r>
        <w:rPr>
          <w:rFonts w:hint="eastAsia"/>
        </w:rPr>
        <w:fldChar w:fldCharType="separate"/>
      </w:r>
      <w:r>
        <w:rPr>
          <w:rFonts w:hint="eastAsia"/>
        </w:rPr>
        <w:t>《自然资源要素支撑产业高质量发展指导目录（2024年本）》</w:t>
      </w:r>
      <w:r>
        <w:rPr>
          <w:rFonts w:hint="eastAsia"/>
        </w:rPr>
        <w:fldChar w:fldCharType="end"/>
      </w:r>
      <w:r>
        <w:rPr>
          <w:rFonts w:hint="eastAsia"/>
        </w:rPr>
        <w:fldChar w:fldCharType="begin"/>
      </w:r>
      <w:r>
        <w:rPr>
          <w:rFonts w:hint="eastAsia"/>
        </w:rPr>
        <w:instrText xml:space="preserve"> REF _Ref233797984 \h </w:instrText>
      </w:r>
      <w:r>
        <w:instrText xml:space="preserve"> \* MERGEFORMAT </w:instrText>
      </w:r>
      <w:r>
        <w:rPr>
          <w:rFonts w:hint="eastAsia"/>
        </w:rPr>
        <w:fldChar w:fldCharType="separate"/>
      </w:r>
      <w:r>
        <w:rPr>
          <w:rFonts w:hint="eastAsia"/>
        </w:rPr>
        <w:t>《重庆市规划和自然资源局等五部门关于进一步加强乡村产业项目用地保障工作的通知》（渝规资〔2025〕428号）</w:t>
      </w:r>
      <w:r>
        <w:rPr>
          <w:rFonts w:hint="eastAsia"/>
        </w:rPr>
        <w:fldChar w:fldCharType="end"/>
      </w:r>
      <w:r>
        <w:rPr>
          <w:rFonts w:hint="eastAsia"/>
        </w:rPr>
        <w:t>等</w:t>
      </w:r>
      <w:r>
        <w:rPr>
          <w:rFonts w:hint="eastAsia"/>
          <w:lang w:val="en-US" w:eastAsia="zh-CN"/>
        </w:rPr>
        <w:t>国家和市级相关要求执行。如有新规定，遵照新规定执行。</w:t>
      </w:r>
    </w:p>
    <w:p w14:paraId="6AC88A8E">
      <w:pPr>
        <w:ind w:firstLine="643"/>
        <w:rPr>
          <w:b/>
          <w:bCs/>
        </w:rPr>
      </w:pPr>
      <w:r>
        <w:rPr>
          <w:rFonts w:hint="eastAsia"/>
          <w:b/>
          <w:bCs/>
        </w:rPr>
        <w:t>2.选址要求</w:t>
      </w:r>
    </w:p>
    <w:p w14:paraId="7717D40C">
      <w:r>
        <w:rPr>
          <w:rFonts w:hint="eastAsia"/>
        </w:rPr>
        <w:t>除通用</w:t>
      </w:r>
      <w:r>
        <w:rPr>
          <w:rFonts w:hint="eastAsia"/>
          <w:lang w:val="en-US" w:eastAsia="zh-CN"/>
        </w:rPr>
        <w:t>性规定</w:t>
      </w:r>
      <w:r>
        <w:rPr>
          <w:rFonts w:hint="eastAsia"/>
        </w:rPr>
        <w:t>外，乡村产业项目选址布局还应当符合以下要求：</w:t>
      </w:r>
    </w:p>
    <w:p w14:paraId="299560E5">
      <w:pPr>
        <w:numPr>
          <w:ilvl w:val="0"/>
          <w:numId w:val="8"/>
        </w:numPr>
      </w:pPr>
      <w:r>
        <w:rPr>
          <w:rFonts w:hint="eastAsia"/>
        </w:rPr>
        <w:t>单个项目用地规模超过30亩、有污染物排放的、工业化程度高、分散布局配套设施成本高的产业项目原则上</w:t>
      </w:r>
      <w:r>
        <w:rPr>
          <w:rFonts w:hint="eastAsia"/>
          <w:lang w:val="en-US" w:eastAsia="zh-CN"/>
        </w:rPr>
        <w:t>要进</w:t>
      </w:r>
      <w:r>
        <w:rPr>
          <w:rFonts w:hint="eastAsia"/>
        </w:rPr>
        <w:t>产业园区或向城镇开发边界内集聚。</w:t>
      </w:r>
    </w:p>
    <w:p w14:paraId="61D86568">
      <w:pPr>
        <w:numPr>
          <w:ilvl w:val="0"/>
          <w:numId w:val="8"/>
        </w:numPr>
      </w:pPr>
      <w:r>
        <w:rPr>
          <w:rFonts w:hint="eastAsia"/>
        </w:rPr>
        <w:t>单个项目用地规模超过30亩确需在乡村地区布局的，</w:t>
      </w:r>
      <w:r>
        <w:rPr>
          <w:rFonts w:ascii="仿宋" w:hAnsi="仿宋" w:eastAsia="仿宋" w:cs="仿宋"/>
          <w:color w:val="000000"/>
          <w:kern w:val="0"/>
          <w:sz w:val="31"/>
          <w:szCs w:val="31"/>
          <w:lang w:val="en-US" w:eastAsia="zh-CN" w:bidi="ar"/>
        </w:rPr>
        <w:t>确需在乡村地区布局的，由</w:t>
      </w:r>
      <w:r>
        <w:rPr>
          <w:rFonts w:hint="eastAsia" w:ascii="仿宋" w:hAnsi="仿宋" w:eastAsia="仿宋" w:cs="仿宋"/>
          <w:color w:val="000000"/>
          <w:kern w:val="0"/>
          <w:sz w:val="31"/>
          <w:szCs w:val="31"/>
          <w:lang w:val="en-US" w:eastAsia="zh-CN" w:bidi="ar"/>
        </w:rPr>
        <w:t>县规划自然资源局会同农业农村、发展改革、生态环境、经济信息、文化旅游等部门在项目可行性研究阶段对用地规模进行论证后，依法办理相关手续。</w:t>
      </w:r>
    </w:p>
    <w:p w14:paraId="7ECE0A36">
      <w:pPr>
        <w:numPr>
          <w:ilvl w:val="0"/>
          <w:numId w:val="8"/>
        </w:numPr>
      </w:pPr>
      <w:r>
        <w:rPr>
          <w:rFonts w:hint="eastAsia"/>
        </w:rPr>
        <w:t>有污染物排放的工业项目确需在乡村地区布局的，</w:t>
      </w:r>
      <w:r>
        <w:rPr>
          <w:rFonts w:ascii="仿宋" w:hAnsi="仿宋" w:eastAsia="仿宋" w:cs="仿宋"/>
          <w:color w:val="000000"/>
          <w:kern w:val="0"/>
          <w:sz w:val="31"/>
          <w:szCs w:val="31"/>
          <w:lang w:val="en-US" w:eastAsia="zh-CN" w:bidi="ar"/>
        </w:rPr>
        <w:t>由</w:t>
      </w:r>
      <w:r>
        <w:rPr>
          <w:rFonts w:hint="eastAsia" w:ascii="仿宋" w:hAnsi="仿宋" w:eastAsia="仿宋" w:cs="仿宋"/>
          <w:color w:val="000000"/>
          <w:kern w:val="0"/>
          <w:sz w:val="31"/>
          <w:szCs w:val="31"/>
          <w:lang w:val="en-US" w:eastAsia="zh-CN" w:bidi="ar"/>
        </w:rPr>
        <w:t>县农业农村部门会同生态环境、规划自然资源、发展改革、经济信息、文化旅游等部门在项目可行性研究阶段对环境影响进行论证后，依法办理相关手续。</w:t>
      </w:r>
    </w:p>
    <w:p w14:paraId="7E50445B">
      <w:pPr>
        <w:numPr>
          <w:ilvl w:val="0"/>
          <w:numId w:val="8"/>
        </w:numPr>
      </w:pPr>
      <w:r>
        <w:rPr>
          <w:rFonts w:hint="eastAsia"/>
        </w:rPr>
        <w:t>单个项目建设用地规模20亩以上、不超过30亩的，原则上要向城镇开发边界内集聚。</w:t>
      </w:r>
    </w:p>
    <w:p w14:paraId="5190EECE">
      <w:pPr>
        <w:numPr>
          <w:ilvl w:val="0"/>
          <w:numId w:val="8"/>
        </w:numPr>
      </w:pPr>
      <w:r>
        <w:rPr>
          <w:rFonts w:hint="eastAsia"/>
        </w:rPr>
        <w:t>单个项目建设用地规模不超过20亩的，直接服务种植养殖业的农产品加工、电子商务、仓储保鲜冷链、产地低温直销配送等产业项目，原则上应在村庄内集中布局。</w:t>
      </w:r>
    </w:p>
    <w:p w14:paraId="5A0F34DE">
      <w:pPr>
        <w:numPr>
          <w:ilvl w:val="0"/>
          <w:numId w:val="8"/>
        </w:numPr>
        <w:rPr>
          <w:rFonts w:hint="eastAsia"/>
          <w:b/>
          <w:bCs/>
          <w:lang w:val="en-US" w:eastAsia="zh-CN"/>
        </w:rPr>
      </w:pPr>
      <w:r>
        <w:rPr>
          <w:rFonts w:hint="eastAsia"/>
        </w:rPr>
        <w:t>工业项目宜靠近原料产地或能源供给点</w:t>
      </w:r>
      <w:r>
        <w:rPr>
          <w:rFonts w:hint="eastAsia"/>
          <w:lang w:eastAsia="zh-CN"/>
        </w:rPr>
        <w:t>，</w:t>
      </w:r>
      <w:r>
        <w:rPr>
          <w:rFonts w:hint="eastAsia"/>
        </w:rPr>
        <w:t>物流仓储项目宜靠近生产区</w:t>
      </w:r>
      <w:r>
        <w:rPr>
          <w:rFonts w:hint="eastAsia"/>
          <w:lang w:eastAsia="zh-CN"/>
        </w:rPr>
        <w:t>，</w:t>
      </w:r>
      <w:r>
        <w:rPr>
          <w:rFonts w:hint="eastAsia"/>
        </w:rPr>
        <w:t>选择与城乡物流网络衔接通畅、地势平坦、用地开阔的区域，以提升货物集散效率</w:t>
      </w:r>
      <w:r>
        <w:rPr>
          <w:rFonts w:hint="eastAsia"/>
          <w:lang w:eastAsia="zh-CN"/>
        </w:rPr>
        <w:t>。</w:t>
      </w:r>
      <w:r>
        <w:rPr>
          <w:rFonts w:ascii="仿宋" w:hAnsi="仿宋" w:eastAsia="仿宋" w:cs="仿宋"/>
          <w:color w:val="000000"/>
          <w:kern w:val="0"/>
          <w:sz w:val="31"/>
          <w:szCs w:val="31"/>
          <w:lang w:val="en-US" w:eastAsia="zh-CN" w:bidi="ar"/>
        </w:rPr>
        <w:t>工业用地、物流仓储用地与周边生活区等</w:t>
      </w:r>
      <w:r>
        <w:rPr>
          <w:rFonts w:hint="eastAsia" w:ascii="仿宋" w:hAnsi="仿宋" w:eastAsia="仿宋" w:cs="仿宋"/>
          <w:color w:val="000000"/>
          <w:kern w:val="0"/>
          <w:sz w:val="31"/>
          <w:szCs w:val="31"/>
          <w:lang w:val="en-US" w:eastAsia="zh-CN" w:bidi="ar"/>
        </w:rPr>
        <w:t>防护</w:t>
      </w:r>
      <w:r>
        <w:rPr>
          <w:rFonts w:ascii="仿宋" w:hAnsi="仿宋" w:eastAsia="仿宋" w:cs="仿宋"/>
          <w:color w:val="000000"/>
          <w:kern w:val="0"/>
          <w:sz w:val="31"/>
          <w:szCs w:val="31"/>
          <w:lang w:val="en-US" w:eastAsia="zh-CN" w:bidi="ar"/>
        </w:rPr>
        <w:t>目标之间的</w:t>
      </w:r>
      <w:r>
        <w:rPr>
          <w:rFonts w:hint="eastAsia" w:ascii="仿宋" w:hAnsi="仿宋" w:eastAsia="仿宋" w:cs="仿宋"/>
          <w:color w:val="000000"/>
          <w:kern w:val="0"/>
          <w:sz w:val="31"/>
          <w:szCs w:val="31"/>
          <w:lang w:val="en-US" w:eastAsia="zh-CN" w:bidi="ar"/>
        </w:rPr>
        <w:t>防护距离应满足相关法律法规、技术规定等的要求。</w:t>
      </w:r>
    </w:p>
    <w:p w14:paraId="70EDDBA9">
      <w:pPr>
        <w:numPr>
          <w:ilvl w:val="0"/>
          <w:numId w:val="8"/>
        </w:numPr>
        <w:rPr>
          <w:rFonts w:hint="eastAsia"/>
          <w:lang w:val="en-US" w:eastAsia="zh-CN"/>
        </w:rPr>
      </w:pPr>
      <w:r>
        <w:rPr>
          <w:rFonts w:hint="eastAsia" w:ascii="仿宋" w:hAnsi="仿宋" w:eastAsia="仿宋" w:cs="仿宋"/>
          <w:color w:val="000000"/>
          <w:kern w:val="0"/>
          <w:sz w:val="31"/>
          <w:szCs w:val="31"/>
          <w:lang w:val="en-US" w:eastAsia="zh-CN" w:bidi="ar"/>
        </w:rPr>
        <w:t>对空间选址有特殊要求的零星文化旅游设施、农业设施、邻避设施项目等，在符合国土空间用途管制、乡村风貌环境等要求基础上，由县规划自然资源局会同发展改革、农业农村、生态环境以及行业主管部门在项目可行性研究阶段出具审查意见，审查论证通过后可进行布局。</w:t>
      </w:r>
    </w:p>
    <w:p w14:paraId="4964ECC6">
      <w:pPr>
        <w:ind w:firstLine="643"/>
        <w:rPr>
          <w:b/>
          <w:bCs/>
        </w:rPr>
      </w:pPr>
      <w:r>
        <w:rPr>
          <w:rFonts w:hint="eastAsia"/>
          <w:b/>
          <w:bCs/>
          <w:lang w:val="en-US" w:eastAsia="zh-CN"/>
        </w:rPr>
        <w:t>3</w:t>
      </w:r>
      <w:r>
        <w:rPr>
          <w:rFonts w:hint="eastAsia"/>
          <w:b/>
          <w:bCs/>
        </w:rPr>
        <w:t>.建设标准</w:t>
      </w:r>
    </w:p>
    <w:p w14:paraId="4DA92713">
      <w:pPr>
        <w:keepNext w:val="0"/>
        <w:keepLines w:val="0"/>
        <w:widowControl/>
        <w:suppressLineNumbers w:val="0"/>
        <w:jc w:val="left"/>
        <w:rPr>
          <w:rFonts w:hint="eastAsia"/>
          <w:b/>
          <w:bCs/>
        </w:rPr>
      </w:pPr>
      <w:r>
        <w:rPr>
          <w:rFonts w:hint="eastAsia"/>
          <w:highlight w:val="none"/>
        </w:rPr>
        <w:t>乡村产业项目可适当考虑用地兼容性。在符合</w:t>
      </w:r>
      <w:r>
        <w:rPr>
          <w:rFonts w:hint="eastAsia" w:ascii="Times New Roman" w:hAnsi="Times New Roman" w:eastAsia="方正仿宋_GBK" w:cs="Times New Roman"/>
          <w:sz w:val="32"/>
          <w:szCs w:val="32"/>
          <w:lang w:val="en-US" w:eastAsia="zh-CN"/>
        </w:rPr>
        <w:t>国土空间用途管制</w:t>
      </w:r>
      <w:r>
        <w:rPr>
          <w:rFonts w:hint="eastAsia"/>
          <w:highlight w:val="none"/>
        </w:rPr>
        <w:t>、乡村风貌</w:t>
      </w:r>
      <w:r>
        <w:rPr>
          <w:rFonts w:hint="eastAsia"/>
          <w:highlight w:val="none"/>
          <w:lang w:val="en-US" w:eastAsia="zh-CN"/>
        </w:rPr>
        <w:t>环境等管控</w:t>
      </w:r>
      <w:r>
        <w:rPr>
          <w:rFonts w:hint="eastAsia"/>
          <w:highlight w:val="none"/>
        </w:rPr>
        <w:t>要求、不涉及村庄安全问题的前提下，鼓励对依法登记的宅基地等农村建设用地进行复合利用，发展乡村民宿、农产品初加工、电子商务、民俗体验、文化创意等乡村产业。</w:t>
      </w:r>
    </w:p>
    <w:p w14:paraId="486563A7">
      <w:pPr>
        <w:ind w:firstLine="643"/>
      </w:pPr>
      <w:r>
        <w:rPr>
          <w:rFonts w:hint="eastAsia"/>
          <w:b/>
          <w:bCs/>
        </w:rPr>
        <w:t>工业项目。</w:t>
      </w:r>
      <w:r>
        <w:rPr>
          <w:rFonts w:hint="eastAsia"/>
        </w:rPr>
        <w:t>乡村地区不宜布置大型工业用地，符合农村一二三产业融合发展类的工业项目指标参照</w:t>
      </w:r>
      <w:r>
        <w:rPr>
          <w:rFonts w:hint="eastAsia"/>
        </w:rPr>
        <w:fldChar w:fldCharType="begin"/>
      </w:r>
      <w:r>
        <w:rPr>
          <w:rFonts w:hint="eastAsia"/>
        </w:rPr>
        <w:instrText xml:space="preserve"> REF _Ref233809667 \h </w:instrText>
      </w:r>
      <w:r>
        <w:instrText xml:space="preserve"> \* MERGEFORMAT </w:instrText>
      </w:r>
      <w:r>
        <w:rPr>
          <w:rFonts w:hint="eastAsia"/>
        </w:rPr>
        <w:fldChar w:fldCharType="separate"/>
      </w:r>
      <w:r>
        <w:rPr>
          <w:rFonts w:hint="eastAsia"/>
        </w:rPr>
        <w:t>《工业项目建设用地控制指标》</w:t>
      </w:r>
      <w:r>
        <w:rPr>
          <w:rFonts w:hint="eastAsia"/>
        </w:rPr>
        <w:fldChar w:fldCharType="end"/>
      </w:r>
      <w:r>
        <w:rPr>
          <w:rFonts w:hint="eastAsia"/>
        </w:rPr>
        <w:t>执行，结合实际建设需求，</w:t>
      </w:r>
      <w:r>
        <w:rPr>
          <w:rFonts w:hint="eastAsia"/>
          <w:lang w:eastAsia="zh-CN"/>
        </w:rPr>
        <w:t>经论证后，适当确定</w:t>
      </w:r>
      <w:r>
        <w:rPr>
          <w:rFonts w:hint="eastAsia"/>
        </w:rPr>
        <w:t>容积率。用地范围内配建的行政办公及生活服务设施用地面积不得大于项目总用地面积的7%，建筑面积不得大于项目总建筑面积的15%。</w:t>
      </w:r>
    </w:p>
    <w:p w14:paraId="09801BB2">
      <w:pPr>
        <w:ind w:firstLine="643"/>
      </w:pPr>
      <w:r>
        <w:rPr>
          <w:rFonts w:hint="eastAsia"/>
          <w:b/>
          <w:bCs/>
        </w:rPr>
        <w:t>物流仓储项目。</w:t>
      </w:r>
      <w:r>
        <w:rPr>
          <w:rFonts w:hint="eastAsia"/>
        </w:rPr>
        <w:t>乡村地区不宜布置大型、中型仓储用地，容积率宜控制在1.0～1.5之间。物流仓储用地配套的行政办公、展示展览、交易场所、值班室、宿舍、食堂等设施用地面积占项目总用地面积比例不超过10%。</w:t>
      </w:r>
    </w:p>
    <w:p w14:paraId="78E435FC">
      <w:pPr>
        <w:ind w:firstLine="643"/>
      </w:pPr>
      <w:r>
        <w:rPr>
          <w:rFonts w:hint="eastAsia"/>
          <w:b/>
          <w:bCs/>
        </w:rPr>
        <w:t>商业项目。</w:t>
      </w:r>
      <w:r>
        <w:rPr>
          <w:rFonts w:hint="eastAsia" w:ascii="Times New Roman" w:hAnsi="Times New Roman" w:cs="Times New Roman"/>
        </w:rPr>
        <w:t>乡村地区不宜建设大型、中型商业服务业设施，应结合村庄产业发展需求及村民生活配套需求合理确定规模。乡村商业服务业主要包括零售、餐饮、民宿、集贸市场、充电站等类型，容积率宜控制在1.0～2.5之间。</w:t>
      </w:r>
    </w:p>
    <w:p w14:paraId="731E8449">
      <w:pPr>
        <w:pStyle w:val="6"/>
        <w:numPr>
          <w:ilvl w:val="0"/>
          <w:numId w:val="3"/>
        </w:numPr>
        <w:ind w:left="0" w:firstLine="709" w:firstLineChars="0"/>
      </w:pPr>
      <w:r>
        <w:rPr>
          <w:rFonts w:hint="eastAsia"/>
        </w:rPr>
        <w:t>特殊项目用地指引</w:t>
      </w:r>
    </w:p>
    <w:p w14:paraId="7E155C03">
      <w:r>
        <w:rPr>
          <w:rFonts w:hint="eastAsia"/>
        </w:rPr>
        <w:t>除通用</w:t>
      </w:r>
      <w:r>
        <w:rPr>
          <w:rFonts w:hint="eastAsia"/>
          <w:lang w:val="en-US" w:eastAsia="zh-CN"/>
        </w:rPr>
        <w:t>性规定</w:t>
      </w:r>
      <w:r>
        <w:rPr>
          <w:rFonts w:hint="eastAsia"/>
        </w:rPr>
        <w:t>外，农村公益性墓地选址布局还应当符合以下要求：</w:t>
      </w:r>
    </w:p>
    <w:p w14:paraId="21455BD7">
      <w:r>
        <w:rPr>
          <w:rFonts w:hint="eastAsia"/>
        </w:rPr>
        <w:t>1.应优先利用荒山、荒坡、非耕地或不宜耕种的瘠地以及历史形成的集中墓葬区（点）。</w:t>
      </w:r>
    </w:p>
    <w:p w14:paraId="57CB2A74">
      <w:r>
        <w:rPr>
          <w:rFonts w:hint="eastAsia"/>
        </w:rPr>
        <w:t>2.新建墓地鼓励结合矿山修复，在尊重群众意愿、消除地质灾害隐患、确保安全的前提下，优先选择道路通达性条件较好，修复后具备墓地建设条件的区域布局。</w:t>
      </w:r>
    </w:p>
    <w:p w14:paraId="484958CE">
      <w:r>
        <w:rPr>
          <w:rFonts w:hint="eastAsia"/>
        </w:rPr>
        <w:t>3.公益性墓地不应选址在以下区域：耕地、林地；文物保护区、自然保护地向外延伸2千米以内；水库、水源、河流堤坝红线向外延伸500米以内；铁路、公路主干线两侧向外延伸500米以内；居民聚居区红线向外延伸500米以内；法律法规规定的其他禁止区域。</w:t>
      </w:r>
    </w:p>
    <w:p w14:paraId="4316835E">
      <w:r>
        <w:rPr>
          <w:rFonts w:hint="eastAsia"/>
        </w:rPr>
        <w:t>农村公益性墓地建设标准应符合</w:t>
      </w:r>
      <w:r>
        <w:rPr>
          <w:rFonts w:hint="eastAsia"/>
        </w:rPr>
        <w:fldChar w:fldCharType="begin"/>
      </w:r>
      <w:r>
        <w:rPr>
          <w:rFonts w:hint="eastAsia"/>
        </w:rPr>
        <w:instrText xml:space="preserve"> REF _Ref233809707 \h </w:instrText>
      </w:r>
      <w:r>
        <w:instrText xml:space="preserve"> \* MERGEFORMAT </w:instrText>
      </w:r>
      <w:r>
        <w:rPr>
          <w:rFonts w:hint="eastAsia"/>
        </w:rPr>
        <w:fldChar w:fldCharType="separate"/>
      </w:r>
      <w:r>
        <w:rPr>
          <w:rFonts w:hint="eastAsia"/>
        </w:rPr>
        <w:t>《公益性公墓建设规范》</w:t>
      </w:r>
      <w:r>
        <w:rPr>
          <w:rFonts w:hint="eastAsia"/>
        </w:rPr>
        <w:fldChar w:fldCharType="end"/>
      </w:r>
      <w:r>
        <w:rPr>
          <w:rFonts w:hint="eastAsia"/>
        </w:rPr>
        <w:t>要求，结合服务人口规模确定。</w:t>
      </w:r>
    </w:p>
    <w:p w14:paraId="4EF71548">
      <w:pPr>
        <w:pStyle w:val="6"/>
        <w:numPr>
          <w:ilvl w:val="0"/>
          <w:numId w:val="3"/>
        </w:numPr>
        <w:ind w:left="0" w:firstLine="709" w:firstLineChars="0"/>
      </w:pPr>
      <w:r>
        <w:rPr>
          <w:rFonts w:hint="eastAsia"/>
        </w:rPr>
        <w:t>用地兼容性</w:t>
      </w:r>
    </w:p>
    <w:p w14:paraId="519BD3F8">
      <w:pPr>
        <w:ind w:firstLine="643"/>
        <w:rPr>
          <w:rFonts w:hint="eastAsia" w:ascii="Times New Roman" w:hAnsi="Times New Roman" w:cs="Times New Roman"/>
        </w:rPr>
      </w:pPr>
      <w:r>
        <w:rPr>
          <w:rFonts w:hint="eastAsia" w:ascii="Times New Roman" w:hAnsi="Times New Roman" w:cs="Times New Roman"/>
        </w:rPr>
        <w:t>为提高资源集约节约利用水平，推进设施共建共享，在不突破国土空间底线管控和规划强制性内容、不涉及村庄安全问题、不影响村庄公共利益及村庄整体风貌的前提下，鼓励功能用途互利、环境要求相似或相互无不利影响的用地混合兼容使用，具体可参照</w:t>
      </w:r>
      <w:r>
        <w:rPr>
          <w:rFonts w:hint="eastAsia" w:ascii="Times New Roman" w:hAnsi="Times New Roman" w:cs="Times New Roman"/>
        </w:rPr>
        <w:fldChar w:fldCharType="begin"/>
      </w:r>
      <w:r>
        <w:rPr>
          <w:rFonts w:hint="eastAsia" w:ascii="Times New Roman" w:hAnsi="Times New Roman" w:cs="Times New Roman"/>
        </w:rPr>
        <w:instrText xml:space="preserve"> REF _Ref233568849 \h  \* MERGEFORMAT </w:instrText>
      </w:r>
      <w:r>
        <w:rPr>
          <w:rFonts w:hint="eastAsia" w:ascii="Times New Roman" w:hAnsi="Times New Roman" w:cs="Times New Roman"/>
        </w:rPr>
        <w:fldChar w:fldCharType="separate"/>
      </w:r>
      <w:r>
        <w:rPr>
          <w:rFonts w:hint="eastAsia" w:ascii="Times New Roman" w:hAnsi="Times New Roman" w:cs="Times New Roman"/>
        </w:rPr>
        <w:t>表3</w:t>
      </w:r>
      <w:r>
        <w:rPr>
          <w:rFonts w:hint="eastAsia" w:ascii="Times New Roman" w:hAnsi="Times New Roman" w:cs="Times New Roman"/>
        </w:rPr>
        <w:fldChar w:fldCharType="end"/>
      </w:r>
      <w:r>
        <w:rPr>
          <w:rFonts w:hint="eastAsia" w:ascii="Times New Roman" w:hAnsi="Times New Roman" w:cs="Times New Roman"/>
        </w:rPr>
        <w:t>。</w:t>
      </w:r>
    </w:p>
    <w:p w14:paraId="513C58AA">
      <w:pPr>
        <w:pStyle w:val="10"/>
      </w:pPr>
      <w:bookmarkStart w:id="14" w:name="_Ref233568849"/>
      <w:r>
        <w:rPr>
          <w:rFonts w:hint="eastAsia"/>
        </w:rPr>
        <w:t xml:space="preserve">表 </w:t>
      </w:r>
      <w:r>
        <w:fldChar w:fldCharType="begin"/>
      </w:r>
      <w:r>
        <w:instrText xml:space="preserve"> </w:instrText>
      </w:r>
      <w:r>
        <w:rPr>
          <w:rFonts w:hint="eastAsia"/>
        </w:rPr>
        <w:instrText xml:space="preserve">SEQ 表 \* ARABIC</w:instrText>
      </w:r>
      <w:r>
        <w:instrText xml:space="preserve"> </w:instrText>
      </w:r>
      <w:r>
        <w:fldChar w:fldCharType="separate"/>
      </w:r>
      <w:r>
        <w:rPr>
          <w:rFonts w:hint="eastAsia"/>
        </w:rPr>
        <w:t>3</w:t>
      </w:r>
      <w:r>
        <w:fldChar w:fldCharType="end"/>
      </w:r>
      <w:bookmarkEnd w:id="14"/>
      <w:r>
        <w:rPr>
          <w:rFonts w:hint="eastAsia"/>
        </w:rPr>
        <w:t>乡村建设用地混合兼容参考表</w:t>
      </w:r>
    </w:p>
    <w:tbl>
      <w:tblPr>
        <w:tblStyle w:val="24"/>
        <w:tblW w:w="89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670"/>
        <w:gridCol w:w="533"/>
        <w:gridCol w:w="711"/>
        <w:gridCol w:w="621"/>
        <w:gridCol w:w="587"/>
        <w:gridCol w:w="587"/>
        <w:gridCol w:w="587"/>
        <w:gridCol w:w="588"/>
        <w:gridCol w:w="588"/>
        <w:gridCol w:w="707"/>
      </w:tblGrid>
      <w:tr w14:paraId="3900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 w:hRule="atLeast"/>
          <w:tblHeader/>
        </w:trPr>
        <w:tc>
          <w:tcPr>
            <w:tcW w:w="3408" w:type="dxa"/>
            <w:gridSpan w:val="2"/>
            <w:vMerge w:val="restart"/>
            <w:tcBorders>
              <w:tl2br w:val="single" w:color="auto" w:sz="4" w:space="0"/>
            </w:tcBorders>
            <w:vAlign w:val="center"/>
          </w:tcPr>
          <w:p w14:paraId="3E15A1F4">
            <w:pPr>
              <w:pStyle w:val="37"/>
            </w:pPr>
            <w:r>
              <w:rPr>
                <w:rFonts w:hint="eastAsia"/>
              </w:rPr>
              <w:t xml:space="preserve">           兼容地类</w:t>
            </w:r>
          </w:p>
          <w:p w14:paraId="3E9E2BC7">
            <w:pPr>
              <w:pStyle w:val="37"/>
            </w:pPr>
          </w:p>
          <w:p w14:paraId="26B2C5A3">
            <w:pPr>
              <w:pStyle w:val="37"/>
              <w:ind w:firstLine="480" w:firstLineChars="200"/>
              <w:jc w:val="both"/>
            </w:pPr>
            <w:r>
              <w:rPr>
                <w:rFonts w:hint="eastAsia"/>
              </w:rPr>
              <w:t>规划地类</w:t>
            </w:r>
          </w:p>
        </w:tc>
        <w:tc>
          <w:tcPr>
            <w:tcW w:w="1244" w:type="dxa"/>
            <w:gridSpan w:val="2"/>
            <w:vAlign w:val="center"/>
          </w:tcPr>
          <w:p w14:paraId="507FE791">
            <w:pPr>
              <w:pStyle w:val="37"/>
            </w:pPr>
            <w:r>
              <w:rPr>
                <w:rFonts w:hint="eastAsia"/>
              </w:rPr>
              <w:t>居住用地</w:t>
            </w:r>
          </w:p>
        </w:tc>
        <w:tc>
          <w:tcPr>
            <w:tcW w:w="621" w:type="dxa"/>
            <w:vMerge w:val="restart"/>
            <w:textDirection w:val="tbLrV"/>
            <w:vAlign w:val="center"/>
          </w:tcPr>
          <w:p w14:paraId="03693516">
            <w:pPr>
              <w:pStyle w:val="37"/>
            </w:pPr>
            <w:r>
              <w:rPr>
                <w:rFonts w:hint="eastAsia"/>
              </w:rPr>
              <w:t>公共管理与公共服务用地</w:t>
            </w:r>
          </w:p>
        </w:tc>
        <w:tc>
          <w:tcPr>
            <w:tcW w:w="587" w:type="dxa"/>
            <w:vMerge w:val="restart"/>
            <w:textDirection w:val="tbLrV"/>
            <w:vAlign w:val="center"/>
          </w:tcPr>
          <w:p w14:paraId="22B97638">
            <w:pPr>
              <w:pStyle w:val="37"/>
            </w:pPr>
            <w:r>
              <w:rPr>
                <w:rFonts w:hint="eastAsia"/>
              </w:rPr>
              <w:t>商业服务业用地</w:t>
            </w:r>
          </w:p>
        </w:tc>
        <w:tc>
          <w:tcPr>
            <w:tcW w:w="587" w:type="dxa"/>
            <w:vMerge w:val="restart"/>
            <w:textDirection w:val="tbLrV"/>
            <w:vAlign w:val="center"/>
          </w:tcPr>
          <w:p w14:paraId="28ED2CB6">
            <w:pPr>
              <w:pStyle w:val="37"/>
            </w:pPr>
            <w:r>
              <w:rPr>
                <w:rFonts w:hint="eastAsia"/>
              </w:rPr>
              <w:t>工业用地</w:t>
            </w:r>
          </w:p>
        </w:tc>
        <w:tc>
          <w:tcPr>
            <w:tcW w:w="587" w:type="dxa"/>
            <w:vMerge w:val="restart"/>
            <w:textDirection w:val="tbLrV"/>
            <w:vAlign w:val="center"/>
          </w:tcPr>
          <w:p w14:paraId="2D2C7334">
            <w:pPr>
              <w:pStyle w:val="37"/>
            </w:pPr>
            <w:r>
              <w:rPr>
                <w:rFonts w:hint="eastAsia"/>
              </w:rPr>
              <w:t>物流仓储用地</w:t>
            </w:r>
          </w:p>
        </w:tc>
        <w:tc>
          <w:tcPr>
            <w:tcW w:w="588" w:type="dxa"/>
            <w:vMerge w:val="restart"/>
            <w:textDirection w:val="tbLrV"/>
            <w:vAlign w:val="center"/>
          </w:tcPr>
          <w:p w14:paraId="38E79452">
            <w:pPr>
              <w:pStyle w:val="37"/>
            </w:pPr>
            <w:r>
              <w:rPr>
                <w:rFonts w:hint="eastAsia"/>
              </w:rPr>
              <w:t>交通运输用地</w:t>
            </w:r>
          </w:p>
        </w:tc>
        <w:tc>
          <w:tcPr>
            <w:tcW w:w="588" w:type="dxa"/>
            <w:vMerge w:val="restart"/>
            <w:textDirection w:val="tbLrV"/>
            <w:vAlign w:val="center"/>
          </w:tcPr>
          <w:p w14:paraId="63BCAA33">
            <w:pPr>
              <w:pStyle w:val="37"/>
            </w:pPr>
            <w:r>
              <w:rPr>
                <w:rFonts w:hint="eastAsia"/>
              </w:rPr>
              <w:t>公用设施用地</w:t>
            </w:r>
          </w:p>
        </w:tc>
        <w:tc>
          <w:tcPr>
            <w:tcW w:w="707" w:type="dxa"/>
            <w:vMerge w:val="restart"/>
            <w:textDirection w:val="tbLrV"/>
            <w:vAlign w:val="center"/>
          </w:tcPr>
          <w:p w14:paraId="6C6B1A63">
            <w:pPr>
              <w:pStyle w:val="37"/>
            </w:pPr>
            <w:r>
              <w:rPr>
                <w:rFonts w:hint="eastAsia"/>
              </w:rPr>
              <w:t>绿地与开敞</w:t>
            </w:r>
          </w:p>
          <w:p w14:paraId="2EB6A3A2">
            <w:pPr>
              <w:pStyle w:val="37"/>
            </w:pPr>
            <w:r>
              <w:rPr>
                <w:rFonts w:hint="eastAsia"/>
              </w:rPr>
              <w:t>空间用地</w:t>
            </w:r>
          </w:p>
        </w:tc>
      </w:tr>
      <w:tr w14:paraId="1DBB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8" w:hRule="atLeast"/>
          <w:tblHeader/>
        </w:trPr>
        <w:tc>
          <w:tcPr>
            <w:tcW w:w="3408" w:type="dxa"/>
            <w:gridSpan w:val="2"/>
            <w:vMerge w:val="continue"/>
            <w:vAlign w:val="center"/>
          </w:tcPr>
          <w:p w14:paraId="1BCEF9F9">
            <w:pPr>
              <w:pStyle w:val="37"/>
            </w:pPr>
          </w:p>
        </w:tc>
        <w:tc>
          <w:tcPr>
            <w:tcW w:w="533" w:type="dxa"/>
            <w:textDirection w:val="tbLrV"/>
            <w:vAlign w:val="center"/>
          </w:tcPr>
          <w:p w14:paraId="02D6D0C8">
            <w:pPr>
              <w:pStyle w:val="37"/>
            </w:pPr>
            <w:r>
              <w:rPr>
                <w:rFonts w:hint="eastAsia"/>
              </w:rPr>
              <w:t>农村宅基地</w:t>
            </w:r>
          </w:p>
        </w:tc>
        <w:tc>
          <w:tcPr>
            <w:tcW w:w="711" w:type="dxa"/>
            <w:textDirection w:val="tbLrV"/>
            <w:vAlign w:val="center"/>
          </w:tcPr>
          <w:p w14:paraId="1DB2215D">
            <w:pPr>
              <w:pStyle w:val="37"/>
            </w:pPr>
            <w:r>
              <w:rPr>
                <w:rFonts w:hint="eastAsia"/>
              </w:rPr>
              <w:t>农村社区服务设施用地</w:t>
            </w:r>
          </w:p>
        </w:tc>
        <w:tc>
          <w:tcPr>
            <w:tcW w:w="621" w:type="dxa"/>
            <w:vMerge w:val="continue"/>
            <w:textDirection w:val="tbRlV"/>
            <w:vAlign w:val="center"/>
          </w:tcPr>
          <w:p w14:paraId="70E25673">
            <w:pPr>
              <w:pStyle w:val="37"/>
            </w:pPr>
          </w:p>
        </w:tc>
        <w:tc>
          <w:tcPr>
            <w:tcW w:w="587" w:type="dxa"/>
            <w:vMerge w:val="continue"/>
            <w:textDirection w:val="tbRlV"/>
            <w:vAlign w:val="center"/>
          </w:tcPr>
          <w:p w14:paraId="05019B1A">
            <w:pPr>
              <w:pStyle w:val="37"/>
            </w:pPr>
          </w:p>
        </w:tc>
        <w:tc>
          <w:tcPr>
            <w:tcW w:w="587" w:type="dxa"/>
            <w:vMerge w:val="continue"/>
            <w:textDirection w:val="tbRlV"/>
            <w:vAlign w:val="center"/>
          </w:tcPr>
          <w:p w14:paraId="72F5A5FA">
            <w:pPr>
              <w:pStyle w:val="37"/>
            </w:pPr>
          </w:p>
        </w:tc>
        <w:tc>
          <w:tcPr>
            <w:tcW w:w="587" w:type="dxa"/>
            <w:vMerge w:val="continue"/>
            <w:textDirection w:val="tbRlV"/>
            <w:vAlign w:val="center"/>
          </w:tcPr>
          <w:p w14:paraId="5E4E189C">
            <w:pPr>
              <w:pStyle w:val="37"/>
            </w:pPr>
          </w:p>
        </w:tc>
        <w:tc>
          <w:tcPr>
            <w:tcW w:w="588" w:type="dxa"/>
            <w:vMerge w:val="continue"/>
            <w:textDirection w:val="tbRlV"/>
            <w:vAlign w:val="center"/>
          </w:tcPr>
          <w:p w14:paraId="70B301B4">
            <w:pPr>
              <w:pStyle w:val="37"/>
            </w:pPr>
          </w:p>
        </w:tc>
        <w:tc>
          <w:tcPr>
            <w:tcW w:w="588" w:type="dxa"/>
            <w:vMerge w:val="continue"/>
            <w:textDirection w:val="tbRlV"/>
            <w:vAlign w:val="center"/>
          </w:tcPr>
          <w:p w14:paraId="4BC42A7E">
            <w:pPr>
              <w:pStyle w:val="37"/>
            </w:pPr>
          </w:p>
        </w:tc>
        <w:tc>
          <w:tcPr>
            <w:tcW w:w="707" w:type="dxa"/>
            <w:vMerge w:val="continue"/>
            <w:textDirection w:val="tbRlV"/>
            <w:vAlign w:val="center"/>
          </w:tcPr>
          <w:p w14:paraId="1B082DC2">
            <w:pPr>
              <w:pStyle w:val="37"/>
            </w:pPr>
          </w:p>
        </w:tc>
      </w:tr>
      <w:tr w14:paraId="524D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738" w:type="dxa"/>
            <w:vMerge w:val="restart"/>
            <w:vAlign w:val="center"/>
          </w:tcPr>
          <w:p w14:paraId="0DB04471">
            <w:pPr>
              <w:pStyle w:val="37"/>
            </w:pPr>
            <w:r>
              <w:rPr>
                <w:rFonts w:hint="eastAsia"/>
              </w:rPr>
              <w:t>居住用地</w:t>
            </w:r>
          </w:p>
        </w:tc>
        <w:tc>
          <w:tcPr>
            <w:tcW w:w="2670" w:type="dxa"/>
            <w:vAlign w:val="center"/>
          </w:tcPr>
          <w:p w14:paraId="2DD65EAD">
            <w:pPr>
              <w:pStyle w:val="37"/>
            </w:pPr>
            <w:r>
              <w:rPr>
                <w:rFonts w:hint="eastAsia"/>
              </w:rPr>
              <w:t>农村宅基地</w:t>
            </w:r>
          </w:p>
        </w:tc>
        <w:tc>
          <w:tcPr>
            <w:tcW w:w="533" w:type="dxa"/>
            <w:tcBorders>
              <w:tl2br w:val="single" w:color="auto" w:sz="4" w:space="0"/>
            </w:tcBorders>
            <w:vAlign w:val="center"/>
          </w:tcPr>
          <w:p w14:paraId="0E6FD71D">
            <w:pPr>
              <w:pStyle w:val="37"/>
            </w:pPr>
          </w:p>
        </w:tc>
        <w:tc>
          <w:tcPr>
            <w:tcW w:w="711" w:type="dxa"/>
            <w:vAlign w:val="center"/>
          </w:tcPr>
          <w:p w14:paraId="17BCCBD9">
            <w:pPr>
              <w:pStyle w:val="37"/>
            </w:pPr>
            <w:r>
              <w:rPr>
                <w:rFonts w:hint="eastAsia"/>
              </w:rPr>
              <w:t>√</w:t>
            </w:r>
          </w:p>
        </w:tc>
        <w:tc>
          <w:tcPr>
            <w:tcW w:w="621" w:type="dxa"/>
            <w:vAlign w:val="center"/>
          </w:tcPr>
          <w:p w14:paraId="6951BA4E">
            <w:pPr>
              <w:pStyle w:val="37"/>
            </w:pPr>
            <w:r>
              <w:rPr>
                <w:rFonts w:hint="eastAsia"/>
              </w:rPr>
              <w:t>×</w:t>
            </w:r>
          </w:p>
        </w:tc>
        <w:tc>
          <w:tcPr>
            <w:tcW w:w="587" w:type="dxa"/>
            <w:vAlign w:val="center"/>
          </w:tcPr>
          <w:p w14:paraId="22E94D53">
            <w:pPr>
              <w:pStyle w:val="37"/>
            </w:pPr>
            <w:r>
              <w:rPr>
                <w:rFonts w:hint="eastAsia"/>
              </w:rPr>
              <w:t>√</w:t>
            </w:r>
          </w:p>
        </w:tc>
        <w:tc>
          <w:tcPr>
            <w:tcW w:w="587" w:type="dxa"/>
            <w:vAlign w:val="center"/>
          </w:tcPr>
          <w:p w14:paraId="1EED8988">
            <w:pPr>
              <w:pStyle w:val="37"/>
            </w:pPr>
            <w:r>
              <w:rPr>
                <w:rFonts w:hint="eastAsia"/>
              </w:rPr>
              <w:t>×</w:t>
            </w:r>
          </w:p>
        </w:tc>
        <w:tc>
          <w:tcPr>
            <w:tcW w:w="587" w:type="dxa"/>
            <w:vAlign w:val="center"/>
          </w:tcPr>
          <w:p w14:paraId="39BF35CF">
            <w:pPr>
              <w:pStyle w:val="37"/>
            </w:pPr>
            <w:r>
              <w:rPr>
                <w:rFonts w:hint="eastAsia"/>
              </w:rPr>
              <w:t>×</w:t>
            </w:r>
          </w:p>
        </w:tc>
        <w:tc>
          <w:tcPr>
            <w:tcW w:w="588" w:type="dxa"/>
            <w:vAlign w:val="center"/>
          </w:tcPr>
          <w:p w14:paraId="14731EDC">
            <w:pPr>
              <w:pStyle w:val="37"/>
            </w:pPr>
            <w:r>
              <w:rPr>
                <w:rFonts w:hint="eastAsia"/>
              </w:rPr>
              <w:t>×</w:t>
            </w:r>
          </w:p>
        </w:tc>
        <w:tc>
          <w:tcPr>
            <w:tcW w:w="588" w:type="dxa"/>
            <w:vAlign w:val="center"/>
          </w:tcPr>
          <w:p w14:paraId="563399B1">
            <w:pPr>
              <w:pStyle w:val="37"/>
            </w:pPr>
            <w:r>
              <w:rPr>
                <w:rFonts w:hint="eastAsia"/>
              </w:rPr>
              <w:t>×</w:t>
            </w:r>
          </w:p>
        </w:tc>
        <w:tc>
          <w:tcPr>
            <w:tcW w:w="707" w:type="dxa"/>
            <w:vAlign w:val="center"/>
          </w:tcPr>
          <w:p w14:paraId="53F1D200">
            <w:pPr>
              <w:pStyle w:val="37"/>
            </w:pPr>
            <w:r>
              <w:rPr>
                <w:rFonts w:hint="eastAsia"/>
              </w:rPr>
              <w:t>×</w:t>
            </w:r>
          </w:p>
        </w:tc>
      </w:tr>
      <w:tr w14:paraId="30F3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trPr>
        <w:tc>
          <w:tcPr>
            <w:tcW w:w="738" w:type="dxa"/>
            <w:vMerge w:val="continue"/>
            <w:vAlign w:val="center"/>
          </w:tcPr>
          <w:p w14:paraId="7324089C">
            <w:pPr>
              <w:pStyle w:val="37"/>
            </w:pPr>
          </w:p>
        </w:tc>
        <w:tc>
          <w:tcPr>
            <w:tcW w:w="2670" w:type="dxa"/>
            <w:vAlign w:val="center"/>
          </w:tcPr>
          <w:p w14:paraId="586A9169">
            <w:pPr>
              <w:pStyle w:val="37"/>
            </w:pPr>
            <w:r>
              <w:rPr>
                <w:rFonts w:hint="eastAsia"/>
              </w:rPr>
              <w:t>农村社区服务设施用地</w:t>
            </w:r>
          </w:p>
        </w:tc>
        <w:tc>
          <w:tcPr>
            <w:tcW w:w="533" w:type="dxa"/>
            <w:vAlign w:val="center"/>
          </w:tcPr>
          <w:p w14:paraId="21FDD474">
            <w:pPr>
              <w:pStyle w:val="37"/>
            </w:pPr>
            <w:r>
              <w:rPr>
                <w:rFonts w:hint="eastAsia"/>
              </w:rPr>
              <w:t>×</w:t>
            </w:r>
          </w:p>
        </w:tc>
        <w:tc>
          <w:tcPr>
            <w:tcW w:w="711" w:type="dxa"/>
            <w:tcBorders>
              <w:tl2br w:val="single" w:color="auto" w:sz="4" w:space="0"/>
            </w:tcBorders>
            <w:vAlign w:val="center"/>
          </w:tcPr>
          <w:p w14:paraId="7567E9D3">
            <w:pPr>
              <w:pStyle w:val="37"/>
            </w:pPr>
          </w:p>
        </w:tc>
        <w:tc>
          <w:tcPr>
            <w:tcW w:w="621" w:type="dxa"/>
            <w:vAlign w:val="center"/>
          </w:tcPr>
          <w:p w14:paraId="79EAC1E2">
            <w:pPr>
              <w:pStyle w:val="37"/>
            </w:pPr>
            <w:r>
              <w:rPr>
                <w:rFonts w:hint="eastAsia"/>
              </w:rPr>
              <w:t>×</w:t>
            </w:r>
          </w:p>
        </w:tc>
        <w:tc>
          <w:tcPr>
            <w:tcW w:w="587" w:type="dxa"/>
            <w:vAlign w:val="center"/>
          </w:tcPr>
          <w:p w14:paraId="5C8CF870">
            <w:pPr>
              <w:pStyle w:val="37"/>
            </w:pPr>
            <w:r>
              <w:rPr>
                <w:rFonts w:hint="eastAsia"/>
              </w:rPr>
              <w:t>×</w:t>
            </w:r>
          </w:p>
        </w:tc>
        <w:tc>
          <w:tcPr>
            <w:tcW w:w="587" w:type="dxa"/>
            <w:vAlign w:val="center"/>
          </w:tcPr>
          <w:p w14:paraId="02C51608">
            <w:pPr>
              <w:pStyle w:val="37"/>
            </w:pPr>
            <w:r>
              <w:rPr>
                <w:rFonts w:hint="eastAsia"/>
              </w:rPr>
              <w:t>×</w:t>
            </w:r>
          </w:p>
        </w:tc>
        <w:tc>
          <w:tcPr>
            <w:tcW w:w="587" w:type="dxa"/>
            <w:vAlign w:val="center"/>
          </w:tcPr>
          <w:p w14:paraId="7F1AF20D">
            <w:pPr>
              <w:pStyle w:val="37"/>
            </w:pPr>
            <w:r>
              <w:rPr>
                <w:rFonts w:hint="eastAsia"/>
              </w:rPr>
              <w:t>×</w:t>
            </w:r>
          </w:p>
        </w:tc>
        <w:tc>
          <w:tcPr>
            <w:tcW w:w="588" w:type="dxa"/>
            <w:vAlign w:val="center"/>
          </w:tcPr>
          <w:p w14:paraId="2881EA58">
            <w:pPr>
              <w:pStyle w:val="37"/>
            </w:pPr>
            <w:r>
              <w:rPr>
                <w:rFonts w:hint="eastAsia"/>
              </w:rPr>
              <w:t>×</w:t>
            </w:r>
          </w:p>
        </w:tc>
        <w:tc>
          <w:tcPr>
            <w:tcW w:w="588" w:type="dxa"/>
            <w:vAlign w:val="center"/>
          </w:tcPr>
          <w:p w14:paraId="0D407B3F">
            <w:pPr>
              <w:pStyle w:val="37"/>
            </w:pPr>
            <w:r>
              <w:rPr>
                <w:rFonts w:hint="eastAsia"/>
              </w:rPr>
              <w:t>×</w:t>
            </w:r>
          </w:p>
        </w:tc>
        <w:tc>
          <w:tcPr>
            <w:tcW w:w="707" w:type="dxa"/>
            <w:vAlign w:val="center"/>
          </w:tcPr>
          <w:p w14:paraId="454929EB">
            <w:pPr>
              <w:pStyle w:val="37"/>
            </w:pPr>
            <w:r>
              <w:rPr>
                <w:rFonts w:hint="eastAsia"/>
              </w:rPr>
              <w:t>√</w:t>
            </w:r>
          </w:p>
        </w:tc>
      </w:tr>
      <w:tr w14:paraId="3825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trPr>
        <w:tc>
          <w:tcPr>
            <w:tcW w:w="3408" w:type="dxa"/>
            <w:gridSpan w:val="2"/>
            <w:vAlign w:val="center"/>
          </w:tcPr>
          <w:p w14:paraId="1AF1493B">
            <w:pPr>
              <w:pStyle w:val="37"/>
            </w:pPr>
            <w:r>
              <w:rPr>
                <w:rFonts w:hint="eastAsia"/>
              </w:rPr>
              <w:t>公共管理与公共服务用地</w:t>
            </w:r>
          </w:p>
        </w:tc>
        <w:tc>
          <w:tcPr>
            <w:tcW w:w="533" w:type="dxa"/>
            <w:vAlign w:val="center"/>
          </w:tcPr>
          <w:p w14:paraId="5341CE04">
            <w:pPr>
              <w:pStyle w:val="37"/>
            </w:pPr>
            <w:r>
              <w:rPr>
                <w:rFonts w:hint="eastAsia"/>
              </w:rPr>
              <w:t>×</w:t>
            </w:r>
          </w:p>
        </w:tc>
        <w:tc>
          <w:tcPr>
            <w:tcW w:w="711" w:type="dxa"/>
            <w:vAlign w:val="center"/>
          </w:tcPr>
          <w:p w14:paraId="6CCB8F99">
            <w:pPr>
              <w:pStyle w:val="37"/>
            </w:pPr>
            <w:r>
              <w:rPr>
                <w:rFonts w:hint="eastAsia"/>
              </w:rPr>
              <w:t>×</w:t>
            </w:r>
          </w:p>
        </w:tc>
        <w:tc>
          <w:tcPr>
            <w:tcW w:w="621" w:type="dxa"/>
            <w:tcBorders>
              <w:tl2br w:val="single" w:color="auto" w:sz="4" w:space="0"/>
            </w:tcBorders>
            <w:vAlign w:val="center"/>
          </w:tcPr>
          <w:p w14:paraId="72BD8135">
            <w:pPr>
              <w:pStyle w:val="37"/>
            </w:pPr>
          </w:p>
        </w:tc>
        <w:tc>
          <w:tcPr>
            <w:tcW w:w="587" w:type="dxa"/>
            <w:vAlign w:val="center"/>
          </w:tcPr>
          <w:p w14:paraId="65A49926">
            <w:pPr>
              <w:pStyle w:val="37"/>
            </w:pPr>
            <w:r>
              <w:rPr>
                <w:rFonts w:hint="eastAsia"/>
              </w:rPr>
              <w:t>×</w:t>
            </w:r>
          </w:p>
        </w:tc>
        <w:tc>
          <w:tcPr>
            <w:tcW w:w="587" w:type="dxa"/>
            <w:vAlign w:val="center"/>
          </w:tcPr>
          <w:p w14:paraId="4D8E50A0">
            <w:pPr>
              <w:pStyle w:val="37"/>
            </w:pPr>
            <w:r>
              <w:rPr>
                <w:rFonts w:hint="eastAsia"/>
              </w:rPr>
              <w:t>×</w:t>
            </w:r>
          </w:p>
        </w:tc>
        <w:tc>
          <w:tcPr>
            <w:tcW w:w="587" w:type="dxa"/>
            <w:vAlign w:val="center"/>
          </w:tcPr>
          <w:p w14:paraId="042FEE64">
            <w:pPr>
              <w:pStyle w:val="37"/>
            </w:pPr>
            <w:r>
              <w:rPr>
                <w:rFonts w:hint="eastAsia"/>
              </w:rPr>
              <w:t>×</w:t>
            </w:r>
          </w:p>
        </w:tc>
        <w:tc>
          <w:tcPr>
            <w:tcW w:w="588" w:type="dxa"/>
            <w:vAlign w:val="center"/>
          </w:tcPr>
          <w:p w14:paraId="33ABE82B">
            <w:pPr>
              <w:pStyle w:val="37"/>
            </w:pPr>
            <w:r>
              <w:rPr>
                <w:rFonts w:hint="eastAsia"/>
              </w:rPr>
              <w:t>×</w:t>
            </w:r>
          </w:p>
        </w:tc>
        <w:tc>
          <w:tcPr>
            <w:tcW w:w="588" w:type="dxa"/>
            <w:vAlign w:val="center"/>
          </w:tcPr>
          <w:p w14:paraId="373A3FA0">
            <w:pPr>
              <w:pStyle w:val="37"/>
            </w:pPr>
            <w:r>
              <w:rPr>
                <w:rFonts w:hint="eastAsia"/>
              </w:rPr>
              <w:t>×</w:t>
            </w:r>
          </w:p>
        </w:tc>
        <w:tc>
          <w:tcPr>
            <w:tcW w:w="707" w:type="dxa"/>
            <w:vAlign w:val="center"/>
          </w:tcPr>
          <w:p w14:paraId="70593CCF">
            <w:pPr>
              <w:pStyle w:val="37"/>
            </w:pPr>
            <w:r>
              <w:rPr>
                <w:rFonts w:hint="eastAsia"/>
              </w:rPr>
              <w:t>√</w:t>
            </w:r>
          </w:p>
        </w:tc>
      </w:tr>
      <w:tr w14:paraId="5FC3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trPr>
        <w:tc>
          <w:tcPr>
            <w:tcW w:w="3408" w:type="dxa"/>
            <w:gridSpan w:val="2"/>
            <w:vAlign w:val="center"/>
          </w:tcPr>
          <w:p w14:paraId="6DFE6C25">
            <w:pPr>
              <w:pStyle w:val="37"/>
            </w:pPr>
            <w:r>
              <w:rPr>
                <w:rFonts w:hint="eastAsia"/>
              </w:rPr>
              <w:t>商业服务业用地</w:t>
            </w:r>
          </w:p>
        </w:tc>
        <w:tc>
          <w:tcPr>
            <w:tcW w:w="533" w:type="dxa"/>
            <w:vAlign w:val="center"/>
          </w:tcPr>
          <w:p w14:paraId="184D2ADC">
            <w:pPr>
              <w:pStyle w:val="37"/>
            </w:pPr>
            <w:r>
              <w:rPr>
                <w:rFonts w:hint="eastAsia"/>
              </w:rPr>
              <w:t>×</w:t>
            </w:r>
          </w:p>
        </w:tc>
        <w:tc>
          <w:tcPr>
            <w:tcW w:w="711" w:type="dxa"/>
            <w:vAlign w:val="center"/>
          </w:tcPr>
          <w:p w14:paraId="7168665C">
            <w:pPr>
              <w:pStyle w:val="37"/>
            </w:pPr>
            <w:r>
              <w:rPr>
                <w:rFonts w:hint="eastAsia"/>
              </w:rPr>
              <w:t>×</w:t>
            </w:r>
          </w:p>
        </w:tc>
        <w:tc>
          <w:tcPr>
            <w:tcW w:w="621" w:type="dxa"/>
            <w:vAlign w:val="center"/>
          </w:tcPr>
          <w:p w14:paraId="325024EB">
            <w:pPr>
              <w:pStyle w:val="37"/>
            </w:pPr>
            <w:r>
              <w:rPr>
                <w:rFonts w:hint="eastAsia"/>
              </w:rPr>
              <w:t>×</w:t>
            </w:r>
          </w:p>
        </w:tc>
        <w:tc>
          <w:tcPr>
            <w:tcW w:w="587" w:type="dxa"/>
            <w:tcBorders>
              <w:tl2br w:val="single" w:color="auto" w:sz="4" w:space="0"/>
            </w:tcBorders>
            <w:vAlign w:val="center"/>
          </w:tcPr>
          <w:p w14:paraId="7D1D5BF3">
            <w:pPr>
              <w:pStyle w:val="37"/>
            </w:pPr>
          </w:p>
        </w:tc>
        <w:tc>
          <w:tcPr>
            <w:tcW w:w="587" w:type="dxa"/>
            <w:vAlign w:val="center"/>
          </w:tcPr>
          <w:p w14:paraId="363DFB82">
            <w:pPr>
              <w:pStyle w:val="37"/>
            </w:pPr>
            <w:r>
              <w:rPr>
                <w:rFonts w:hint="eastAsia"/>
              </w:rPr>
              <w:t>×</w:t>
            </w:r>
          </w:p>
        </w:tc>
        <w:tc>
          <w:tcPr>
            <w:tcW w:w="587" w:type="dxa"/>
            <w:vAlign w:val="center"/>
          </w:tcPr>
          <w:p w14:paraId="035D1CA5">
            <w:pPr>
              <w:pStyle w:val="37"/>
            </w:pPr>
            <w:r>
              <w:rPr>
                <w:rFonts w:hint="eastAsia"/>
              </w:rPr>
              <w:t>×</w:t>
            </w:r>
          </w:p>
        </w:tc>
        <w:tc>
          <w:tcPr>
            <w:tcW w:w="588" w:type="dxa"/>
            <w:vAlign w:val="center"/>
          </w:tcPr>
          <w:p w14:paraId="28E5602F">
            <w:pPr>
              <w:pStyle w:val="37"/>
            </w:pPr>
            <w:r>
              <w:rPr>
                <w:rFonts w:hint="eastAsia"/>
              </w:rPr>
              <w:t>×</w:t>
            </w:r>
          </w:p>
        </w:tc>
        <w:tc>
          <w:tcPr>
            <w:tcW w:w="588" w:type="dxa"/>
            <w:vAlign w:val="center"/>
          </w:tcPr>
          <w:p w14:paraId="2F12FCB7">
            <w:pPr>
              <w:pStyle w:val="37"/>
            </w:pPr>
            <w:r>
              <w:rPr>
                <w:rFonts w:hint="eastAsia"/>
              </w:rPr>
              <w:t>×</w:t>
            </w:r>
          </w:p>
        </w:tc>
        <w:tc>
          <w:tcPr>
            <w:tcW w:w="707" w:type="dxa"/>
            <w:vAlign w:val="center"/>
          </w:tcPr>
          <w:p w14:paraId="3F22E378">
            <w:pPr>
              <w:pStyle w:val="37"/>
            </w:pPr>
            <w:r>
              <w:rPr>
                <w:rFonts w:hint="eastAsia"/>
              </w:rPr>
              <w:t>√</w:t>
            </w:r>
          </w:p>
        </w:tc>
      </w:tr>
      <w:tr w14:paraId="1403D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trPr>
        <w:tc>
          <w:tcPr>
            <w:tcW w:w="3408" w:type="dxa"/>
            <w:gridSpan w:val="2"/>
            <w:vAlign w:val="center"/>
          </w:tcPr>
          <w:p w14:paraId="1C7A6E59">
            <w:pPr>
              <w:pStyle w:val="37"/>
            </w:pPr>
            <w:r>
              <w:rPr>
                <w:rFonts w:hint="eastAsia"/>
              </w:rPr>
              <w:t>工业用地</w:t>
            </w:r>
          </w:p>
        </w:tc>
        <w:tc>
          <w:tcPr>
            <w:tcW w:w="533" w:type="dxa"/>
            <w:vAlign w:val="center"/>
          </w:tcPr>
          <w:p w14:paraId="026FF14E">
            <w:pPr>
              <w:pStyle w:val="37"/>
            </w:pPr>
            <w:r>
              <w:rPr>
                <w:rFonts w:hint="eastAsia"/>
              </w:rPr>
              <w:t>×</w:t>
            </w:r>
          </w:p>
        </w:tc>
        <w:tc>
          <w:tcPr>
            <w:tcW w:w="711" w:type="dxa"/>
            <w:vAlign w:val="center"/>
          </w:tcPr>
          <w:p w14:paraId="1861B461">
            <w:pPr>
              <w:pStyle w:val="37"/>
            </w:pPr>
            <w:r>
              <w:rPr>
                <w:rFonts w:hint="eastAsia"/>
              </w:rPr>
              <w:t>×</w:t>
            </w:r>
          </w:p>
        </w:tc>
        <w:tc>
          <w:tcPr>
            <w:tcW w:w="621" w:type="dxa"/>
            <w:vAlign w:val="center"/>
          </w:tcPr>
          <w:p w14:paraId="499805EF">
            <w:pPr>
              <w:pStyle w:val="37"/>
            </w:pPr>
            <w:r>
              <w:rPr>
                <w:rFonts w:hint="eastAsia"/>
              </w:rPr>
              <w:t>×</w:t>
            </w:r>
          </w:p>
        </w:tc>
        <w:tc>
          <w:tcPr>
            <w:tcW w:w="587" w:type="dxa"/>
            <w:vAlign w:val="center"/>
          </w:tcPr>
          <w:p w14:paraId="1D05E86C">
            <w:pPr>
              <w:pStyle w:val="37"/>
            </w:pPr>
            <w:r>
              <w:rPr>
                <w:rFonts w:hint="eastAsia"/>
              </w:rPr>
              <w:t>×</w:t>
            </w:r>
          </w:p>
        </w:tc>
        <w:tc>
          <w:tcPr>
            <w:tcW w:w="587" w:type="dxa"/>
            <w:tcBorders>
              <w:tl2br w:val="single" w:color="auto" w:sz="4" w:space="0"/>
            </w:tcBorders>
            <w:vAlign w:val="center"/>
          </w:tcPr>
          <w:p w14:paraId="257C80EE">
            <w:pPr>
              <w:pStyle w:val="37"/>
            </w:pPr>
          </w:p>
        </w:tc>
        <w:tc>
          <w:tcPr>
            <w:tcW w:w="587" w:type="dxa"/>
            <w:vAlign w:val="center"/>
          </w:tcPr>
          <w:p w14:paraId="726641D9">
            <w:pPr>
              <w:pStyle w:val="37"/>
            </w:pPr>
            <w:r>
              <w:rPr>
                <w:rFonts w:hint="eastAsia"/>
              </w:rPr>
              <w:t>√</w:t>
            </w:r>
          </w:p>
        </w:tc>
        <w:tc>
          <w:tcPr>
            <w:tcW w:w="588" w:type="dxa"/>
            <w:vAlign w:val="center"/>
          </w:tcPr>
          <w:p w14:paraId="6180D967">
            <w:pPr>
              <w:pStyle w:val="37"/>
            </w:pPr>
            <w:r>
              <w:rPr>
                <w:rFonts w:hint="eastAsia"/>
              </w:rPr>
              <w:t>×</w:t>
            </w:r>
          </w:p>
        </w:tc>
        <w:tc>
          <w:tcPr>
            <w:tcW w:w="588" w:type="dxa"/>
            <w:vAlign w:val="center"/>
          </w:tcPr>
          <w:p w14:paraId="51BAE67D">
            <w:pPr>
              <w:pStyle w:val="37"/>
            </w:pPr>
            <w:r>
              <w:rPr>
                <w:rFonts w:hint="eastAsia"/>
              </w:rPr>
              <w:t>×</w:t>
            </w:r>
          </w:p>
        </w:tc>
        <w:tc>
          <w:tcPr>
            <w:tcW w:w="707" w:type="dxa"/>
            <w:vAlign w:val="center"/>
          </w:tcPr>
          <w:p w14:paraId="1A1271C4">
            <w:pPr>
              <w:pStyle w:val="37"/>
            </w:pPr>
            <w:r>
              <w:rPr>
                <w:rFonts w:hint="eastAsia"/>
              </w:rPr>
              <w:t>×</w:t>
            </w:r>
          </w:p>
        </w:tc>
      </w:tr>
      <w:tr w14:paraId="428E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trPr>
        <w:tc>
          <w:tcPr>
            <w:tcW w:w="3408" w:type="dxa"/>
            <w:gridSpan w:val="2"/>
            <w:vAlign w:val="center"/>
          </w:tcPr>
          <w:p w14:paraId="7FC102FF">
            <w:pPr>
              <w:pStyle w:val="37"/>
            </w:pPr>
            <w:r>
              <w:rPr>
                <w:rFonts w:hint="eastAsia"/>
              </w:rPr>
              <w:t>物流仓储用地</w:t>
            </w:r>
          </w:p>
        </w:tc>
        <w:tc>
          <w:tcPr>
            <w:tcW w:w="533" w:type="dxa"/>
            <w:vAlign w:val="center"/>
          </w:tcPr>
          <w:p w14:paraId="052A25DC">
            <w:pPr>
              <w:pStyle w:val="37"/>
            </w:pPr>
            <w:r>
              <w:rPr>
                <w:rFonts w:hint="eastAsia"/>
              </w:rPr>
              <w:t>×</w:t>
            </w:r>
          </w:p>
        </w:tc>
        <w:tc>
          <w:tcPr>
            <w:tcW w:w="711" w:type="dxa"/>
            <w:vAlign w:val="center"/>
          </w:tcPr>
          <w:p w14:paraId="68357E32">
            <w:pPr>
              <w:pStyle w:val="37"/>
            </w:pPr>
            <w:r>
              <w:rPr>
                <w:rFonts w:hint="eastAsia"/>
              </w:rPr>
              <w:t>×</w:t>
            </w:r>
          </w:p>
        </w:tc>
        <w:tc>
          <w:tcPr>
            <w:tcW w:w="621" w:type="dxa"/>
            <w:vAlign w:val="center"/>
          </w:tcPr>
          <w:p w14:paraId="7D263BC8">
            <w:pPr>
              <w:pStyle w:val="37"/>
            </w:pPr>
            <w:r>
              <w:rPr>
                <w:rFonts w:hint="eastAsia"/>
              </w:rPr>
              <w:t>×</w:t>
            </w:r>
          </w:p>
        </w:tc>
        <w:tc>
          <w:tcPr>
            <w:tcW w:w="587" w:type="dxa"/>
            <w:vAlign w:val="center"/>
          </w:tcPr>
          <w:p w14:paraId="346978C6">
            <w:pPr>
              <w:pStyle w:val="37"/>
            </w:pPr>
            <w:r>
              <w:rPr>
                <w:rFonts w:hint="eastAsia"/>
              </w:rPr>
              <w:t>×</w:t>
            </w:r>
          </w:p>
        </w:tc>
        <w:tc>
          <w:tcPr>
            <w:tcW w:w="587" w:type="dxa"/>
            <w:vAlign w:val="center"/>
          </w:tcPr>
          <w:p w14:paraId="15B49245">
            <w:pPr>
              <w:pStyle w:val="37"/>
            </w:pPr>
            <w:r>
              <w:rPr>
                <w:rFonts w:hint="eastAsia"/>
              </w:rPr>
              <w:t>√</w:t>
            </w:r>
          </w:p>
        </w:tc>
        <w:tc>
          <w:tcPr>
            <w:tcW w:w="587" w:type="dxa"/>
            <w:tcBorders>
              <w:tl2br w:val="single" w:color="auto" w:sz="4" w:space="0"/>
            </w:tcBorders>
            <w:vAlign w:val="center"/>
          </w:tcPr>
          <w:p w14:paraId="60F80769">
            <w:pPr>
              <w:pStyle w:val="37"/>
            </w:pPr>
          </w:p>
        </w:tc>
        <w:tc>
          <w:tcPr>
            <w:tcW w:w="588" w:type="dxa"/>
            <w:vAlign w:val="center"/>
          </w:tcPr>
          <w:p w14:paraId="048344D4">
            <w:pPr>
              <w:pStyle w:val="37"/>
            </w:pPr>
            <w:r>
              <w:rPr>
                <w:rFonts w:hint="eastAsia"/>
              </w:rPr>
              <w:t>×</w:t>
            </w:r>
          </w:p>
        </w:tc>
        <w:tc>
          <w:tcPr>
            <w:tcW w:w="588" w:type="dxa"/>
            <w:vAlign w:val="center"/>
          </w:tcPr>
          <w:p w14:paraId="0DA5BE94">
            <w:pPr>
              <w:pStyle w:val="37"/>
            </w:pPr>
            <w:r>
              <w:rPr>
                <w:rFonts w:hint="eastAsia"/>
              </w:rPr>
              <w:t>×</w:t>
            </w:r>
          </w:p>
        </w:tc>
        <w:tc>
          <w:tcPr>
            <w:tcW w:w="707" w:type="dxa"/>
            <w:vAlign w:val="center"/>
          </w:tcPr>
          <w:p w14:paraId="61B72AB4">
            <w:pPr>
              <w:pStyle w:val="37"/>
            </w:pPr>
            <w:r>
              <w:rPr>
                <w:rFonts w:hint="eastAsia"/>
              </w:rPr>
              <w:t>×</w:t>
            </w:r>
          </w:p>
        </w:tc>
      </w:tr>
      <w:tr w14:paraId="0308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trPr>
        <w:tc>
          <w:tcPr>
            <w:tcW w:w="3408" w:type="dxa"/>
            <w:gridSpan w:val="2"/>
            <w:vAlign w:val="center"/>
          </w:tcPr>
          <w:p w14:paraId="0996BD50">
            <w:pPr>
              <w:pStyle w:val="37"/>
            </w:pPr>
            <w:r>
              <w:rPr>
                <w:rFonts w:hint="eastAsia"/>
              </w:rPr>
              <w:t>交通运输用地</w:t>
            </w:r>
          </w:p>
        </w:tc>
        <w:tc>
          <w:tcPr>
            <w:tcW w:w="533" w:type="dxa"/>
            <w:vAlign w:val="center"/>
          </w:tcPr>
          <w:p w14:paraId="79472CA8">
            <w:pPr>
              <w:pStyle w:val="37"/>
            </w:pPr>
            <w:r>
              <w:rPr>
                <w:rFonts w:hint="eastAsia"/>
              </w:rPr>
              <w:t>×</w:t>
            </w:r>
          </w:p>
        </w:tc>
        <w:tc>
          <w:tcPr>
            <w:tcW w:w="711" w:type="dxa"/>
            <w:vAlign w:val="center"/>
          </w:tcPr>
          <w:p w14:paraId="1490176A">
            <w:pPr>
              <w:pStyle w:val="37"/>
            </w:pPr>
            <w:r>
              <w:rPr>
                <w:rFonts w:hint="eastAsia"/>
              </w:rPr>
              <w:t>×</w:t>
            </w:r>
          </w:p>
        </w:tc>
        <w:tc>
          <w:tcPr>
            <w:tcW w:w="621" w:type="dxa"/>
            <w:vAlign w:val="center"/>
          </w:tcPr>
          <w:p w14:paraId="3DEC67D1">
            <w:pPr>
              <w:pStyle w:val="37"/>
            </w:pPr>
            <w:r>
              <w:rPr>
                <w:rFonts w:hint="eastAsia"/>
              </w:rPr>
              <w:t>×</w:t>
            </w:r>
          </w:p>
        </w:tc>
        <w:tc>
          <w:tcPr>
            <w:tcW w:w="587" w:type="dxa"/>
            <w:vAlign w:val="center"/>
          </w:tcPr>
          <w:p w14:paraId="3BF62E29">
            <w:pPr>
              <w:pStyle w:val="37"/>
            </w:pPr>
            <w:r>
              <w:rPr>
                <w:rFonts w:hint="eastAsia"/>
              </w:rPr>
              <w:t>×</w:t>
            </w:r>
          </w:p>
        </w:tc>
        <w:tc>
          <w:tcPr>
            <w:tcW w:w="587" w:type="dxa"/>
            <w:vAlign w:val="center"/>
          </w:tcPr>
          <w:p w14:paraId="4D314BBC">
            <w:pPr>
              <w:pStyle w:val="37"/>
            </w:pPr>
            <w:r>
              <w:rPr>
                <w:rFonts w:hint="eastAsia"/>
              </w:rPr>
              <w:t>×</w:t>
            </w:r>
          </w:p>
        </w:tc>
        <w:tc>
          <w:tcPr>
            <w:tcW w:w="587" w:type="dxa"/>
            <w:vAlign w:val="center"/>
          </w:tcPr>
          <w:p w14:paraId="5B7ABA27">
            <w:pPr>
              <w:pStyle w:val="37"/>
            </w:pPr>
            <w:r>
              <w:rPr>
                <w:rFonts w:hint="eastAsia"/>
              </w:rPr>
              <w:t>×</w:t>
            </w:r>
          </w:p>
        </w:tc>
        <w:tc>
          <w:tcPr>
            <w:tcW w:w="588" w:type="dxa"/>
            <w:tcBorders>
              <w:tl2br w:val="single" w:color="auto" w:sz="4" w:space="0"/>
            </w:tcBorders>
            <w:vAlign w:val="center"/>
          </w:tcPr>
          <w:p w14:paraId="43D628F2">
            <w:pPr>
              <w:pStyle w:val="37"/>
            </w:pPr>
          </w:p>
        </w:tc>
        <w:tc>
          <w:tcPr>
            <w:tcW w:w="588" w:type="dxa"/>
            <w:vAlign w:val="center"/>
          </w:tcPr>
          <w:p w14:paraId="71B09276">
            <w:pPr>
              <w:pStyle w:val="37"/>
            </w:pPr>
            <w:r>
              <w:rPr>
                <w:rFonts w:hint="eastAsia"/>
              </w:rPr>
              <w:t>×</w:t>
            </w:r>
          </w:p>
        </w:tc>
        <w:tc>
          <w:tcPr>
            <w:tcW w:w="707" w:type="dxa"/>
            <w:vAlign w:val="center"/>
          </w:tcPr>
          <w:p w14:paraId="70D02285">
            <w:pPr>
              <w:pStyle w:val="37"/>
            </w:pPr>
            <w:r>
              <w:rPr>
                <w:rFonts w:hint="eastAsia"/>
              </w:rPr>
              <w:t>√</w:t>
            </w:r>
          </w:p>
        </w:tc>
      </w:tr>
      <w:tr w14:paraId="28AF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trPr>
        <w:tc>
          <w:tcPr>
            <w:tcW w:w="3408" w:type="dxa"/>
            <w:gridSpan w:val="2"/>
            <w:vAlign w:val="center"/>
          </w:tcPr>
          <w:p w14:paraId="5EEAA2B5">
            <w:pPr>
              <w:pStyle w:val="37"/>
            </w:pPr>
            <w:r>
              <w:rPr>
                <w:rFonts w:hint="eastAsia"/>
              </w:rPr>
              <w:t>公用设施用地</w:t>
            </w:r>
          </w:p>
        </w:tc>
        <w:tc>
          <w:tcPr>
            <w:tcW w:w="533" w:type="dxa"/>
            <w:vAlign w:val="center"/>
          </w:tcPr>
          <w:p w14:paraId="00D2D5D7">
            <w:pPr>
              <w:pStyle w:val="37"/>
            </w:pPr>
            <w:r>
              <w:rPr>
                <w:rFonts w:hint="eastAsia"/>
              </w:rPr>
              <w:t>×</w:t>
            </w:r>
          </w:p>
        </w:tc>
        <w:tc>
          <w:tcPr>
            <w:tcW w:w="711" w:type="dxa"/>
            <w:vAlign w:val="center"/>
          </w:tcPr>
          <w:p w14:paraId="5CC2ABB0">
            <w:pPr>
              <w:pStyle w:val="37"/>
            </w:pPr>
            <w:r>
              <w:rPr>
                <w:rFonts w:hint="eastAsia"/>
              </w:rPr>
              <w:t>×</w:t>
            </w:r>
          </w:p>
        </w:tc>
        <w:tc>
          <w:tcPr>
            <w:tcW w:w="621" w:type="dxa"/>
            <w:vAlign w:val="center"/>
          </w:tcPr>
          <w:p w14:paraId="130528D3">
            <w:pPr>
              <w:pStyle w:val="37"/>
            </w:pPr>
            <w:r>
              <w:rPr>
                <w:rFonts w:hint="eastAsia"/>
              </w:rPr>
              <w:t>×</w:t>
            </w:r>
          </w:p>
        </w:tc>
        <w:tc>
          <w:tcPr>
            <w:tcW w:w="587" w:type="dxa"/>
            <w:vAlign w:val="center"/>
          </w:tcPr>
          <w:p w14:paraId="71F4B89D">
            <w:pPr>
              <w:pStyle w:val="37"/>
            </w:pPr>
            <w:r>
              <w:rPr>
                <w:rFonts w:hint="eastAsia"/>
              </w:rPr>
              <w:t>×</w:t>
            </w:r>
          </w:p>
        </w:tc>
        <w:tc>
          <w:tcPr>
            <w:tcW w:w="587" w:type="dxa"/>
            <w:vAlign w:val="center"/>
          </w:tcPr>
          <w:p w14:paraId="50E1A335">
            <w:pPr>
              <w:pStyle w:val="37"/>
            </w:pPr>
            <w:r>
              <w:rPr>
                <w:rFonts w:hint="eastAsia"/>
              </w:rPr>
              <w:t>×</w:t>
            </w:r>
          </w:p>
        </w:tc>
        <w:tc>
          <w:tcPr>
            <w:tcW w:w="587" w:type="dxa"/>
            <w:vAlign w:val="center"/>
          </w:tcPr>
          <w:p w14:paraId="44602B4B">
            <w:pPr>
              <w:pStyle w:val="37"/>
            </w:pPr>
            <w:r>
              <w:rPr>
                <w:rFonts w:hint="eastAsia"/>
              </w:rPr>
              <w:t>×</w:t>
            </w:r>
          </w:p>
        </w:tc>
        <w:tc>
          <w:tcPr>
            <w:tcW w:w="588" w:type="dxa"/>
            <w:vAlign w:val="center"/>
          </w:tcPr>
          <w:p w14:paraId="4FCCAFC6">
            <w:pPr>
              <w:pStyle w:val="37"/>
            </w:pPr>
            <w:r>
              <w:rPr>
                <w:rFonts w:hint="eastAsia"/>
              </w:rPr>
              <w:t>×</w:t>
            </w:r>
          </w:p>
        </w:tc>
        <w:tc>
          <w:tcPr>
            <w:tcW w:w="588" w:type="dxa"/>
            <w:tcBorders>
              <w:tl2br w:val="single" w:color="auto" w:sz="4" w:space="0"/>
            </w:tcBorders>
            <w:vAlign w:val="center"/>
          </w:tcPr>
          <w:p w14:paraId="1B7C644A">
            <w:pPr>
              <w:pStyle w:val="37"/>
            </w:pPr>
          </w:p>
        </w:tc>
        <w:tc>
          <w:tcPr>
            <w:tcW w:w="707" w:type="dxa"/>
            <w:vAlign w:val="center"/>
          </w:tcPr>
          <w:p w14:paraId="27EE9F4E">
            <w:pPr>
              <w:pStyle w:val="37"/>
            </w:pPr>
            <w:r>
              <w:rPr>
                <w:rFonts w:hint="eastAsia"/>
              </w:rPr>
              <w:t>×</w:t>
            </w:r>
          </w:p>
        </w:tc>
      </w:tr>
      <w:tr w14:paraId="32B3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3408" w:type="dxa"/>
            <w:gridSpan w:val="2"/>
            <w:vAlign w:val="center"/>
          </w:tcPr>
          <w:p w14:paraId="5CDF8625">
            <w:pPr>
              <w:pStyle w:val="37"/>
            </w:pPr>
            <w:r>
              <w:rPr>
                <w:rFonts w:hint="eastAsia"/>
              </w:rPr>
              <w:t>绿地与开敞空间用地</w:t>
            </w:r>
          </w:p>
        </w:tc>
        <w:tc>
          <w:tcPr>
            <w:tcW w:w="533" w:type="dxa"/>
            <w:vAlign w:val="center"/>
          </w:tcPr>
          <w:p w14:paraId="1BE0C87D">
            <w:pPr>
              <w:pStyle w:val="37"/>
            </w:pPr>
            <w:r>
              <w:rPr>
                <w:rFonts w:hint="eastAsia"/>
              </w:rPr>
              <w:t>×</w:t>
            </w:r>
          </w:p>
        </w:tc>
        <w:tc>
          <w:tcPr>
            <w:tcW w:w="711" w:type="dxa"/>
            <w:shd w:val="clear" w:color="auto" w:fill="auto"/>
            <w:vAlign w:val="center"/>
          </w:tcPr>
          <w:p w14:paraId="46BCF3C3">
            <w:pPr>
              <w:pStyle w:val="37"/>
            </w:pPr>
            <w:r>
              <w:rPr>
                <w:rFonts w:hint="eastAsia"/>
              </w:rPr>
              <w:t>×</w:t>
            </w:r>
          </w:p>
        </w:tc>
        <w:tc>
          <w:tcPr>
            <w:tcW w:w="621" w:type="dxa"/>
            <w:shd w:val="clear" w:color="auto" w:fill="auto"/>
            <w:vAlign w:val="center"/>
          </w:tcPr>
          <w:p w14:paraId="4943C73E">
            <w:pPr>
              <w:pStyle w:val="37"/>
            </w:pPr>
            <w:r>
              <w:rPr>
                <w:rFonts w:hint="eastAsia"/>
              </w:rPr>
              <w:t>×</w:t>
            </w:r>
          </w:p>
        </w:tc>
        <w:tc>
          <w:tcPr>
            <w:tcW w:w="587" w:type="dxa"/>
            <w:vAlign w:val="center"/>
          </w:tcPr>
          <w:p w14:paraId="5D23F988">
            <w:pPr>
              <w:pStyle w:val="37"/>
            </w:pPr>
            <w:r>
              <w:rPr>
                <w:rFonts w:hint="eastAsia"/>
              </w:rPr>
              <w:t>√</w:t>
            </w:r>
          </w:p>
        </w:tc>
        <w:tc>
          <w:tcPr>
            <w:tcW w:w="587" w:type="dxa"/>
            <w:vAlign w:val="center"/>
          </w:tcPr>
          <w:p w14:paraId="455FF3B4">
            <w:pPr>
              <w:pStyle w:val="37"/>
            </w:pPr>
            <w:r>
              <w:rPr>
                <w:rFonts w:hint="eastAsia"/>
              </w:rPr>
              <w:t>×</w:t>
            </w:r>
          </w:p>
        </w:tc>
        <w:tc>
          <w:tcPr>
            <w:tcW w:w="587" w:type="dxa"/>
            <w:vAlign w:val="center"/>
          </w:tcPr>
          <w:p w14:paraId="767A2D2E">
            <w:pPr>
              <w:pStyle w:val="37"/>
            </w:pPr>
            <w:r>
              <w:rPr>
                <w:rFonts w:hint="eastAsia"/>
              </w:rPr>
              <w:t>×</w:t>
            </w:r>
          </w:p>
        </w:tc>
        <w:tc>
          <w:tcPr>
            <w:tcW w:w="588" w:type="dxa"/>
            <w:vAlign w:val="center"/>
          </w:tcPr>
          <w:p w14:paraId="0F61333A">
            <w:pPr>
              <w:pStyle w:val="37"/>
            </w:pPr>
            <w:r>
              <w:rPr>
                <w:rFonts w:hint="eastAsia"/>
              </w:rPr>
              <w:t>×</w:t>
            </w:r>
          </w:p>
        </w:tc>
        <w:tc>
          <w:tcPr>
            <w:tcW w:w="588" w:type="dxa"/>
            <w:vAlign w:val="center"/>
          </w:tcPr>
          <w:p w14:paraId="725411E7">
            <w:pPr>
              <w:pStyle w:val="37"/>
            </w:pPr>
            <w:r>
              <w:rPr>
                <w:rFonts w:hint="eastAsia"/>
              </w:rPr>
              <w:t>×</w:t>
            </w:r>
          </w:p>
        </w:tc>
        <w:tc>
          <w:tcPr>
            <w:tcW w:w="707" w:type="dxa"/>
            <w:tcBorders>
              <w:tl2br w:val="single" w:color="auto" w:sz="4" w:space="0"/>
            </w:tcBorders>
            <w:vAlign w:val="center"/>
          </w:tcPr>
          <w:p w14:paraId="2756FF00">
            <w:pPr>
              <w:pStyle w:val="37"/>
            </w:pPr>
          </w:p>
        </w:tc>
      </w:tr>
    </w:tbl>
    <w:p w14:paraId="5873EE41">
      <w:pPr>
        <w:pStyle w:val="37"/>
        <w:jc w:val="left"/>
        <w:rPr>
          <w:rFonts w:ascii="方正仿宋_GBK" w:hAnsi="方正仿宋_GBK" w:cs="方正仿宋_GBK"/>
          <w:color w:val="000000" w:themeColor="text1"/>
          <w:spacing w:val="-7"/>
          <w:kern w:val="0"/>
          <w:szCs w:val="24"/>
          <w:lang w:bidi="zh-CN"/>
          <w14:textFill>
            <w14:solidFill>
              <w14:schemeClr w14:val="tx1"/>
            </w14:solidFill>
          </w14:textFill>
        </w:rPr>
      </w:pPr>
      <w:r>
        <w:rPr>
          <w:rFonts w:hint="eastAsia" w:ascii="方正仿宋_GBK" w:hAnsi="方正仿宋_GBK" w:cs="方正仿宋_GBK"/>
          <w:szCs w:val="24"/>
        </w:rPr>
        <w:t>注：</w:t>
      </w:r>
      <w:r>
        <w:rPr>
          <w:rFonts w:hint="eastAsia" w:ascii="方正仿宋_GBK" w:hAnsi="方正仿宋_GBK" w:cs="方正仿宋_GBK"/>
          <w:color w:val="000000" w:themeColor="text1"/>
          <w:spacing w:val="-7"/>
          <w:kern w:val="0"/>
          <w:szCs w:val="24"/>
          <w:lang w:bidi="zh-CN"/>
          <w14:textFill>
            <w14:solidFill>
              <w14:schemeClr w14:val="tx1"/>
            </w14:solidFill>
          </w14:textFill>
        </w:rPr>
        <w:t xml:space="preserve">1.纵向的为规划用地类别，横向的为可与之相兼容的用地类别。 </w:t>
      </w:r>
    </w:p>
    <w:p w14:paraId="6F490E49">
      <w:pPr>
        <w:pStyle w:val="37"/>
        <w:numPr>
          <w:ilvl w:val="0"/>
          <w:numId w:val="9"/>
        </w:numPr>
        <w:ind w:firstLine="480" w:firstLineChars="200"/>
        <w:jc w:val="left"/>
        <w:rPr>
          <w:rFonts w:ascii="方正仿宋_GBK" w:hAnsi="方正仿宋_GBK" w:cs="方正仿宋_GBK"/>
          <w:color w:val="000000" w:themeColor="text1"/>
          <w:spacing w:val="-7"/>
          <w:kern w:val="0"/>
          <w:szCs w:val="24"/>
          <w:lang w:bidi="zh-CN"/>
          <w14:textFill>
            <w14:solidFill>
              <w14:schemeClr w14:val="tx1"/>
            </w14:solidFill>
          </w14:textFill>
        </w:rPr>
      </w:pPr>
      <w:r>
        <w:rPr>
          <w:rFonts w:hint="eastAsia" w:ascii="方正仿宋_GBK" w:hAnsi="方正仿宋_GBK" w:cs="方正仿宋_GBK"/>
          <w:szCs w:val="24"/>
        </w:rPr>
        <w:t>√</w:t>
      </w:r>
      <w:r>
        <w:rPr>
          <w:rFonts w:hint="eastAsia" w:ascii="方正仿宋_GBK" w:hAnsi="方正仿宋_GBK" w:cs="方正仿宋_GBK"/>
          <w:color w:val="000000" w:themeColor="text1"/>
          <w:spacing w:val="-7"/>
          <w:kern w:val="0"/>
          <w:szCs w:val="24"/>
          <w:lang w:bidi="zh-CN"/>
          <w14:textFill>
            <w14:solidFill>
              <w14:schemeClr w14:val="tx1"/>
            </w14:solidFill>
          </w14:textFill>
        </w:rPr>
        <w:t>表示可适度兼容其它用地性质；×表示不宜兼容其它用地性质。</w:t>
      </w:r>
    </w:p>
    <w:p w14:paraId="7A925EBD">
      <w:pPr>
        <w:pStyle w:val="6"/>
        <w:numPr>
          <w:ilvl w:val="0"/>
          <w:numId w:val="3"/>
        </w:numPr>
        <w:ind w:left="0" w:firstLine="709" w:firstLineChars="0"/>
      </w:pPr>
      <w:r>
        <w:rPr>
          <w:rFonts w:hint="eastAsia"/>
        </w:rPr>
        <w:t xml:space="preserve">专项统筹指引 </w:t>
      </w:r>
    </w:p>
    <w:p w14:paraId="53FF11F0">
      <w:pPr>
        <w:ind w:firstLine="643"/>
        <w:rPr>
          <w:rFonts w:hint="eastAsia" w:ascii="Times New Roman" w:hAnsi="Times New Roman" w:cs="Times New Roman"/>
          <w:lang w:val="en-US" w:eastAsia="zh-CN"/>
        </w:rPr>
      </w:pPr>
      <w:bookmarkStart w:id="15" w:name="_Toc11650"/>
      <w:r>
        <w:rPr>
          <w:rFonts w:hint="eastAsia" w:ascii="Times New Roman" w:hAnsi="Times New Roman" w:cs="Times New Roman"/>
          <w:lang w:val="en-US" w:eastAsia="zh-CN"/>
        </w:rPr>
        <w:t>强化区域统筹，立足巫溪县国土空间总体规划，与全域土地综合整治项目实施方案、耕地保护和国土绿化空间专项规划、村级林地空间利用实施方案、矿产资源专项规划、殡葬设施专项规划、“四好农村路”建设、风景名胜区规划等做好衔接，统筹优化乡村地区空间布局。</w:t>
      </w:r>
    </w:p>
    <w:p w14:paraId="7BCAE882">
      <w:pPr>
        <w:ind w:firstLine="643"/>
        <w:rPr>
          <w:rFonts w:hint="eastAsia" w:ascii="Times New Roman" w:hAnsi="Times New Roman" w:cs="Times New Roman"/>
          <w:lang w:val="en-US" w:eastAsia="zh-CN"/>
        </w:rPr>
      </w:pPr>
      <w:r>
        <w:rPr>
          <w:rFonts w:hint="eastAsia" w:ascii="Times New Roman" w:hAnsi="Times New Roman" w:cs="Times New Roman"/>
        </w:rPr>
        <w:t>衔接全域土地综合整治项目实施方案。编制的全域土地综合整治项目实施方案应落实“通则”管控要求，确保整治区域的耕地保护、村庄布局优化、乡村产业发展、农村公共服务和基础设施建设、建筑风貌等符合“通则”相关规定。</w:t>
      </w:r>
      <w:r>
        <w:rPr>
          <w:rFonts w:hint="eastAsia" w:ascii="Times New Roman" w:hAnsi="Times New Roman" w:cs="Times New Roman"/>
          <w:lang w:val="en-US" w:eastAsia="zh-CN"/>
        </w:rPr>
        <w:t>整治项目空间布局须与“通则”划定的村庄建设边界、产业发展空间、生态保护空间精准衔接，整治后的用地布局与利用方式严格遵守</w:t>
      </w:r>
      <w:r>
        <w:rPr>
          <w:rFonts w:hint="eastAsia" w:ascii="Times New Roman" w:hAnsi="Times New Roman" w:cs="Times New Roman"/>
        </w:rPr>
        <w:t>“通则”</w:t>
      </w:r>
      <w:r>
        <w:rPr>
          <w:rFonts w:hint="eastAsia" w:ascii="Times New Roman" w:hAnsi="Times New Roman" w:cs="Times New Roman"/>
          <w:lang w:val="en-US" w:eastAsia="zh-CN"/>
        </w:rPr>
        <w:t>管控</w:t>
      </w:r>
      <w:r>
        <w:rPr>
          <w:rFonts w:hint="eastAsia" w:ascii="Times New Roman" w:hAnsi="Times New Roman" w:cs="Times New Roman"/>
        </w:rPr>
        <w:t>要求</w:t>
      </w:r>
      <w:r>
        <w:rPr>
          <w:rFonts w:hint="eastAsia" w:ascii="Times New Roman" w:hAnsi="Times New Roman" w:cs="Times New Roman"/>
          <w:lang w:val="en-US" w:eastAsia="zh-CN"/>
        </w:rPr>
        <w:t>。建立整治方案与</w:t>
      </w:r>
      <w:r>
        <w:rPr>
          <w:rFonts w:hint="eastAsia" w:ascii="Times New Roman" w:hAnsi="Times New Roman" w:cs="Times New Roman"/>
        </w:rPr>
        <w:t>“通则”</w:t>
      </w:r>
      <w:r>
        <w:rPr>
          <w:rFonts w:hint="eastAsia" w:ascii="Times New Roman" w:hAnsi="Times New Roman" w:cs="Times New Roman"/>
          <w:lang w:val="en-US" w:eastAsia="zh-CN"/>
        </w:rPr>
        <w:t>联审联管机制，未落实</w:t>
      </w:r>
      <w:r>
        <w:rPr>
          <w:rFonts w:hint="eastAsia" w:ascii="Times New Roman" w:hAnsi="Times New Roman" w:cs="Times New Roman"/>
        </w:rPr>
        <w:t>“通则”管控</w:t>
      </w:r>
      <w:r>
        <w:rPr>
          <w:rFonts w:hint="eastAsia" w:ascii="Times New Roman" w:hAnsi="Times New Roman" w:cs="Times New Roman"/>
          <w:lang w:val="en-US" w:eastAsia="zh-CN"/>
        </w:rPr>
        <w:t>要求的整治实施方案，不得通过审查审批。</w:t>
      </w:r>
    </w:p>
    <w:p w14:paraId="0B87422C">
      <w:pPr>
        <w:keepNext w:val="0"/>
        <w:keepLines w:val="0"/>
        <w:widowControl/>
        <w:suppressLineNumbers w:val="0"/>
        <w:jc w:val="left"/>
        <w:rPr>
          <w:highlight w:val="none"/>
        </w:rPr>
      </w:pPr>
      <w:r>
        <w:rPr>
          <w:rFonts w:hint="eastAsia" w:ascii="Times New Roman" w:hAnsi="Times New Roman" w:cs="Times New Roman"/>
          <w:highlight w:val="none"/>
        </w:rPr>
        <w:t>衔接</w:t>
      </w:r>
      <w:r>
        <w:rPr>
          <w:rFonts w:hint="eastAsia" w:cs="Times New Roman"/>
          <w:highlight w:val="none"/>
          <w:lang w:eastAsia="zh-CN"/>
        </w:rPr>
        <w:t>巫溪县</w:t>
      </w:r>
      <w:r>
        <w:rPr>
          <w:rFonts w:hint="eastAsia" w:ascii="Times New Roman" w:hAnsi="Times New Roman" w:cs="Times New Roman"/>
          <w:highlight w:val="none"/>
        </w:rPr>
        <w:t>耕地占补平衡和国土绿化空间专项规划</w:t>
      </w:r>
      <w:r>
        <w:rPr>
          <w:rFonts w:hint="eastAsia" w:cs="Times New Roman"/>
          <w:highlight w:val="none"/>
          <w:lang w:eastAsia="zh-CN"/>
        </w:rPr>
        <w:t>。</w:t>
      </w:r>
      <w:r>
        <w:rPr>
          <w:rFonts w:hint="eastAsia" w:ascii="仿宋" w:hAnsi="仿宋" w:eastAsia="仿宋" w:cs="仿宋"/>
          <w:color w:val="000000"/>
          <w:kern w:val="0"/>
          <w:sz w:val="31"/>
          <w:szCs w:val="31"/>
          <w:highlight w:val="none"/>
          <w:lang w:val="en-US" w:eastAsia="zh-CN" w:bidi="ar"/>
        </w:rPr>
        <w:t>将</w:t>
      </w:r>
      <w:r>
        <w:rPr>
          <w:rFonts w:ascii="仿宋" w:hAnsi="仿宋" w:eastAsia="仿宋" w:cs="仿宋"/>
          <w:color w:val="000000"/>
          <w:kern w:val="0"/>
          <w:sz w:val="31"/>
          <w:szCs w:val="31"/>
          <w:highlight w:val="none"/>
          <w:lang w:val="en-US" w:eastAsia="zh-CN" w:bidi="ar"/>
        </w:rPr>
        <w:t>专项规</w:t>
      </w:r>
      <w:r>
        <w:rPr>
          <w:rFonts w:hint="eastAsia" w:ascii="仿宋" w:hAnsi="仿宋" w:eastAsia="仿宋" w:cs="仿宋"/>
          <w:color w:val="000000"/>
          <w:kern w:val="0"/>
          <w:sz w:val="31"/>
          <w:szCs w:val="31"/>
          <w:highlight w:val="none"/>
          <w:lang w:val="en-US" w:eastAsia="zh-CN" w:bidi="ar"/>
        </w:rPr>
        <w:t>划中划定的耕地保护空间、国土绿化空间</w:t>
      </w:r>
      <w:r>
        <w:rPr>
          <w:rFonts w:ascii="仿宋" w:hAnsi="仿宋" w:eastAsia="仿宋" w:cs="仿宋"/>
          <w:color w:val="000000"/>
          <w:kern w:val="0"/>
          <w:sz w:val="31"/>
          <w:szCs w:val="31"/>
          <w:highlight w:val="none"/>
          <w:lang w:val="en-US" w:eastAsia="zh-CN" w:bidi="ar"/>
        </w:rPr>
        <w:t>统筹</w:t>
      </w:r>
      <w:r>
        <w:rPr>
          <w:rFonts w:hint="eastAsia" w:ascii="Times New Roman" w:hAnsi="Times New Roman" w:cs="Times New Roman"/>
          <w:highlight w:val="none"/>
        </w:rPr>
        <w:t>纳入“通则”数据库</w:t>
      </w:r>
      <w:r>
        <w:rPr>
          <w:rFonts w:hint="eastAsia" w:ascii="仿宋" w:hAnsi="仿宋" w:eastAsia="仿宋" w:cs="仿宋"/>
          <w:color w:val="000000"/>
          <w:kern w:val="0"/>
          <w:sz w:val="31"/>
          <w:szCs w:val="31"/>
          <w:highlight w:val="none"/>
          <w:lang w:val="en-US" w:eastAsia="zh-CN" w:bidi="ar"/>
        </w:rPr>
        <w:t>，形成规划底线管控图层。全面落实耕地保护、永久基本农田特殊保护、耕地用途管制等刚性指标，统筹耕 林资源保护、修复与有序利用，</w:t>
      </w:r>
      <w:r>
        <w:rPr>
          <w:rFonts w:hint="eastAsia" w:ascii="Times New Roman" w:hAnsi="Times New Roman" w:cs="Times New Roman"/>
          <w:highlight w:val="none"/>
        </w:rPr>
        <w:t>落实</w:t>
      </w:r>
      <w:r>
        <w:rPr>
          <w:rFonts w:hint="eastAsia" w:ascii="仿宋" w:hAnsi="仿宋" w:eastAsia="仿宋" w:cs="仿宋"/>
          <w:color w:val="000000"/>
          <w:kern w:val="0"/>
          <w:sz w:val="31"/>
          <w:szCs w:val="31"/>
          <w:highlight w:val="none"/>
          <w:lang w:val="en-US" w:eastAsia="zh-CN" w:bidi="ar"/>
        </w:rPr>
        <w:t>乡村自然资源保护治理利用相关内容。</w:t>
      </w:r>
    </w:p>
    <w:p w14:paraId="5C3F4235">
      <w:pPr>
        <w:ind w:firstLine="643"/>
        <w:rPr>
          <w:rFonts w:hint="eastAsia" w:ascii="Times New Roman" w:hAnsi="Times New Roman" w:cs="Times New Roman"/>
          <w:highlight w:val="none"/>
        </w:rPr>
      </w:pPr>
      <w:r>
        <w:rPr>
          <w:rFonts w:hint="eastAsia" w:ascii="Times New Roman" w:hAnsi="Times New Roman" w:cs="Times New Roman"/>
          <w:highlight w:val="none"/>
        </w:rPr>
        <w:t>衔接</w:t>
      </w:r>
      <w:r>
        <w:rPr>
          <w:rFonts w:hint="eastAsia" w:cs="Times New Roman"/>
          <w:highlight w:val="none"/>
          <w:lang w:eastAsia="zh-CN"/>
        </w:rPr>
        <w:t>巫溪县</w:t>
      </w:r>
      <w:r>
        <w:rPr>
          <w:rFonts w:hint="eastAsia" w:ascii="Times New Roman" w:hAnsi="Times New Roman" w:cs="Times New Roman"/>
          <w:highlight w:val="none"/>
        </w:rPr>
        <w:t>殡葬设施专项规划</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落实专项规划中明确的公益性墓地用地需求和特殊选址要求，优先利用闲置荒山、荒坡等未利用土地，确保墓地合理布局、节约用地、与乡村环境相协调。</w:t>
      </w:r>
    </w:p>
    <w:p w14:paraId="2640DE15">
      <w:pPr>
        <w:keepNext w:val="0"/>
        <w:keepLines w:val="0"/>
        <w:widowControl/>
        <w:suppressLineNumbers w:val="0"/>
        <w:jc w:val="left"/>
        <w:rPr>
          <w:rFonts w:hint="eastAsia" w:ascii="Times New Roman" w:hAnsi="Times New Roman" w:cs="Times New Roman"/>
        </w:rPr>
      </w:pPr>
      <w:r>
        <w:rPr>
          <w:rFonts w:hint="eastAsia" w:ascii="Times New Roman" w:hAnsi="Times New Roman" w:cs="Times New Roman"/>
          <w:highlight w:val="none"/>
          <w:lang w:val="en-US" w:eastAsia="zh-CN"/>
        </w:rPr>
        <w:t>衔接巫溪县矿产资源总体规划。</w:t>
      </w:r>
      <w:r>
        <w:rPr>
          <w:rFonts w:ascii="仿宋" w:hAnsi="仿宋" w:eastAsia="仿宋" w:cs="仿宋"/>
          <w:color w:val="000000"/>
          <w:kern w:val="0"/>
          <w:sz w:val="31"/>
          <w:szCs w:val="31"/>
          <w:highlight w:val="none"/>
          <w:lang w:val="en-US" w:eastAsia="zh-CN" w:bidi="ar"/>
        </w:rPr>
        <w:t>摸</w:t>
      </w:r>
      <w:r>
        <w:rPr>
          <w:rFonts w:ascii="仿宋" w:hAnsi="仿宋" w:eastAsia="仿宋" w:cs="仿宋"/>
          <w:color w:val="000000"/>
          <w:kern w:val="0"/>
          <w:sz w:val="31"/>
          <w:szCs w:val="31"/>
          <w:lang w:val="en-US" w:eastAsia="zh-CN" w:bidi="ar"/>
        </w:rPr>
        <w:t>清矿情底数，核实矿产资源产业发展区域，</w:t>
      </w:r>
      <w:r>
        <w:rPr>
          <w:rFonts w:hint="eastAsia" w:ascii="仿宋" w:hAnsi="仿宋" w:eastAsia="仿宋" w:cs="仿宋"/>
          <w:color w:val="000000"/>
          <w:kern w:val="0"/>
          <w:sz w:val="31"/>
          <w:szCs w:val="31"/>
          <w:lang w:val="en-US" w:eastAsia="zh-CN" w:bidi="ar"/>
        </w:rPr>
        <w:t>避让各类刚性管控线，保障村庄建设布局不与矿产资源管控范围冲突；严格对标矿产资源规划约束指标，将矿山项目建设占用土地空间纳入“通则”数据库，保障矿产资源开发利用空间需求。</w:t>
      </w:r>
    </w:p>
    <w:p w14:paraId="3F0579A1">
      <w:pPr>
        <w:ind w:firstLine="643"/>
        <w:rPr>
          <w:rFonts w:hint="eastAsia" w:ascii="Times New Roman" w:hAnsi="Times New Roman" w:cs="Times New Roman"/>
        </w:rPr>
      </w:pPr>
      <w:r>
        <w:rPr>
          <w:rFonts w:hint="eastAsia" w:ascii="Times New Roman" w:hAnsi="Times New Roman" w:cs="Times New Roman"/>
          <w:highlight w:val="none"/>
        </w:rPr>
        <w:t>衔接“四好农村路”建设专项工作。落实</w:t>
      </w:r>
      <w:r>
        <w:rPr>
          <w:rFonts w:hint="eastAsia" w:ascii="Times New Roman" w:hAnsi="Times New Roman" w:cs="Times New Roman"/>
          <w:highlight w:val="none"/>
          <w:lang w:val="en-US" w:eastAsia="zh-CN"/>
        </w:rPr>
        <w:t>县</w:t>
      </w:r>
      <w:r>
        <w:rPr>
          <w:rFonts w:hint="eastAsia" w:ascii="Times New Roman" w:hAnsi="Times New Roman" w:cs="Times New Roman"/>
          <w:lang w:val="en-US" w:eastAsia="zh-CN"/>
        </w:rPr>
        <w:t>级</w:t>
      </w:r>
      <w:r>
        <w:rPr>
          <w:rFonts w:hint="eastAsia" w:ascii="Times New Roman" w:hAnsi="Times New Roman" w:cs="Times New Roman"/>
        </w:rPr>
        <w:t>交通类专项规划或年度计划中确定的“四好农村路”路网布局与用地需求，以及对道路退让管控、沿线风貌整治等建设指引内容。</w:t>
      </w:r>
    </w:p>
    <w:bookmarkEnd w:id="15"/>
    <w:p w14:paraId="4B1AFCDE">
      <w:pPr>
        <w:pStyle w:val="4"/>
        <w:adjustRightInd/>
        <w:snapToGrid/>
        <w:spacing w:before="340" w:after="330"/>
        <w:rPr>
          <w:bCs/>
        </w:rPr>
      </w:pPr>
      <w:bookmarkStart w:id="16" w:name="_Toc15233"/>
      <w:r>
        <w:rPr>
          <w:rFonts w:hint="eastAsia"/>
          <w:bCs/>
        </w:rPr>
        <w:t>第四章  建设要求</w:t>
      </w:r>
      <w:bookmarkEnd w:id="16"/>
    </w:p>
    <w:p w14:paraId="38B9785B">
      <w:pPr>
        <w:pStyle w:val="5"/>
        <w:ind w:firstLine="643"/>
        <w:rPr>
          <w:rFonts w:ascii="Times New Roman" w:hAnsi="Times New Roman"/>
        </w:rPr>
      </w:pPr>
      <w:r>
        <w:rPr>
          <w:rFonts w:hint="eastAsia" w:ascii="Times New Roman" w:hAnsi="Times New Roman"/>
        </w:rPr>
        <w:t>第</w:t>
      </w:r>
      <w:r>
        <w:rPr>
          <w:rFonts w:hint="eastAsia" w:ascii="Times New Roman" w:hAnsi="Times New Roman"/>
          <w:lang w:val="en-US" w:eastAsia="zh-CN"/>
        </w:rPr>
        <w:t>十二</w:t>
      </w:r>
      <w:r>
        <w:rPr>
          <w:rFonts w:hint="eastAsia" w:ascii="Times New Roman" w:hAnsi="Times New Roman"/>
        </w:rPr>
        <w:t>条 建筑高度控制</w:t>
      </w:r>
    </w:p>
    <w:p w14:paraId="109CE205">
      <w:pPr>
        <w:rPr>
          <w:rFonts w:hint="eastAsia" w:ascii="Times New Roman" w:hAnsi="Times New Roman" w:cs="Times New Roman"/>
        </w:rPr>
      </w:pPr>
      <w:r>
        <w:rPr>
          <w:rFonts w:hint="eastAsia"/>
        </w:rPr>
        <w:t>乡村地区建筑高度除满足消防、安全、通风、日照等要求外，还应结合整体环境进行控制，与周边风貌相协调。</w:t>
      </w:r>
      <w:r>
        <w:rPr>
          <w:rFonts w:hint="eastAsia" w:ascii="仿宋" w:hAnsi="仿宋" w:eastAsia="仿宋" w:cs="仿宋"/>
          <w:color w:val="000000"/>
          <w:kern w:val="0"/>
          <w:sz w:val="31"/>
          <w:szCs w:val="31"/>
          <w:lang w:val="en-US" w:eastAsia="zh-CN" w:bidi="ar"/>
        </w:rPr>
        <w:t>项目建设涉及自然保护地、历史文化名镇、传统村落、文物保护单位等特定区域，</w:t>
      </w:r>
      <w:r>
        <w:rPr>
          <w:rFonts w:hint="eastAsia" w:ascii="Times New Roman" w:hAnsi="Times New Roman" w:cs="Times New Roman"/>
          <w:lang w:val="en-US" w:eastAsia="zh-CN"/>
        </w:rPr>
        <w:t>还应</w:t>
      </w:r>
      <w:r>
        <w:rPr>
          <w:rFonts w:hint="eastAsia" w:ascii="Times New Roman" w:hAnsi="Times New Roman" w:cs="Times New Roman"/>
        </w:rPr>
        <w:t>符合</w:t>
      </w:r>
      <w:r>
        <w:rPr>
          <w:rFonts w:hint="eastAsia" w:ascii="Times New Roman" w:hAnsi="Times New Roman" w:cs="Times New Roman"/>
          <w:lang w:val="en-US" w:eastAsia="zh-CN"/>
        </w:rPr>
        <w:t>相关</w:t>
      </w:r>
      <w:r>
        <w:rPr>
          <w:rFonts w:hint="eastAsia" w:ascii="Times New Roman" w:hAnsi="Times New Roman" w:cs="Times New Roman"/>
        </w:rPr>
        <w:t>保护条例及保护规划规定的高度控制要求。</w:t>
      </w:r>
    </w:p>
    <w:p w14:paraId="21C0F29B">
      <w:pPr>
        <w:rPr>
          <w:rFonts w:hint="eastAsia" w:ascii="Times New Roman" w:hAnsi="Times New Roman" w:cs="Times New Roman"/>
        </w:rPr>
      </w:pPr>
      <w:r>
        <w:rPr>
          <w:rFonts w:hint="eastAsia" w:ascii="Times New Roman" w:hAnsi="Times New Roman" w:cs="Times New Roman"/>
          <w:b/>
          <w:bCs/>
        </w:rPr>
        <w:t>农村住房。</w:t>
      </w:r>
      <w:r>
        <w:rPr>
          <w:rFonts w:hint="eastAsia" w:ascii="Times New Roman" w:hAnsi="Times New Roman" w:cs="Times New Roman"/>
        </w:rPr>
        <w:t>新建、改</w:t>
      </w:r>
      <w:r>
        <w:rPr>
          <w:rFonts w:hint="eastAsia" w:ascii="Times New Roman" w:hAnsi="Times New Roman" w:cs="Times New Roman"/>
          <w:lang w:eastAsia="zh-CN"/>
        </w:rPr>
        <w:t>（</w:t>
      </w:r>
      <w:r>
        <w:rPr>
          <w:rFonts w:hint="eastAsia" w:ascii="Times New Roman" w:hAnsi="Times New Roman" w:cs="Times New Roman"/>
        </w:rPr>
        <w:t>扩</w:t>
      </w:r>
      <w:r>
        <w:rPr>
          <w:rFonts w:hint="eastAsia" w:ascii="Times New Roman" w:hAnsi="Times New Roman" w:cs="Times New Roman"/>
          <w:lang w:eastAsia="zh-CN"/>
        </w:rPr>
        <w:t>）</w:t>
      </w:r>
      <w:r>
        <w:rPr>
          <w:rFonts w:hint="eastAsia" w:ascii="Times New Roman" w:hAnsi="Times New Roman" w:cs="Times New Roman"/>
        </w:rPr>
        <w:t>建农房，原则上不应超过3层</w:t>
      </w:r>
      <w:r>
        <w:rPr>
          <w:rFonts w:hint="eastAsia" w:ascii="Times New Roman" w:hAnsi="Times New Roman" w:cs="Times New Roman"/>
          <w:lang w:eastAsia="zh-CN"/>
        </w:rPr>
        <w:t>，</w:t>
      </w:r>
      <w:r>
        <w:rPr>
          <w:rFonts w:hint="eastAsia" w:ascii="Times New Roman" w:hAnsi="Times New Roman" w:cs="Times New Roman"/>
        </w:rPr>
        <w:t>建筑地面以上高度原则上不应超过12米。</w:t>
      </w:r>
      <w:r>
        <w:rPr>
          <w:rFonts w:hint="eastAsia" w:ascii="Times New Roman" w:hAnsi="Times New Roman" w:cs="Times New Roman"/>
          <w:lang w:val="en-US" w:eastAsia="zh-CN"/>
        </w:rPr>
        <w:t>因特殊地形、功能需求，建筑高度确需突破上述控制标准的，应按规定开展专题论证，确保符合规划管控、结构安全和风貌管控要求。</w:t>
      </w:r>
    </w:p>
    <w:p w14:paraId="23EDE2F8">
      <w:pPr>
        <w:keepNext w:val="0"/>
        <w:keepLines w:val="0"/>
        <w:widowControl/>
        <w:suppressLineNumbers w:val="0"/>
        <w:jc w:val="left"/>
      </w:pPr>
      <w:r>
        <w:rPr>
          <w:rFonts w:hint="eastAsia" w:ascii="Times New Roman" w:hAnsi="Times New Roman" w:cs="Times New Roman"/>
          <w:b/>
          <w:bCs/>
        </w:rPr>
        <w:t>乡村公共服务设施目。</w:t>
      </w:r>
      <w:r>
        <w:rPr>
          <w:rFonts w:hint="eastAsia" w:ascii="Times New Roman" w:hAnsi="Times New Roman" w:cs="Times New Roman"/>
          <w:lang w:val="en-US" w:eastAsia="zh-CN"/>
        </w:rPr>
        <w:t>建筑高度原则上不应超过18米</w:t>
      </w:r>
      <w:r>
        <w:rPr>
          <w:rFonts w:hint="eastAsia" w:ascii="Times New Roman" w:hAnsi="Times New Roman" w:cs="Times New Roman"/>
        </w:rPr>
        <w:t>，</w:t>
      </w:r>
      <w:r>
        <w:rPr>
          <w:rFonts w:hint="eastAsia" w:ascii="Times New Roman" w:hAnsi="Times New Roman" w:cs="Times New Roman"/>
          <w:lang w:val="en-US" w:eastAsia="zh-CN"/>
        </w:rPr>
        <w:t>因特殊地形、功能需求，确需突破上述控制标准的，应按规定开展专题论证，确保符合规划管控、结构安全、和风貌管控要求。</w:t>
      </w:r>
    </w:p>
    <w:p w14:paraId="1972110B">
      <w:pPr>
        <w:keepNext w:val="0"/>
        <w:keepLines w:val="0"/>
        <w:widowControl/>
        <w:suppressLineNumbers w:val="0"/>
        <w:jc w:val="left"/>
        <w:rPr>
          <w:rFonts w:hint="eastAsia" w:ascii="Times New Roman" w:hAnsi="Times New Roman" w:cs="Times New Roman"/>
          <w:lang w:val="en-US" w:eastAsia="zh-CN"/>
        </w:rPr>
      </w:pPr>
      <w:r>
        <w:rPr>
          <w:rFonts w:hint="eastAsia" w:ascii="Times New Roman" w:hAnsi="Times New Roman" w:cs="Times New Roman"/>
          <w:b/>
          <w:bCs/>
          <w:lang w:val="en-US" w:eastAsia="zh-CN"/>
        </w:rPr>
        <w:t>乡村产业项目。</w:t>
      </w:r>
      <w:r>
        <w:rPr>
          <w:rFonts w:hint="eastAsia" w:ascii="Times New Roman" w:hAnsi="Times New Roman" w:cs="Times New Roman"/>
          <w:lang w:val="en-US" w:eastAsia="zh-CN"/>
        </w:rPr>
        <w:t>建筑高度原则上不应超过18米，原则上不得建设高层建筑。位于镇区或乡集镇的或有特殊建设需求，建筑高度确需突破上述标准的，应在征求利害关系人意见的基础上，根据工程设计方案合理确定，并通过专家和相关部门论证，但建筑高度不应超过</w:t>
      </w:r>
      <w:r>
        <w:rPr>
          <w:rFonts w:hint="default" w:ascii="Times New Roman" w:hAnsi="Times New Roman" w:cs="Times New Roman"/>
          <w:lang w:val="en-US" w:eastAsia="zh-CN"/>
        </w:rPr>
        <w:t>24</w:t>
      </w:r>
      <w:r>
        <w:rPr>
          <w:rFonts w:hint="eastAsia" w:ascii="Times New Roman" w:hAnsi="Times New Roman" w:cs="Times New Roman"/>
          <w:lang w:val="en-US" w:eastAsia="zh-CN"/>
        </w:rPr>
        <w:t>米。</w:t>
      </w:r>
    </w:p>
    <w:p w14:paraId="555D074C">
      <w:pPr>
        <w:rPr>
          <w:rFonts w:hint="default" w:ascii="Times New Roman" w:hAnsi="Times New Roman" w:cs="Times New Roman"/>
          <w:lang w:val="en-US"/>
        </w:rPr>
      </w:pPr>
      <w:r>
        <w:rPr>
          <w:rFonts w:hint="eastAsia" w:ascii="Times New Roman" w:hAnsi="Times New Roman" w:cs="Times New Roman"/>
          <w:b/>
          <w:bCs/>
          <w:lang w:val="en-US" w:eastAsia="zh-CN"/>
        </w:rPr>
        <w:t>乡村基础设施项目。</w:t>
      </w:r>
      <w:r>
        <w:rPr>
          <w:rFonts w:hint="eastAsia" w:ascii="Times New Roman" w:hAnsi="Times New Roman" w:cs="Times New Roman"/>
          <w:lang w:val="en-US" w:eastAsia="zh-CN"/>
        </w:rPr>
        <w:t>建筑高度参照行业标准，结合方案合理确定。</w:t>
      </w:r>
    </w:p>
    <w:p w14:paraId="30499131">
      <w:pPr>
        <w:pStyle w:val="5"/>
        <w:ind w:firstLine="643"/>
        <w:rPr>
          <w:rFonts w:ascii="Times New Roman" w:hAnsi="Times New Roman"/>
          <w:color w:val="auto"/>
        </w:rPr>
      </w:pPr>
      <w:r>
        <w:rPr>
          <w:rFonts w:hint="eastAsia" w:ascii="Times New Roman" w:hAnsi="Times New Roman"/>
          <w:color w:val="auto"/>
        </w:rPr>
        <w:t>第</w:t>
      </w:r>
      <w:r>
        <w:rPr>
          <w:rFonts w:hint="eastAsia" w:ascii="Times New Roman" w:hAnsi="Times New Roman"/>
          <w:color w:val="auto"/>
          <w:lang w:val="en-US" w:eastAsia="zh-CN"/>
        </w:rPr>
        <w:t>十三</w:t>
      </w:r>
      <w:r>
        <w:rPr>
          <w:rFonts w:hint="eastAsia" w:ascii="Times New Roman" w:hAnsi="Times New Roman"/>
          <w:color w:val="auto"/>
        </w:rPr>
        <w:t>条 建筑间距控制</w:t>
      </w:r>
    </w:p>
    <w:p w14:paraId="0EC42B77">
      <w:pPr>
        <w:ind w:firstLine="643"/>
        <w:rPr>
          <w:color w:val="auto"/>
        </w:rPr>
      </w:pPr>
      <w:r>
        <w:rPr>
          <w:rFonts w:hint="eastAsia"/>
          <w:b/>
          <w:bCs/>
          <w:color w:val="auto"/>
        </w:rPr>
        <w:t>原址改建项目。</w:t>
      </w:r>
      <w:r>
        <w:rPr>
          <w:rFonts w:hint="eastAsia"/>
          <w:color w:val="auto"/>
        </w:rPr>
        <w:t>在不超过原地块边界、不改变原建筑高度、不影响相邻房屋安全、满足消防要求等情况下，可按现状建筑间距控制。</w:t>
      </w:r>
    </w:p>
    <w:p w14:paraId="2D06E8D8">
      <w:pPr>
        <w:ind w:firstLine="643"/>
        <w:rPr>
          <w:color w:val="auto"/>
        </w:rPr>
      </w:pPr>
      <w:r>
        <w:rPr>
          <w:rFonts w:hint="eastAsia"/>
          <w:b/>
          <w:bCs/>
          <w:color w:val="auto"/>
        </w:rPr>
        <w:t>扩建、新建项目。</w:t>
      </w:r>
      <w:r>
        <w:rPr>
          <w:rFonts w:hint="eastAsia"/>
          <w:color w:val="auto"/>
        </w:rPr>
        <w:t>不得妨碍道路交通、消防安全，不得随意侵占公共绿地、邻里通道等公共活动空间，不得影响毗邻建筑通行、主采光、排水等正常使用需求，并应符合卫生、环保、安全、文物保护等相关规范要求。</w:t>
      </w:r>
    </w:p>
    <w:p w14:paraId="2D113DC0">
      <w:pPr>
        <w:pStyle w:val="5"/>
        <w:ind w:firstLine="643"/>
        <w:rPr>
          <w:rFonts w:ascii="仿宋_GB2312"/>
          <w:bCs/>
          <w:color w:val="auto"/>
        </w:rPr>
      </w:pPr>
      <w:r>
        <w:rPr>
          <w:rFonts w:hint="eastAsia" w:ascii="Times New Roman" w:hAnsi="Times New Roman"/>
          <w:color w:val="auto"/>
        </w:rPr>
        <w:t>第</w:t>
      </w:r>
      <w:r>
        <w:rPr>
          <w:rFonts w:hint="eastAsia" w:ascii="Times New Roman" w:hAnsi="Times New Roman"/>
          <w:color w:val="auto"/>
          <w:lang w:val="en-US" w:eastAsia="zh-CN"/>
        </w:rPr>
        <w:t>十四</w:t>
      </w:r>
      <w:r>
        <w:rPr>
          <w:rFonts w:hint="eastAsia" w:ascii="Times New Roman" w:hAnsi="Times New Roman"/>
          <w:color w:val="auto"/>
        </w:rPr>
        <w:t>条 建筑退距控制</w:t>
      </w:r>
    </w:p>
    <w:p w14:paraId="4801067A">
      <w:pPr>
        <w:spacing w:line="594" w:lineRule="exact"/>
        <w:ind w:firstLine="643"/>
        <w:rPr>
          <w:color w:val="auto"/>
        </w:rPr>
      </w:pPr>
      <w:r>
        <w:rPr>
          <w:rFonts w:hint="eastAsia" w:ascii="仿宋_GB2312"/>
          <w:b/>
          <w:bCs/>
          <w:color w:val="auto"/>
        </w:rPr>
        <w:t>退让铁路。</w:t>
      </w:r>
      <w:r>
        <w:rPr>
          <w:rFonts w:hint="eastAsia"/>
          <w:color w:val="auto"/>
        </w:rPr>
        <w:t>新建、改扩建建（构）筑物应合理避让铁路线路安全保护区，退让距离应符合</w:t>
      </w:r>
      <w:r>
        <w:rPr>
          <w:rFonts w:hint="eastAsia"/>
          <w:color w:val="auto"/>
        </w:rPr>
        <w:fldChar w:fldCharType="begin"/>
      </w:r>
      <w:r>
        <w:rPr>
          <w:rFonts w:hint="eastAsia"/>
          <w:color w:val="auto"/>
        </w:rPr>
        <w:instrText xml:space="preserve"> REF _Ref233798169 \h  \* MERGEFORMAT </w:instrText>
      </w:r>
      <w:r>
        <w:rPr>
          <w:rFonts w:hint="eastAsia"/>
          <w:color w:val="auto"/>
        </w:rPr>
        <w:fldChar w:fldCharType="separate"/>
      </w:r>
      <w:r>
        <w:rPr>
          <w:rFonts w:hint="eastAsia"/>
          <w:color w:val="auto"/>
        </w:rPr>
        <w:t>《铁路安全管理条例》</w:t>
      </w:r>
      <w:r>
        <w:rPr>
          <w:rFonts w:hint="eastAsia"/>
          <w:color w:val="auto"/>
        </w:rPr>
        <w:fldChar w:fldCharType="end"/>
      </w:r>
      <w:r>
        <w:rPr>
          <w:rFonts w:hint="eastAsia"/>
          <w:color w:val="auto"/>
        </w:rPr>
        <w:t>相关管控要求。</w:t>
      </w:r>
    </w:p>
    <w:p w14:paraId="1693C3DF">
      <w:pPr>
        <w:ind w:firstLine="643"/>
        <w:rPr>
          <w:rFonts w:ascii="仿宋_GB2312"/>
          <w:color w:val="auto"/>
        </w:rPr>
      </w:pPr>
      <w:r>
        <w:rPr>
          <w:rFonts w:hint="eastAsia" w:ascii="仿宋_GB2312"/>
          <w:b/>
          <w:bCs/>
          <w:color w:val="auto"/>
        </w:rPr>
        <w:t>退让公路。</w:t>
      </w:r>
      <w:r>
        <w:rPr>
          <w:rFonts w:hint="eastAsia"/>
          <w:color w:val="auto"/>
        </w:rPr>
        <w:t>新建、改扩建建（构）筑物应合理避让公路建筑控制区，退让距离应符合</w:t>
      </w:r>
      <w:r>
        <w:rPr>
          <w:rFonts w:hint="eastAsia"/>
          <w:color w:val="auto"/>
        </w:rPr>
        <w:fldChar w:fldCharType="begin"/>
      </w:r>
      <w:r>
        <w:rPr>
          <w:rFonts w:hint="eastAsia"/>
          <w:color w:val="auto"/>
        </w:rPr>
        <w:instrText xml:space="preserve"> REF _Ref233798179 \h </w:instrText>
      </w:r>
      <w:r>
        <w:rPr>
          <w:color w:val="auto"/>
        </w:rPr>
        <w:instrText xml:space="preserve"> \* MERGEFORMAT </w:instrText>
      </w:r>
      <w:r>
        <w:rPr>
          <w:rFonts w:hint="eastAsia"/>
          <w:color w:val="auto"/>
        </w:rPr>
        <w:fldChar w:fldCharType="separate"/>
      </w:r>
      <w:r>
        <w:rPr>
          <w:rFonts w:hint="eastAsia"/>
          <w:color w:val="auto"/>
        </w:rPr>
        <w:t>《公路安全保护条例》</w:t>
      </w:r>
      <w:r>
        <w:rPr>
          <w:rFonts w:hint="eastAsia"/>
          <w:color w:val="auto"/>
        </w:rPr>
        <w:fldChar w:fldCharType="end"/>
      </w:r>
      <w:r>
        <w:rPr>
          <w:rFonts w:hint="eastAsia"/>
          <w:color w:val="auto"/>
        </w:rPr>
        <w:fldChar w:fldCharType="begin"/>
      </w:r>
      <w:r>
        <w:rPr>
          <w:rFonts w:hint="eastAsia"/>
          <w:color w:val="auto"/>
        </w:rPr>
        <w:instrText xml:space="preserve"> REF _Ref233903701 \h </w:instrText>
      </w:r>
      <w:r>
        <w:rPr>
          <w:color w:val="auto"/>
        </w:rPr>
        <w:instrText xml:space="preserve"> \* MERGEFORMAT </w:instrText>
      </w:r>
      <w:r>
        <w:rPr>
          <w:rFonts w:hint="eastAsia"/>
          <w:color w:val="auto"/>
        </w:rPr>
        <w:fldChar w:fldCharType="separate"/>
      </w:r>
      <w:r>
        <w:rPr>
          <w:rFonts w:hint="eastAsia"/>
          <w:color w:val="auto"/>
        </w:rPr>
        <w:t>《重庆市公路管理条例》</w:t>
      </w:r>
      <w:r>
        <w:rPr>
          <w:rFonts w:hint="eastAsia"/>
          <w:color w:val="auto"/>
        </w:rPr>
        <w:fldChar w:fldCharType="end"/>
      </w:r>
      <w:r>
        <w:rPr>
          <w:rFonts w:hint="eastAsia"/>
          <w:color w:val="auto"/>
        </w:rPr>
        <w:fldChar w:fldCharType="begin"/>
      </w:r>
      <w:r>
        <w:rPr>
          <w:rFonts w:hint="eastAsia"/>
          <w:color w:val="auto"/>
        </w:rPr>
        <w:instrText xml:space="preserve"> REF _Ref233798197 \h </w:instrText>
      </w:r>
      <w:r>
        <w:rPr>
          <w:color w:val="auto"/>
        </w:rPr>
        <w:instrText xml:space="preserve"> \* MERGEFORMAT </w:instrText>
      </w:r>
      <w:r>
        <w:rPr>
          <w:rFonts w:hint="eastAsia"/>
          <w:color w:val="auto"/>
        </w:rPr>
        <w:fldChar w:fldCharType="separate"/>
      </w:r>
      <w:r>
        <w:rPr>
          <w:rFonts w:hint="eastAsia"/>
          <w:color w:val="auto"/>
        </w:rPr>
        <w:t>《重庆市农村公路条例》</w:t>
      </w:r>
      <w:r>
        <w:rPr>
          <w:rFonts w:hint="eastAsia"/>
          <w:color w:val="auto"/>
        </w:rPr>
        <w:fldChar w:fldCharType="end"/>
      </w:r>
      <w:r>
        <w:rPr>
          <w:rFonts w:hint="eastAsia"/>
          <w:color w:val="auto"/>
        </w:rPr>
        <w:t>相关管控要求</w:t>
      </w:r>
      <w:r>
        <w:rPr>
          <w:rFonts w:hint="eastAsia" w:ascii="仿宋_GB2312"/>
          <w:color w:val="auto"/>
        </w:rPr>
        <w:t>。</w:t>
      </w:r>
    </w:p>
    <w:p w14:paraId="33012F29">
      <w:pPr>
        <w:ind w:firstLine="643"/>
        <w:rPr>
          <w:color w:val="auto"/>
        </w:rPr>
      </w:pPr>
      <w:r>
        <w:rPr>
          <w:rFonts w:hint="eastAsia"/>
          <w:b/>
          <w:bCs/>
          <w:color w:val="auto"/>
        </w:rPr>
        <w:t>退让河道。</w:t>
      </w:r>
      <w:r>
        <w:rPr>
          <w:rFonts w:hint="eastAsia"/>
          <w:color w:val="auto"/>
        </w:rPr>
        <w:t>新建、改扩建建（构）筑物应合理避让河道管控范围，退让距离应符合《重庆市城市规划管理技术规定》</w:t>
      </w:r>
      <w:r>
        <w:rPr>
          <w:rFonts w:hint="eastAsia"/>
          <w:color w:val="auto"/>
        </w:rPr>
        <w:fldChar w:fldCharType="begin"/>
      </w:r>
      <w:r>
        <w:rPr>
          <w:rFonts w:hint="eastAsia"/>
          <w:color w:val="auto"/>
        </w:rPr>
        <w:instrText xml:space="preserve"> REF _Ref233796519 \h </w:instrText>
      </w:r>
      <w:r>
        <w:rPr>
          <w:color w:val="auto"/>
        </w:rPr>
        <w:instrText xml:space="preserve"> \* MERGEFORMAT </w:instrText>
      </w:r>
      <w:r>
        <w:rPr>
          <w:rFonts w:hint="eastAsia"/>
          <w:color w:val="auto"/>
        </w:rPr>
        <w:fldChar w:fldCharType="separate"/>
      </w:r>
      <w:r>
        <w:rPr>
          <w:rFonts w:hint="eastAsia"/>
          <w:color w:val="auto"/>
        </w:rPr>
        <w:t>《重庆市水污染防治条例》</w:t>
      </w:r>
      <w:r>
        <w:rPr>
          <w:rFonts w:hint="eastAsia"/>
          <w:color w:val="auto"/>
        </w:rPr>
        <w:fldChar w:fldCharType="end"/>
      </w:r>
      <w:r>
        <w:rPr>
          <w:rFonts w:hint="eastAsia"/>
          <w:color w:val="auto"/>
        </w:rPr>
        <w:t>相关管控要求</w:t>
      </w:r>
      <w:r>
        <w:rPr>
          <w:rFonts w:hint="eastAsia" w:ascii="仿宋_GB2312"/>
          <w:color w:val="auto"/>
        </w:rPr>
        <w:t>。</w:t>
      </w:r>
    </w:p>
    <w:p w14:paraId="2093C354">
      <w:pPr>
        <w:ind w:left="640" w:leftChars="200" w:firstLine="0" w:firstLineChars="0"/>
      </w:pPr>
      <w:r>
        <w:rPr>
          <w:rFonts w:hint="eastAsia"/>
          <w:b/>
          <w:bCs/>
        </w:rPr>
        <w:t>退让高压电线。</w:t>
      </w:r>
      <w:r>
        <w:rPr>
          <w:rFonts w:hint="eastAsia"/>
        </w:rPr>
        <w:t>新建、改扩建建（构）筑物应合理避让电力</w:t>
      </w:r>
    </w:p>
    <w:p w14:paraId="0600C77E">
      <w:pPr>
        <w:ind w:firstLine="0" w:firstLineChars="0"/>
        <w:rPr>
          <w:rFonts w:eastAsia="方正仿宋_GB2312"/>
          <w:b/>
          <w:bCs/>
        </w:rPr>
      </w:pPr>
      <w:r>
        <w:rPr>
          <w:rFonts w:hint="eastAsia"/>
        </w:rPr>
        <w:t>线路保护区，退让距离应符合</w:t>
      </w:r>
      <w:r>
        <w:rPr>
          <w:rFonts w:hint="eastAsia"/>
        </w:rPr>
        <w:fldChar w:fldCharType="begin"/>
      </w:r>
      <w:r>
        <w:rPr>
          <w:rFonts w:hint="eastAsia"/>
        </w:rPr>
        <w:instrText xml:space="preserve"> REF _Ref233796663 \h  \* MERGEFORMAT </w:instrText>
      </w:r>
      <w:r>
        <w:rPr>
          <w:rFonts w:hint="eastAsia"/>
        </w:rPr>
        <w:fldChar w:fldCharType="separate"/>
      </w:r>
      <w:r>
        <w:rPr>
          <w:rFonts w:hint="eastAsia"/>
        </w:rPr>
        <w:t>《电力设施保护条例》</w:t>
      </w:r>
      <w:r>
        <w:rPr>
          <w:rFonts w:hint="eastAsia"/>
        </w:rPr>
        <w:fldChar w:fldCharType="end"/>
      </w:r>
      <w:r>
        <w:rPr>
          <w:rFonts w:hint="eastAsia"/>
        </w:rPr>
        <w:fldChar w:fldCharType="begin"/>
      </w:r>
      <w:r>
        <w:rPr>
          <w:rFonts w:hint="eastAsia"/>
        </w:rPr>
        <w:instrText xml:space="preserve"> REF _Ref233809884 \h  \* MERGEFORMAT </w:instrText>
      </w:r>
      <w:r>
        <w:rPr>
          <w:rFonts w:hint="eastAsia"/>
        </w:rPr>
        <w:fldChar w:fldCharType="separate"/>
      </w:r>
      <w:r>
        <w:rPr>
          <w:rFonts w:hint="eastAsia"/>
        </w:rPr>
        <w:t>《电力设施保护条例实施细则》</w:t>
      </w:r>
      <w:r>
        <w:rPr>
          <w:rFonts w:hint="eastAsia"/>
        </w:rPr>
        <w:fldChar w:fldCharType="end"/>
      </w:r>
      <w:r>
        <w:rPr>
          <w:rFonts w:hint="eastAsia"/>
        </w:rPr>
        <w:t>相关管控要求。</w:t>
      </w:r>
    </w:p>
    <w:p w14:paraId="4D96C71F">
      <w:pPr>
        <w:ind w:firstLine="643"/>
      </w:pPr>
      <w:r>
        <w:rPr>
          <w:rFonts w:hint="eastAsia"/>
          <w:b/>
          <w:bCs/>
        </w:rPr>
        <w:t>退让高压燃气管道。</w:t>
      </w:r>
      <w:r>
        <w:rPr>
          <w:rFonts w:hint="eastAsia"/>
        </w:rPr>
        <w:t>新建、改扩建建（构）筑物退让高压燃气管道距离应符合</w:t>
      </w:r>
      <w:r>
        <w:rPr>
          <w:rFonts w:hint="eastAsia"/>
        </w:rPr>
        <w:fldChar w:fldCharType="begin"/>
      </w:r>
      <w:r>
        <w:rPr>
          <w:rFonts w:hint="eastAsia"/>
        </w:rPr>
        <w:instrText xml:space="preserve"> REF _Ref233796673 \h  \* MERGEFORMAT </w:instrText>
      </w:r>
      <w:r>
        <w:rPr>
          <w:rFonts w:hint="eastAsia"/>
        </w:rPr>
        <w:fldChar w:fldCharType="separate"/>
      </w:r>
      <w:r>
        <w:rPr>
          <w:rFonts w:hint="eastAsia"/>
        </w:rPr>
        <w:t>《中华人民共和国石油天然气管道保护法》</w:t>
      </w:r>
      <w:r>
        <w:rPr>
          <w:rFonts w:hint="eastAsia"/>
        </w:rPr>
        <w:fldChar w:fldCharType="end"/>
      </w:r>
      <w:r>
        <w:rPr>
          <w:rFonts w:hint="eastAsia"/>
        </w:rPr>
        <w:t xml:space="preserve"> </w:t>
      </w:r>
      <w:r>
        <w:rPr>
          <w:rFonts w:hint="eastAsia"/>
        </w:rPr>
        <w:fldChar w:fldCharType="begin"/>
      </w:r>
      <w:r>
        <w:rPr>
          <w:rFonts w:hint="eastAsia"/>
        </w:rPr>
        <w:instrText xml:space="preserve"> REF _Ref233905554 \h  \* MERGEFORMAT </w:instrText>
      </w:r>
      <w:r>
        <w:rPr>
          <w:rFonts w:hint="eastAsia"/>
        </w:rPr>
        <w:fldChar w:fldCharType="separate"/>
      </w:r>
      <w:r>
        <w:rPr>
          <w:rFonts w:hint="eastAsia"/>
        </w:rPr>
        <w:t>《燃气工程项目规范》</w:t>
      </w:r>
      <w:r>
        <w:rPr>
          <w:rFonts w:hint="eastAsia"/>
        </w:rPr>
        <w:fldChar w:fldCharType="end"/>
      </w:r>
      <w:r>
        <w:rPr>
          <w:rFonts w:hint="eastAsia"/>
        </w:rPr>
        <w:t>相关管控要求。</w:t>
      </w:r>
    </w:p>
    <w:p w14:paraId="5BAFDEF6">
      <w:pPr>
        <w:ind w:firstLine="643"/>
      </w:pPr>
      <w:r>
        <w:rPr>
          <w:rFonts w:hint="eastAsia" w:ascii="方正仿宋_GBK" w:hAnsi="方正仿宋_GBK" w:cs="方正仿宋_GBK"/>
          <w:b/>
          <w:bCs/>
        </w:rPr>
        <w:t>退让易燃易爆危险品生产及仓库设施。</w:t>
      </w:r>
      <w:r>
        <w:rPr>
          <w:rFonts w:hint="eastAsia"/>
        </w:rPr>
        <w:t>新建、改扩建建（构）筑物退让距离应符合</w:t>
      </w:r>
      <w:r>
        <w:rPr>
          <w:rFonts w:hint="eastAsia"/>
        </w:rPr>
        <w:fldChar w:fldCharType="begin"/>
      </w:r>
      <w:r>
        <w:rPr>
          <w:rFonts w:hint="eastAsia"/>
        </w:rPr>
        <w:instrText xml:space="preserve"> REF _Ref233798548 \h  \* MERGEFORMAT </w:instrText>
      </w:r>
      <w:r>
        <w:rPr>
          <w:rFonts w:hint="eastAsia"/>
        </w:rPr>
        <w:fldChar w:fldCharType="separate"/>
      </w:r>
      <w:r>
        <w:rPr>
          <w:rFonts w:hint="eastAsia"/>
        </w:rPr>
        <w:t>《建筑防火通用规范》</w:t>
      </w:r>
      <w:r>
        <w:rPr>
          <w:rFonts w:hint="eastAsia"/>
        </w:rPr>
        <w:fldChar w:fldCharType="end"/>
      </w:r>
      <w:r>
        <w:rPr>
          <w:rFonts w:hint="eastAsia"/>
        </w:rPr>
        <w:t>《民用爆炸物品工程设计安全标准》</w:t>
      </w:r>
      <w:r>
        <w:rPr>
          <w:rFonts w:hint="eastAsia"/>
        </w:rPr>
        <w:fldChar w:fldCharType="begin"/>
      </w:r>
      <w:r>
        <w:rPr>
          <w:rFonts w:hint="eastAsia"/>
        </w:rPr>
        <w:instrText xml:space="preserve"> REF _Ref233810199 \h  \* MERGEFORMAT </w:instrText>
      </w:r>
      <w:r>
        <w:rPr>
          <w:rFonts w:hint="eastAsia"/>
        </w:rPr>
        <w:fldChar w:fldCharType="separate"/>
      </w:r>
      <w:r>
        <w:rPr>
          <w:rFonts w:hint="eastAsia"/>
        </w:rPr>
        <w:t>《烟花爆竹工程设计安全标准》</w:t>
      </w:r>
      <w:r>
        <w:rPr>
          <w:rFonts w:hint="eastAsia"/>
        </w:rPr>
        <w:fldChar w:fldCharType="end"/>
      </w:r>
      <w:r>
        <w:rPr>
          <w:rFonts w:hint="eastAsia"/>
        </w:rPr>
        <w:t>《汽车加油加气加氢站技术标准》相关管控要求。</w:t>
      </w:r>
    </w:p>
    <w:p w14:paraId="2F69F454">
      <w:pPr>
        <w:pStyle w:val="5"/>
        <w:ind w:firstLine="643"/>
        <w:rPr>
          <w:rFonts w:ascii="Times New Roman" w:hAnsi="Times New Roman"/>
        </w:rPr>
      </w:pPr>
      <w:r>
        <w:rPr>
          <w:rFonts w:hint="eastAsia" w:ascii="Times New Roman" w:hAnsi="Times New Roman"/>
        </w:rPr>
        <w:t>第十</w:t>
      </w:r>
      <w:r>
        <w:rPr>
          <w:rFonts w:hint="eastAsia" w:ascii="Times New Roman" w:hAnsi="Times New Roman"/>
          <w:lang w:val="en-US" w:eastAsia="zh-CN"/>
        </w:rPr>
        <w:t>五</w:t>
      </w:r>
      <w:r>
        <w:rPr>
          <w:rFonts w:hint="eastAsia" w:ascii="Times New Roman" w:hAnsi="Times New Roman"/>
        </w:rPr>
        <w:t>条 建筑风貌控制</w:t>
      </w:r>
    </w:p>
    <w:p w14:paraId="18F098BB">
      <w:pPr>
        <w:keepNext w:val="0"/>
        <w:keepLines w:val="0"/>
        <w:widowControl/>
        <w:suppressLineNumbers w:val="0"/>
        <w:jc w:val="left"/>
      </w:pPr>
      <w:r>
        <w:rPr>
          <w:rFonts w:hint="eastAsia"/>
        </w:rPr>
        <w:t>乡村建筑风貌可参照</w:t>
      </w:r>
      <w:r>
        <w:rPr>
          <w:rFonts w:hint="eastAsia"/>
        </w:rPr>
        <w:fldChar w:fldCharType="begin"/>
      </w:r>
      <w:r>
        <w:rPr>
          <w:rFonts w:hint="eastAsia"/>
        </w:rPr>
        <w:instrText xml:space="preserve"> REF _Ref233798597 \h </w:instrText>
      </w:r>
      <w:r>
        <w:instrText xml:space="preserve"> \* MERGEFORMAT </w:instrText>
      </w:r>
      <w:r>
        <w:rPr>
          <w:rFonts w:hint="eastAsia"/>
        </w:rPr>
        <w:fldChar w:fldCharType="separate"/>
      </w:r>
      <w:r>
        <w:rPr>
          <w:rFonts w:hint="eastAsia"/>
        </w:rPr>
        <w:t>《美丽重庆乡村风貌规划导则》</w:t>
      </w:r>
      <w:r>
        <w:rPr>
          <w:rFonts w:hint="eastAsia"/>
        </w:rPr>
        <w:fldChar w:fldCharType="end"/>
      </w:r>
      <w:r>
        <w:rPr>
          <w:rFonts w:hint="eastAsia"/>
        </w:rPr>
        <w:t>《重庆乡村传统风貌设计图则》</w:t>
      </w:r>
      <w:r>
        <w:rPr>
          <w:rFonts w:hint="eastAsia"/>
        </w:rPr>
        <w:fldChar w:fldCharType="begin"/>
      </w:r>
      <w:r>
        <w:rPr>
          <w:rFonts w:hint="eastAsia"/>
        </w:rPr>
        <w:instrText xml:space="preserve"> REF _Ref233811464 \h </w:instrText>
      </w:r>
      <w:r>
        <w:instrText xml:space="preserve"> \* MERGEFORMAT </w:instrText>
      </w:r>
      <w:r>
        <w:rPr>
          <w:rFonts w:hint="eastAsia"/>
        </w:rPr>
        <w:fldChar w:fldCharType="separate"/>
      </w:r>
      <w:r>
        <w:rPr>
          <w:rFonts w:hint="eastAsia"/>
        </w:rPr>
        <w:t>《重庆市宅基地规划布局和农村村民住宅建筑风貌指引》</w:t>
      </w:r>
      <w:r>
        <w:rPr>
          <w:rFonts w:hint="eastAsia"/>
        </w:rPr>
        <w:fldChar w:fldCharType="end"/>
      </w:r>
      <w:r>
        <w:rPr>
          <w:rFonts w:hint="eastAsia"/>
        </w:rPr>
        <w:fldChar w:fldCharType="begin"/>
      </w:r>
      <w:r>
        <w:rPr>
          <w:rFonts w:hint="eastAsia"/>
        </w:rPr>
        <w:instrText xml:space="preserve"> REF _Ref233810889 \h </w:instrText>
      </w:r>
      <w:r>
        <w:instrText xml:space="preserve"> \* MERGEFORMAT </w:instrText>
      </w:r>
      <w:r>
        <w:rPr>
          <w:rFonts w:hint="eastAsia"/>
        </w:rPr>
        <w:fldChar w:fldCharType="separate"/>
      </w:r>
      <w:r>
        <w:rPr>
          <w:rFonts w:hint="eastAsia"/>
        </w:rPr>
        <w:t>《重庆市农房建设设计导则（试行）》</w:t>
      </w:r>
      <w:r>
        <w:rPr>
          <w:rFonts w:hint="eastAsia"/>
        </w:rPr>
        <w:fldChar w:fldCharType="end"/>
      </w:r>
      <w:r>
        <w:rPr>
          <w:rFonts w:hint="eastAsia"/>
        </w:rPr>
        <w:t>等</w:t>
      </w:r>
      <w:r>
        <w:rPr>
          <w:rFonts w:hint="eastAsia"/>
          <w:lang w:val="en-US" w:eastAsia="zh-CN"/>
        </w:rPr>
        <w:t>要求</w:t>
      </w:r>
      <w:r>
        <w:rPr>
          <w:rFonts w:hint="eastAsia"/>
        </w:rPr>
        <w:t>。乡村建筑应与</w:t>
      </w:r>
      <w:r>
        <w:rPr>
          <w:rFonts w:ascii="仿宋" w:hAnsi="仿宋" w:eastAsia="仿宋" w:cs="仿宋"/>
          <w:color w:val="000000"/>
          <w:kern w:val="0"/>
          <w:sz w:val="31"/>
          <w:szCs w:val="31"/>
          <w:lang w:val="en-US" w:eastAsia="zh-CN" w:bidi="ar"/>
        </w:rPr>
        <w:t>水系、山林、农田等</w:t>
      </w:r>
      <w:r>
        <w:rPr>
          <w:rFonts w:hint="eastAsia"/>
        </w:rPr>
        <w:t>自然环境</w:t>
      </w:r>
      <w:r>
        <w:rPr>
          <w:rFonts w:hint="eastAsia"/>
          <w:lang w:val="en-US" w:eastAsia="zh-CN"/>
        </w:rPr>
        <w:t>相融合</w:t>
      </w:r>
      <w:r>
        <w:rPr>
          <w:rFonts w:hint="eastAsia"/>
        </w:rPr>
        <w:t>。位于历史文化名村</w:t>
      </w:r>
      <w:r>
        <w:rPr>
          <w:rFonts w:hint="eastAsia"/>
          <w:lang w:eastAsia="zh-CN"/>
        </w:rPr>
        <w:t>、</w:t>
      </w:r>
      <w:r>
        <w:rPr>
          <w:rFonts w:hint="eastAsia"/>
        </w:rPr>
        <w:t>传统村落</w:t>
      </w:r>
      <w:r>
        <w:t>保护范围内</w:t>
      </w:r>
      <w:r>
        <w:rPr>
          <w:rFonts w:hint="eastAsia"/>
        </w:rPr>
        <w:t>的建筑应延续传统风貌特征。</w:t>
      </w:r>
    </w:p>
    <w:p w14:paraId="34A1F44A">
      <w:pPr>
        <w:widowControl/>
        <w:spacing w:line="560" w:lineRule="exact"/>
        <w:ind w:firstLine="643" w:firstLineChars="200"/>
        <w:rPr>
          <w:rFonts w:eastAsia="方正仿宋_GBK"/>
          <w:color w:val="000000"/>
          <w:kern w:val="0"/>
          <w:sz w:val="32"/>
          <w:szCs w:val="32"/>
          <w:lang w:eastAsia="zh"/>
        </w:rPr>
      </w:pPr>
      <w:r>
        <w:rPr>
          <w:rFonts w:hint="eastAsia"/>
          <w:b/>
          <w:bCs/>
        </w:rPr>
        <w:t>建筑风格。</w:t>
      </w:r>
      <w:r>
        <w:t>鼓励采用</w:t>
      </w:r>
      <w:r>
        <w:rPr>
          <w:rFonts w:hint="eastAsia"/>
          <w:lang w:eastAsia="zh-CN"/>
        </w:rPr>
        <w:t>川东</w:t>
      </w:r>
      <w:r>
        <w:t>建筑风格，</w:t>
      </w:r>
      <w:r>
        <w:rPr>
          <w:rFonts w:hint="eastAsia"/>
          <w:color w:val="000000"/>
          <w:kern w:val="0"/>
          <w:sz w:val="32"/>
          <w:szCs w:val="32"/>
          <w:lang w:val="en-US" w:eastAsia="zh-CN"/>
        </w:rPr>
        <w:t>结合区域特征，</w:t>
      </w:r>
      <w:r>
        <w:rPr>
          <w:rFonts w:eastAsia="方正仿宋_GBK"/>
          <w:color w:val="000000"/>
          <w:kern w:val="0"/>
          <w:sz w:val="32"/>
          <w:szCs w:val="32"/>
          <w:lang w:eastAsia="zh"/>
        </w:rPr>
        <w:t>打造本地特色建造美学。禁止建设风格怪异、低俗夸张、与周边环境格格不入的</w:t>
      </w:r>
      <w:r>
        <w:rPr>
          <w:rFonts w:eastAsia="方正仿宋_GBK"/>
          <w:color w:val="auto"/>
          <w:kern w:val="0"/>
          <w:sz w:val="32"/>
          <w:szCs w:val="32"/>
          <w:lang w:eastAsia="zh"/>
        </w:rPr>
        <w:t>建筑</w:t>
      </w:r>
      <w:r>
        <w:rPr>
          <w:rFonts w:eastAsia="方正仿宋_GBK"/>
          <w:color w:val="auto"/>
          <w:kern w:val="0"/>
          <w:sz w:val="32"/>
          <w:szCs w:val="32"/>
          <w:highlight w:val="none"/>
          <w:lang w:eastAsia="zh"/>
        </w:rPr>
        <w:t>。</w:t>
      </w:r>
      <w:r>
        <w:rPr>
          <w:rFonts w:hint="default" w:ascii="方正仿宋_GBK" w:hAnsi="方正仿宋_GBK" w:eastAsia="方正仿宋_GBK" w:cs="方正仿宋_GBK"/>
          <w:color w:val="auto"/>
          <w:kern w:val="2"/>
          <w:sz w:val="32"/>
          <w:szCs w:val="32"/>
          <w:highlight w:val="none"/>
          <w:lang w:val="en-US" w:eastAsia="zh-CN" w:bidi="ar"/>
        </w:rPr>
        <w:t>农村住房风貌</w:t>
      </w:r>
      <w:r>
        <w:rPr>
          <w:rFonts w:hint="eastAsia" w:ascii="方正仿宋_GBK" w:hAnsi="方正仿宋_GBK" w:cs="方正仿宋_GBK"/>
          <w:color w:val="auto"/>
          <w:kern w:val="2"/>
          <w:sz w:val="32"/>
          <w:szCs w:val="32"/>
          <w:highlight w:val="none"/>
          <w:lang w:val="en-US" w:eastAsia="zh-CN" w:bidi="ar"/>
        </w:rPr>
        <w:t>推荐依据</w:t>
      </w:r>
      <w:r>
        <w:rPr>
          <w:rFonts w:hint="eastAsia"/>
          <w:color w:val="auto"/>
          <w:highlight w:val="none"/>
          <w:lang w:eastAsia="zh-CN"/>
        </w:rPr>
        <w:t>《</w:t>
      </w:r>
      <w:r>
        <w:rPr>
          <w:rFonts w:hint="eastAsia" w:ascii="Times New Roman" w:hAnsi="Times New Roman"/>
          <w:color w:val="auto"/>
          <w:highlight w:val="none"/>
        </w:rPr>
        <w:t>巫溪县农房建设方案推广图集》《重庆市巴渝新农村通用图集》</w:t>
      </w:r>
      <w:r>
        <w:rPr>
          <w:rFonts w:hint="eastAsia" w:ascii="Times New Roman" w:hAnsi="Times New Roman"/>
          <w:color w:val="auto"/>
          <w:highlight w:val="none"/>
          <w:lang w:eastAsia="zh-CN"/>
        </w:rPr>
        <w:t>等</w:t>
      </w:r>
      <w:r>
        <w:rPr>
          <w:rFonts w:hint="eastAsia" w:ascii="Times New Roman" w:hAnsi="Times New Roman"/>
          <w:color w:val="auto"/>
          <w:highlight w:val="none"/>
          <w:lang w:val="en-US" w:eastAsia="zh-CN"/>
        </w:rPr>
        <w:t>指引性图集</w:t>
      </w:r>
      <w:r>
        <w:rPr>
          <w:rFonts w:hint="eastAsia" w:ascii="方正仿宋_GBK" w:hAnsi="方正仿宋_GBK" w:cs="方正仿宋_GBK"/>
          <w:color w:val="0000FF"/>
          <w:kern w:val="2"/>
          <w:sz w:val="32"/>
          <w:szCs w:val="32"/>
          <w:highlight w:val="none"/>
          <w:lang w:val="en-US" w:eastAsia="zh-CN" w:bidi="ar"/>
        </w:rPr>
        <w:t>。</w:t>
      </w:r>
    </w:p>
    <w:p w14:paraId="3842DA86">
      <w:pPr>
        <w:pStyle w:val="48"/>
      </w:pPr>
      <w:r>
        <w:rPr>
          <w:rFonts w:hint="eastAsia"/>
          <w:b/>
          <w:bCs/>
        </w:rPr>
        <w:t>建筑色彩。</w:t>
      </w:r>
      <w:r>
        <w:rPr>
          <w:rFonts w:hint="eastAsia" w:ascii="Times New Roman" w:hAnsi="Times New Roman" w:cs="Times New Roman"/>
          <w:lang w:val="en-US" w:eastAsia="zh-CN"/>
        </w:rPr>
        <w:t>宜</w:t>
      </w:r>
      <w:r>
        <w:t>以</w:t>
      </w:r>
      <w:r>
        <w:rPr>
          <w:rFonts w:hint="eastAsia"/>
        </w:rPr>
        <w:t>原生材料本色</w:t>
      </w:r>
      <w:r>
        <w:t>作为主色调，与整体村容村貌相协调</w:t>
      </w:r>
      <w:r>
        <w:rPr>
          <w:rFonts w:hint="eastAsia"/>
          <w:lang w:eastAsia="zh-CN"/>
        </w:rPr>
        <w:t>。</w:t>
      </w:r>
      <w:r>
        <w:t>如传统民居常见的米白（墙）、土黄（墙）、</w:t>
      </w:r>
      <w:r>
        <w:rPr>
          <w:rFonts w:hint="eastAsia"/>
          <w:lang w:eastAsia="zh-CN"/>
        </w:rPr>
        <w:t>青</w:t>
      </w:r>
      <w:r>
        <w:t>（</w:t>
      </w:r>
      <w:r>
        <w:rPr>
          <w:rFonts w:hint="eastAsia"/>
          <w:lang w:eastAsia="zh-CN"/>
        </w:rPr>
        <w:t>瓦</w:t>
      </w:r>
      <w:r>
        <w:t>）</w:t>
      </w:r>
      <w:r>
        <w:rPr>
          <w:rFonts w:hint="eastAsia"/>
          <w:lang w:eastAsia="zh-CN"/>
        </w:rPr>
        <w:t>、</w:t>
      </w:r>
      <w:r>
        <w:rPr>
          <w:lang w:val="en-US" w:eastAsia="zh-CN"/>
        </w:rPr>
        <w:t>垒石</w:t>
      </w:r>
      <w:r>
        <w:rPr>
          <w:rFonts w:hint="eastAsia"/>
          <w:lang w:val="en-US" w:eastAsia="zh-CN"/>
        </w:rPr>
        <w:t>（裙角）</w:t>
      </w:r>
      <w:r>
        <w:t>、木褐色（柱梁）等</w:t>
      </w:r>
      <w:r>
        <w:rPr>
          <w:rFonts w:hint="eastAsia"/>
        </w:rPr>
        <w:t>，</w:t>
      </w:r>
      <w:r>
        <w:t>单栋建筑色彩不应超过三种，多栋建筑之间色彩应相互协调。</w:t>
      </w:r>
    </w:p>
    <w:p w14:paraId="35713821">
      <w:pPr>
        <w:keepNext w:val="0"/>
        <w:keepLines w:val="0"/>
        <w:widowControl/>
        <w:suppressLineNumbers w:val="0"/>
        <w:jc w:val="left"/>
        <w:rPr>
          <w:rFonts w:hint="eastAsia" w:ascii="Times New Roman" w:hAnsi="Times New Roman" w:eastAsia="方正仿宋_GBK" w:cs="Times New Roman"/>
          <w:color w:val="000000"/>
          <w:kern w:val="2"/>
          <w:sz w:val="32"/>
          <w:szCs w:val="32"/>
          <w:lang w:val="en-US" w:eastAsia="zh-CN" w:bidi="ar-SA"/>
        </w:rPr>
      </w:pPr>
      <w:r>
        <w:rPr>
          <w:rFonts w:hint="eastAsia"/>
          <w:b/>
          <w:bCs/>
        </w:rPr>
        <w:t>建筑材料。</w:t>
      </w:r>
      <w:r>
        <w:rPr>
          <w:rFonts w:hint="eastAsia" w:ascii="Times New Roman" w:hAnsi="Times New Roman"/>
          <w:color w:val="auto"/>
          <w:highlight w:val="none"/>
        </w:rPr>
        <w:t>宜就地取材，选用经久耐用、性能稳定的建材，确保建筑结构安全性。</w:t>
      </w:r>
      <w:r>
        <w:rPr>
          <w:rFonts w:hint="eastAsia" w:ascii="Times New Roman" w:hAnsi="Times New Roman" w:cs="Times New Roman"/>
          <w:color w:val="auto"/>
          <w:highlight w:val="none"/>
          <w:lang w:val="en-US" w:eastAsia="zh-CN"/>
        </w:rPr>
        <w:t>承重墙不宜采用混凝土空心小砌块，可采用烧结页岩多孔砖或实心砖；</w:t>
      </w:r>
      <w:r>
        <w:rPr>
          <w:rFonts w:hint="eastAsia" w:ascii="Times New Roman" w:hAnsi="Times New Roman" w:eastAsia="方正仿宋_GBK" w:cs="Times New Roman"/>
          <w:color w:val="000000"/>
          <w:kern w:val="2"/>
          <w:sz w:val="32"/>
          <w:szCs w:val="32"/>
          <w:lang w:val="en-US" w:eastAsia="zh-CN" w:bidi="ar-SA"/>
        </w:rPr>
        <w:t>建筑墙面</w:t>
      </w:r>
      <w:r>
        <w:rPr>
          <w:rFonts w:hint="eastAsia" w:ascii="Times New Roman" w:hAnsi="Times New Roman" w:cs="Times New Roman"/>
          <w:color w:val="000000"/>
          <w:kern w:val="2"/>
          <w:sz w:val="32"/>
          <w:szCs w:val="32"/>
          <w:lang w:val="en-US" w:eastAsia="zh-CN" w:bidi="ar-SA"/>
        </w:rPr>
        <w:t>宜</w:t>
      </w:r>
      <w:r>
        <w:rPr>
          <w:rFonts w:hint="eastAsia" w:ascii="Times New Roman" w:hAnsi="Times New Roman" w:eastAsia="方正仿宋_GBK" w:cs="Times New Roman"/>
          <w:color w:val="000000"/>
          <w:kern w:val="2"/>
          <w:sz w:val="32"/>
          <w:szCs w:val="32"/>
          <w:lang w:val="en-US" w:eastAsia="zh-CN" w:bidi="ar-SA"/>
        </w:rPr>
        <w:t>采用本地的木、石、砖或乳胶漆、仿石漆等浅色涂料</w:t>
      </w:r>
      <w:r>
        <w:rPr>
          <w:rFonts w:hint="eastAsia" w:ascii="Times New Roman" w:hAnsi="Times New Roman" w:cs="Times New Roman"/>
          <w:color w:val="000000"/>
          <w:kern w:val="2"/>
          <w:sz w:val="32"/>
          <w:szCs w:val="32"/>
          <w:lang w:val="en-US" w:eastAsia="zh-CN" w:bidi="ar-SA"/>
        </w:rPr>
        <w:t>；</w:t>
      </w:r>
      <w:r>
        <w:rPr>
          <w:rFonts w:hint="eastAsia" w:ascii="Times New Roman" w:hAnsi="Times New Roman" w:eastAsia="方正仿宋_GBK" w:cs="Times New Roman"/>
          <w:color w:val="000000"/>
          <w:kern w:val="2"/>
          <w:sz w:val="32"/>
          <w:szCs w:val="32"/>
          <w:lang w:val="en-US" w:eastAsia="zh-CN" w:bidi="ar-SA"/>
        </w:rPr>
        <w:t>建筑屋面宜采用木、砖、瓦等</w:t>
      </w:r>
      <w:r>
        <w:rPr>
          <w:rFonts w:hint="eastAsia" w:ascii="Times New Roman" w:hAnsi="Times New Roman" w:cs="Times New Roman"/>
          <w:color w:val="000000"/>
          <w:kern w:val="2"/>
          <w:sz w:val="32"/>
          <w:szCs w:val="32"/>
          <w:lang w:val="en-US" w:eastAsia="zh-CN" w:bidi="ar-SA"/>
        </w:rPr>
        <w:t>，</w:t>
      </w:r>
      <w:r>
        <w:rPr>
          <w:rFonts w:hint="eastAsia" w:ascii="Times New Roman" w:hAnsi="Times New Roman"/>
          <w:color w:val="auto"/>
          <w:highlight w:val="none"/>
        </w:rPr>
        <w:t>禁止使用高饱和度或高反射度的彩钢棚或彩钢瓦</w:t>
      </w:r>
      <w:r>
        <w:rPr>
          <w:rFonts w:hint="eastAsia" w:ascii="Times New Roman" w:hAnsi="Times New Roman" w:cs="Times New Roman"/>
          <w:color w:val="000000"/>
          <w:kern w:val="2"/>
          <w:sz w:val="32"/>
          <w:szCs w:val="32"/>
          <w:lang w:val="en-US" w:eastAsia="zh-CN" w:bidi="ar-SA"/>
        </w:rPr>
        <w:t>；</w:t>
      </w:r>
      <w:r>
        <w:rPr>
          <w:rFonts w:hint="eastAsia" w:ascii="Times New Roman" w:hAnsi="Times New Roman" w:eastAsia="方正仿宋_GBK" w:cs="Times New Roman"/>
          <w:color w:val="000000"/>
          <w:kern w:val="2"/>
          <w:sz w:val="32"/>
          <w:szCs w:val="32"/>
          <w:lang w:val="en-US" w:eastAsia="zh-CN" w:bidi="ar-SA"/>
        </w:rPr>
        <w:t>建筑门窗、栏杆等细部构件宜采用木、素色钢等。</w:t>
      </w:r>
    </w:p>
    <w:p w14:paraId="38AFAA88">
      <w:pPr>
        <w:pStyle w:val="48"/>
        <w:ind w:firstLine="643"/>
        <w:rPr>
          <w:rFonts w:hint="eastAsia" w:ascii="Times New Roman" w:hAnsi="Times New Roman" w:eastAsia="方正仿宋_GBK" w:cs="Times New Roman"/>
          <w:color w:val="000000"/>
          <w:kern w:val="2"/>
          <w:sz w:val="32"/>
          <w:szCs w:val="32"/>
          <w:lang w:val="en-US" w:eastAsia="zh-CN" w:bidi="ar-SA"/>
        </w:rPr>
      </w:pPr>
      <w:r>
        <w:rPr>
          <w:rFonts w:hint="eastAsia"/>
          <w:b/>
          <w:bCs/>
          <w:lang w:val="en-US" w:eastAsia="zh-CN"/>
        </w:rPr>
        <w:t>屋顶形式</w:t>
      </w:r>
      <w:r>
        <w:rPr>
          <w:rFonts w:hint="eastAsia"/>
          <w:b/>
          <w:bCs/>
        </w:rPr>
        <w:t>。</w:t>
      </w:r>
      <w:r>
        <w:rPr>
          <w:rFonts w:hint="eastAsia" w:ascii="Times New Roman" w:hAnsi="Times New Roman" w:cs="Times New Roman"/>
          <w:lang w:val="en-US" w:eastAsia="zh"/>
        </w:rPr>
        <w:t>宜采用坡屋顶形式</w:t>
      </w:r>
      <w:r>
        <w:rPr>
          <w:rFonts w:hint="eastAsia" w:ascii="Times New Roman" w:hAnsi="Times New Roman" w:cs="Times New Roman"/>
          <w:lang w:val="en-US" w:eastAsia="zh-CN"/>
        </w:rPr>
        <w:t>，根</w:t>
      </w:r>
      <w:r>
        <w:rPr>
          <w:rFonts w:hint="eastAsia" w:ascii="Times New Roman" w:hAnsi="Times New Roman" w:eastAsia="方正仿宋_GBK" w:cs="Times New Roman"/>
          <w:color w:val="000000"/>
          <w:kern w:val="2"/>
          <w:sz w:val="32"/>
          <w:szCs w:val="32"/>
          <w:lang w:val="en-US" w:eastAsia="zh-CN" w:bidi="ar-SA"/>
        </w:rPr>
        <w:t>据可需要采用坡屋顶（单坡、双坡、三坡、四坡）或平坡结合的屋顶形式。</w:t>
      </w:r>
    </w:p>
    <w:p w14:paraId="2DC5CE68">
      <w:pPr>
        <w:pStyle w:val="5"/>
        <w:ind w:firstLine="643"/>
        <w:rPr>
          <w:rFonts w:hint="default" w:ascii="Times New Roman" w:hAnsi="Times New Roman" w:eastAsia="楷体" w:cs="Times New Roman"/>
          <w:highlight w:val="none"/>
          <w:lang w:val="en-US" w:eastAsia="zh-CN"/>
        </w:rPr>
      </w:pPr>
      <w:r>
        <w:rPr>
          <w:rFonts w:hint="eastAsia" w:ascii="Times New Roman" w:hAnsi="Times New Roman" w:cs="Times New Roman"/>
          <w:highlight w:val="none"/>
        </w:rPr>
        <w:t>第十</w:t>
      </w:r>
      <w:r>
        <w:rPr>
          <w:rFonts w:hint="eastAsia" w:ascii="Times New Roman" w:hAnsi="Times New Roman" w:cs="Times New Roman"/>
          <w:highlight w:val="none"/>
          <w:lang w:val="en-US" w:eastAsia="zh-CN"/>
        </w:rPr>
        <w:t>四</w:t>
      </w:r>
      <w:r>
        <w:rPr>
          <w:rFonts w:hint="eastAsia" w:ascii="Times New Roman" w:hAnsi="Times New Roman" w:cs="Times New Roman"/>
          <w:highlight w:val="none"/>
        </w:rPr>
        <w:t xml:space="preserve">条 </w:t>
      </w:r>
      <w:r>
        <w:rPr>
          <w:rFonts w:hint="eastAsia" w:ascii="Times New Roman" w:hAnsi="Times New Roman" w:cs="Times New Roman"/>
          <w:highlight w:val="none"/>
          <w:lang w:val="en-US" w:eastAsia="zh-CN"/>
        </w:rPr>
        <w:t>建筑安全控制</w:t>
      </w:r>
    </w:p>
    <w:p w14:paraId="71D3260E">
      <w:pPr>
        <w:bidi w:val="0"/>
        <w:rPr>
          <w:rFonts w:hint="eastAsia"/>
          <w:highlight w:val="none"/>
        </w:rPr>
      </w:pPr>
      <w:r>
        <w:rPr>
          <w:rFonts w:hint="eastAsia" w:cs="Times New Roman"/>
          <w:b/>
          <w:bCs/>
          <w:color w:val="000000"/>
          <w:kern w:val="2"/>
          <w:sz w:val="32"/>
          <w:szCs w:val="32"/>
          <w:lang w:val="en-US" w:eastAsia="zh-CN" w:bidi="ar-SA"/>
        </w:rPr>
        <w:t>抗震</w:t>
      </w:r>
      <w:r>
        <w:rPr>
          <w:rFonts w:hint="eastAsia" w:ascii="Times New Roman" w:hAnsi="Times New Roman" w:eastAsia="方正仿宋_GBK" w:cs="Times New Roman"/>
          <w:b/>
          <w:bCs/>
          <w:color w:val="000000"/>
          <w:kern w:val="2"/>
          <w:sz w:val="32"/>
          <w:szCs w:val="32"/>
          <w:lang w:val="en-US" w:eastAsia="zh-CN" w:bidi="ar-SA"/>
        </w:rPr>
        <w:t>。</w:t>
      </w:r>
      <w:r>
        <w:rPr>
          <w:rFonts w:hint="eastAsia"/>
          <w:highlight w:val="none"/>
        </w:rPr>
        <w:t>依据</w:t>
      </w:r>
      <w:r>
        <w:rPr>
          <w:rFonts w:hint="eastAsia"/>
          <w:highlight w:val="none"/>
        </w:rPr>
        <w:fldChar w:fldCharType="begin"/>
      </w:r>
      <w:r>
        <w:rPr>
          <w:rFonts w:hint="eastAsia"/>
          <w:highlight w:val="none"/>
        </w:rPr>
        <w:instrText xml:space="preserve"> REF _Ref233811067 \h </w:instrText>
      </w:r>
      <w:r>
        <w:rPr>
          <w:highlight w:val="none"/>
        </w:rPr>
        <w:instrText xml:space="preserve"> \* MERGEFORMAT </w:instrText>
      </w:r>
      <w:r>
        <w:rPr>
          <w:rFonts w:hint="eastAsia"/>
          <w:highlight w:val="none"/>
        </w:rPr>
        <w:fldChar w:fldCharType="separate"/>
      </w:r>
      <w:r>
        <w:rPr>
          <w:rFonts w:hint="eastAsia"/>
          <w:highlight w:val="none"/>
        </w:rPr>
        <w:t>《中国地震动参数区划图》</w:t>
      </w:r>
      <w:r>
        <w:rPr>
          <w:rFonts w:hint="eastAsia"/>
          <w:highlight w:val="none"/>
        </w:rPr>
        <w:fldChar w:fldCharType="end"/>
      </w:r>
      <w:r>
        <w:rPr>
          <w:rFonts w:hint="eastAsia"/>
          <w:highlight w:val="none"/>
        </w:rPr>
        <w:t>《建筑与市政工程抗震通用规范》</w:t>
      </w:r>
      <w:r>
        <w:rPr>
          <w:rFonts w:hint="eastAsia"/>
          <w:highlight w:val="none"/>
          <w:lang w:eastAsia="zh-CN"/>
        </w:rPr>
        <w:t>，</w:t>
      </w:r>
      <w:r>
        <w:rPr>
          <w:rFonts w:hint="eastAsia" w:ascii="Times New Roman" w:hAnsi="Times New Roman" w:eastAsia="方正仿宋_GBK" w:cs="Times New Roman"/>
          <w:color w:val="000000"/>
          <w:kern w:val="2"/>
          <w:sz w:val="32"/>
          <w:szCs w:val="32"/>
          <w:lang w:val="en-US" w:eastAsia="zh-CN" w:bidi="ar-SA"/>
        </w:rPr>
        <w:t>“通则”适用范围内</w:t>
      </w:r>
      <w:r>
        <w:rPr>
          <w:rFonts w:hint="eastAsia"/>
          <w:highlight w:val="none"/>
          <w:lang w:eastAsia="zh-CN"/>
        </w:rPr>
        <w:t>的</w:t>
      </w:r>
      <w:r>
        <w:rPr>
          <w:rFonts w:hint="eastAsia"/>
          <w:highlight w:val="none"/>
        </w:rPr>
        <w:t>乡村地区</w:t>
      </w:r>
      <w:r>
        <w:rPr>
          <w:rFonts w:hint="eastAsia" w:ascii="Times New Roman" w:hAnsi="Times New Roman" w:eastAsia="方正仿宋_GBK" w:cs="Times New Roman"/>
          <w:color w:val="000000"/>
          <w:kern w:val="2"/>
          <w:sz w:val="32"/>
          <w:szCs w:val="32"/>
          <w:lang w:val="en-US" w:eastAsia="zh-CN" w:bidi="ar-SA"/>
        </w:rPr>
        <w:t>按照地震基本烈度6度抗震设防，城市生命线工程及其他重要建筑工程均应提高一级设防</w:t>
      </w:r>
      <w:r>
        <w:rPr>
          <w:rFonts w:hint="eastAsia" w:cs="Times New Roman"/>
          <w:color w:val="000000"/>
          <w:kern w:val="2"/>
          <w:sz w:val="32"/>
          <w:szCs w:val="32"/>
          <w:lang w:val="en-US" w:eastAsia="zh-CN" w:bidi="ar-SA"/>
        </w:rPr>
        <w:t>。</w:t>
      </w:r>
    </w:p>
    <w:p w14:paraId="6CA6401B">
      <w:pPr>
        <w:bidi w:val="0"/>
        <w:rPr>
          <w:rFonts w:hint="eastAsia"/>
          <w:highlight w:val="none"/>
        </w:rPr>
      </w:pPr>
      <w:r>
        <w:rPr>
          <w:rFonts w:hint="eastAsia"/>
          <w:highlight w:val="none"/>
        </w:rPr>
        <w:t>防洪排涝</w:t>
      </w:r>
      <w:r>
        <w:rPr>
          <w:rFonts w:hint="eastAsia"/>
          <w:highlight w:val="none"/>
          <w:lang w:eastAsia="zh-CN"/>
        </w:rPr>
        <w:t>、</w:t>
      </w:r>
      <w:r>
        <w:rPr>
          <w:rFonts w:hint="eastAsia"/>
          <w:highlight w:val="none"/>
        </w:rPr>
        <w:t>地质灾害防治</w:t>
      </w:r>
      <w:r>
        <w:rPr>
          <w:rFonts w:hint="eastAsia"/>
          <w:highlight w:val="none"/>
          <w:lang w:val="en-US" w:eastAsia="zh-CN"/>
        </w:rPr>
        <w:t>要求依照第六条第四款执行</w:t>
      </w:r>
      <w:r>
        <w:rPr>
          <w:rFonts w:hint="eastAsia"/>
          <w:highlight w:val="none"/>
          <w:lang w:eastAsia="zh-CN"/>
        </w:rPr>
        <w:t>。</w:t>
      </w:r>
    </w:p>
    <w:p w14:paraId="52FB7B4B">
      <w:pPr>
        <w:bidi w:val="0"/>
        <w:rPr>
          <w:rFonts w:hint="eastAsia"/>
          <w:highlight w:val="none"/>
          <w:lang w:val="en-US" w:eastAsia="zh-CN"/>
        </w:rPr>
      </w:pPr>
      <w:r>
        <w:rPr>
          <w:rFonts w:hint="eastAsia"/>
          <w:highlight w:val="none"/>
        </w:rPr>
        <w:t>消防</w:t>
      </w:r>
      <w:r>
        <w:rPr>
          <w:rFonts w:hint="eastAsia"/>
          <w:highlight w:val="none"/>
          <w:lang w:val="en-US" w:eastAsia="zh-CN"/>
        </w:rPr>
        <w:t>建设要求依照第十一条第四款执行。</w:t>
      </w:r>
    </w:p>
    <w:p w14:paraId="25543245">
      <w:pPr>
        <w:bidi w:val="0"/>
        <w:rPr>
          <w:rFonts w:hint="eastAsia"/>
          <w:highlight w:val="none"/>
        </w:rPr>
      </w:pPr>
      <w:r>
        <w:rPr>
          <w:rFonts w:hint="eastAsia"/>
          <w:highlight w:val="none"/>
          <w:lang w:val="en-US" w:eastAsia="zh-CN"/>
        </w:rPr>
        <w:t>其他安全控制要求</w:t>
      </w:r>
      <w:r>
        <w:rPr>
          <w:rFonts w:hint="eastAsia" w:ascii="Times New Roman" w:hAnsi="Times New Roman" w:eastAsia="方正仿宋_GBK" w:cs="Times New Roman"/>
          <w:sz w:val="32"/>
          <w:szCs w:val="32"/>
        </w:rPr>
        <w:t>按照国家、市有关规定执行。</w:t>
      </w:r>
    </w:p>
    <w:p w14:paraId="0FCC78C9">
      <w:pPr>
        <w:pStyle w:val="4"/>
        <w:adjustRightInd/>
        <w:snapToGrid/>
        <w:spacing w:before="340" w:after="330"/>
        <w:rPr>
          <w:rFonts w:hint="eastAsia"/>
          <w:bCs/>
        </w:rPr>
      </w:pPr>
      <w:r>
        <w:rPr>
          <w:rFonts w:hint="eastAsia"/>
          <w:bCs/>
        </w:rPr>
        <w:t>第</w:t>
      </w:r>
      <w:r>
        <w:rPr>
          <w:rFonts w:hint="eastAsia"/>
          <w:bCs/>
          <w:lang w:eastAsia="zh-CN"/>
        </w:rPr>
        <w:t>五</w:t>
      </w:r>
      <w:r>
        <w:rPr>
          <w:rFonts w:hint="eastAsia"/>
          <w:bCs/>
        </w:rPr>
        <w:t>章</w:t>
      </w:r>
      <w:r>
        <w:rPr>
          <w:rFonts w:hint="eastAsia"/>
          <w:bCs/>
          <w:lang w:val="en-US" w:eastAsia="zh-CN"/>
        </w:rPr>
        <w:t xml:space="preserve">  </w:t>
      </w:r>
      <w:r>
        <w:rPr>
          <w:rFonts w:hint="eastAsia"/>
          <w:bCs/>
          <w:lang w:eastAsia="zh-CN"/>
        </w:rPr>
        <w:t>重点</w:t>
      </w:r>
      <w:r>
        <w:rPr>
          <w:rFonts w:hint="eastAsia"/>
          <w:bCs/>
        </w:rPr>
        <w:t>地块图则</w:t>
      </w:r>
    </w:p>
    <w:p w14:paraId="48510FBB">
      <w:pPr>
        <w:keepNext w:val="0"/>
        <w:keepLines w:val="0"/>
        <w:widowControl/>
        <w:suppressLineNumbers w:val="0"/>
        <w:jc w:val="left"/>
      </w:pPr>
      <w:r>
        <w:rPr>
          <w:rFonts w:hint="eastAsia"/>
        </w:rPr>
        <w:t>乡村产业项目（商业服务业用地、工业用地、物流仓储用地）根据许可管理需要原则上宜编制地块图则，明确控制内容，作为核发乡村建设规划许可的依据。其他乡村建设项目，可结合本地乡村地区发展实际情况与建设管理需求，按需编制地块图则。</w:t>
      </w:r>
    </w:p>
    <w:p w14:paraId="3B482A66">
      <w:pPr>
        <w:pStyle w:val="5"/>
        <w:ind w:firstLine="643"/>
        <w:rPr>
          <w:rFonts w:hint="default" w:ascii="Times New Roman" w:hAnsi="Times New Roman"/>
          <w:lang w:val="en-US" w:eastAsia="zh-CN"/>
        </w:rPr>
      </w:pPr>
      <w:r>
        <w:rPr>
          <w:rFonts w:hint="eastAsia" w:ascii="Times New Roman" w:hAnsi="Times New Roman"/>
          <w:lang w:val="en-US" w:eastAsia="zh-CN"/>
        </w:rPr>
        <w:t>第十六条 编制要求</w:t>
      </w:r>
    </w:p>
    <w:p w14:paraId="10658523">
      <w:pPr>
        <w:pStyle w:val="48"/>
        <w:rPr>
          <w:rFonts w:hint="eastAsia" w:ascii="Times New Roman" w:hAnsi="Times New Roman" w:cs="Times New Roman"/>
          <w:b/>
          <w:bCs/>
          <w:lang w:val="en-US" w:eastAsia="zh-CN"/>
        </w:rPr>
      </w:pPr>
      <w:r>
        <w:rPr>
          <w:rFonts w:hint="eastAsia" w:ascii="Times New Roman" w:hAnsi="Times New Roman" w:cs="Times New Roman"/>
        </w:rPr>
        <w:t>采用2000国家大地坐标系（CGCS2000），高程基准采用1985国家高程基准。图则矢量制作比例尺一般采用1:1000或1:2000</w:t>
      </w:r>
      <w:r>
        <w:rPr>
          <w:rFonts w:hint="eastAsia" w:ascii="Times New Roman" w:hAnsi="Times New Roman" w:cs="Times New Roman"/>
          <w:lang w:eastAsia="zh-CN"/>
        </w:rPr>
        <w:t>，</w:t>
      </w:r>
      <w:r>
        <w:rPr>
          <w:rFonts w:hint="eastAsia" w:ascii="Times New Roman" w:hAnsi="Times New Roman" w:cs="Times New Roman"/>
          <w:lang w:val="en-US" w:eastAsia="zh-CN"/>
        </w:rPr>
        <w:t>可</w:t>
      </w:r>
      <w:r>
        <w:rPr>
          <w:rFonts w:hint="eastAsia" w:ascii="Times New Roman" w:hAnsi="Times New Roman" w:cs="Times New Roman"/>
        </w:rPr>
        <w:t>根据乡村地区的实际情况和规划管理需求</w:t>
      </w:r>
      <w:r>
        <w:rPr>
          <w:rFonts w:hint="eastAsia" w:ascii="Times New Roman" w:hAnsi="Times New Roman" w:cs="Times New Roman"/>
          <w:lang w:val="en-US" w:eastAsia="zh-CN"/>
        </w:rPr>
        <w:t>适当调整</w:t>
      </w:r>
      <w:r>
        <w:rPr>
          <w:rFonts w:hint="eastAsia" w:ascii="Times New Roman" w:hAnsi="Times New Roman" w:cs="Times New Roman"/>
        </w:rPr>
        <w:t>，但不应小于1:2000</w:t>
      </w:r>
      <w:r>
        <w:rPr>
          <w:rFonts w:hint="eastAsia" w:ascii="Times New Roman" w:hAnsi="Times New Roman" w:cs="Times New Roman"/>
          <w:lang w:eastAsia="zh-CN"/>
        </w:rPr>
        <w:t>。</w:t>
      </w:r>
    </w:p>
    <w:p w14:paraId="5295BF1C">
      <w:pPr>
        <w:keepNext w:val="0"/>
        <w:keepLines w:val="0"/>
        <w:widowControl/>
        <w:suppressLineNumbers w:val="0"/>
        <w:jc w:val="left"/>
      </w:pPr>
      <w:r>
        <w:rPr>
          <w:rFonts w:hint="eastAsia" w:ascii="Times New Roman" w:hAnsi="Times New Roman" w:cs="Times New Roman"/>
          <w:lang w:val="en-US" w:eastAsia="zh-CN"/>
        </w:rPr>
        <w:t>重点</w:t>
      </w:r>
      <w:r>
        <w:rPr>
          <w:rFonts w:hint="eastAsia" w:ascii="Times New Roman" w:hAnsi="Times New Roman" w:cs="Times New Roman"/>
        </w:rPr>
        <w:t>地块图则包括地块基本情况（地块编号、地块位置）、上位规划传导落实情况和规划设计要求（用地性质、用地面积、容积率、建筑高度与层数、建筑密度/系数、绿地率、建筑退距、配建要求、主要出入口等），并提出引导性风貌管控要求。</w:t>
      </w:r>
    </w:p>
    <w:p w14:paraId="4F095FE2">
      <w:pPr>
        <w:pStyle w:val="5"/>
        <w:ind w:firstLine="643"/>
        <w:rPr>
          <w:rFonts w:hint="eastAsia" w:ascii="Times New Roman" w:hAnsi="Times New Roman"/>
          <w:lang w:val="en-US" w:eastAsia="zh-CN"/>
        </w:rPr>
      </w:pPr>
      <w:bookmarkStart w:id="17" w:name="_Toc4712"/>
      <w:r>
        <w:rPr>
          <w:rFonts w:hint="eastAsia" w:ascii="Times New Roman" w:hAnsi="Times New Roman"/>
          <w:lang w:val="en-US" w:eastAsia="zh-CN"/>
        </w:rPr>
        <w:t>第十七条 程序要求</w:t>
      </w:r>
      <w:bookmarkEnd w:id="17"/>
    </w:p>
    <w:p w14:paraId="23E1F69C">
      <w:pPr>
        <w:keepNext w:val="0"/>
        <w:keepLines w:val="0"/>
        <w:widowControl/>
        <w:suppressLineNumbers w:val="0"/>
        <w:jc w:val="left"/>
      </w:pPr>
      <w:r>
        <w:rPr>
          <w:rFonts w:hint="eastAsia" w:ascii="Times New Roman" w:hAnsi="Times New Roman" w:cs="Times New Roman"/>
          <w:lang w:val="en-US" w:eastAsia="zh"/>
        </w:rPr>
        <w:t>编制“通则”时，已明确具体用地范围和用途的项目</w:t>
      </w:r>
      <w:r>
        <w:rPr>
          <w:rFonts w:hint="eastAsia" w:ascii="Times New Roman" w:hAnsi="Times New Roman" w:cs="Times New Roman"/>
          <w:lang w:val="en-US" w:eastAsia="zh-CN"/>
        </w:rPr>
        <w:t>，其地块图则可与“通则”同时编制、一同报批，其余项目可在“通则”批准后，结合乡村项目建设需要单独编制。与“通则”同步编制的，其编制和审批程序按照“通则”相关规定执行。单独编制的，由县规划自然资源局或乡镇人民政府（街道办事处）组织编制。编制完成后，按照有关规定予以公示，充分征求</w:t>
      </w:r>
      <w:r>
        <w:rPr>
          <w:rFonts w:hint="eastAsia" w:cs="Times New Roman"/>
          <w:lang w:val="en-US" w:eastAsia="zh-CN"/>
        </w:rPr>
        <w:t>、</w:t>
      </w:r>
      <w:r>
        <w:rPr>
          <w:rFonts w:hint="eastAsia" w:ascii="Times New Roman" w:hAnsi="Times New Roman" w:cs="Times New Roman"/>
          <w:lang w:val="en-US" w:eastAsia="zh-CN"/>
        </w:rPr>
        <w:t>听取村民意见，公示期不少于7日。公示期满无异议的，由县规划自然资源局会同相关部门审查。审查通过后，由县规划自然资源局在30日内将图则成果及数据库报送市规划自然资源局入库，纳入国土空间规划“一张图”进行监管。</w:t>
      </w:r>
    </w:p>
    <w:p w14:paraId="098C5BF1">
      <w:pPr>
        <w:pStyle w:val="4"/>
        <w:adjustRightInd/>
        <w:snapToGrid/>
        <w:spacing w:before="340" w:after="330"/>
        <w:rPr>
          <w:bCs/>
        </w:rPr>
      </w:pPr>
      <w:bookmarkStart w:id="18" w:name="_Toc713"/>
      <w:r>
        <w:rPr>
          <w:bCs/>
        </w:rPr>
        <w:t>第</w:t>
      </w:r>
      <w:r>
        <w:rPr>
          <w:rFonts w:hint="eastAsia"/>
          <w:bCs/>
          <w:lang w:eastAsia="zh-CN"/>
        </w:rPr>
        <w:t>六</w:t>
      </w:r>
      <w:r>
        <w:rPr>
          <w:rFonts w:hint="eastAsia"/>
          <w:bCs/>
        </w:rPr>
        <w:t>章</w:t>
      </w:r>
      <w:r>
        <w:rPr>
          <w:bCs/>
        </w:rPr>
        <w:t xml:space="preserve"> </w:t>
      </w:r>
      <w:r>
        <w:rPr>
          <w:rFonts w:hint="eastAsia"/>
          <w:bCs/>
        </w:rPr>
        <w:t>实施管理</w:t>
      </w:r>
      <w:bookmarkEnd w:id="18"/>
    </w:p>
    <w:p w14:paraId="3927EE73">
      <w:pPr>
        <w:pStyle w:val="5"/>
        <w:ind w:firstLine="643"/>
        <w:rPr>
          <w:rFonts w:ascii="Times New Roman" w:hAnsi="Times New Roman"/>
        </w:rPr>
      </w:pPr>
      <w:bookmarkStart w:id="19" w:name="_Toc30043"/>
      <w:r>
        <w:rPr>
          <w:rFonts w:hint="eastAsia" w:ascii="Times New Roman" w:hAnsi="Times New Roman"/>
        </w:rPr>
        <w:t>第十</w:t>
      </w:r>
      <w:r>
        <w:rPr>
          <w:rFonts w:hint="eastAsia" w:ascii="Times New Roman" w:hAnsi="Times New Roman"/>
          <w:lang w:eastAsia="zh-CN"/>
        </w:rPr>
        <w:t>八</w:t>
      </w:r>
      <w:r>
        <w:rPr>
          <w:rFonts w:hint="eastAsia" w:ascii="Times New Roman" w:hAnsi="Times New Roman"/>
        </w:rPr>
        <w:t>条 实施依据</w:t>
      </w:r>
      <w:bookmarkEnd w:id="19"/>
    </w:p>
    <w:p w14:paraId="324E7279">
      <w:pPr>
        <w:pStyle w:val="48"/>
        <w:rPr>
          <w:rFonts w:hint="eastAsia"/>
        </w:rPr>
      </w:pPr>
      <w:r>
        <w:rPr>
          <w:rFonts w:hint="eastAsia"/>
        </w:rPr>
        <w:t>“通则”经</w:t>
      </w:r>
      <w:r>
        <w:rPr>
          <w:rFonts w:hint="eastAsia"/>
          <w:lang w:val="en-US" w:eastAsia="zh-CN"/>
        </w:rPr>
        <w:t>巫溪县</w:t>
      </w:r>
      <w:r>
        <w:rPr>
          <w:rFonts w:hint="eastAsia"/>
        </w:rPr>
        <w:t>人民政府依法审批后可作为</w:t>
      </w:r>
      <w:r>
        <w:rPr>
          <w:rFonts w:hint="eastAsia"/>
          <w:lang w:val="en-US" w:eastAsia="zh-CN"/>
        </w:rPr>
        <w:t>巫溪县</w:t>
      </w:r>
      <w:r>
        <w:rPr>
          <w:rFonts w:hint="eastAsia"/>
        </w:rPr>
        <w:t>乡村建设项目办理农用地转用和乡村建设规划许可的依据。办理农用地转用可以直接依据“通则”办理</w:t>
      </w:r>
      <w:r>
        <w:rPr>
          <w:rFonts w:hint="eastAsia"/>
          <w:lang w:eastAsia="zh-CN"/>
        </w:rPr>
        <w:t>，</w:t>
      </w:r>
      <w:r>
        <w:rPr>
          <w:rFonts w:hint="eastAsia" w:ascii="Times New Roman" w:hAnsi="Times New Roman" w:eastAsia="方正仿宋_GBK" w:cs="Times New Roman"/>
          <w:sz w:val="32"/>
          <w:szCs w:val="32"/>
        </w:rPr>
        <w:t>乡村产业项目需在办理农用地转用前纳入“一张图”管理</w:t>
      </w:r>
      <w:r>
        <w:rPr>
          <w:rFonts w:hint="eastAsia"/>
        </w:rPr>
        <w:t>。办理规划乡村建设规划许可分为直接依据“通则”办理和需补充编制地块图则后办理两种情形，详见</w:t>
      </w:r>
      <w:r>
        <w:rPr>
          <w:rFonts w:hint="eastAsia"/>
          <w:lang w:val="en-US" w:eastAsia="zh-CN"/>
        </w:rPr>
        <w:t>附录</w:t>
      </w:r>
      <w:r>
        <w:rPr>
          <w:rFonts w:hint="eastAsia"/>
        </w:rPr>
        <w:t>2。</w:t>
      </w:r>
    </w:p>
    <w:p w14:paraId="5D957EBC">
      <w:pPr>
        <w:pStyle w:val="5"/>
        <w:ind w:firstLine="643"/>
        <w:rPr>
          <w:rFonts w:ascii="Times New Roman" w:hAnsi="Times New Roman"/>
        </w:rPr>
      </w:pPr>
      <w:bookmarkStart w:id="20" w:name="_Toc18929"/>
      <w:r>
        <w:rPr>
          <w:rFonts w:hint="eastAsia" w:ascii="Times New Roman" w:hAnsi="Times New Roman"/>
        </w:rPr>
        <w:t>第</w:t>
      </w:r>
      <w:r>
        <w:rPr>
          <w:rFonts w:hint="eastAsia" w:ascii="Times New Roman" w:hAnsi="Times New Roman"/>
          <w:lang w:eastAsia="zh-CN"/>
        </w:rPr>
        <w:t>十九</w:t>
      </w:r>
      <w:r>
        <w:rPr>
          <w:rFonts w:hint="eastAsia" w:ascii="Times New Roman" w:hAnsi="Times New Roman"/>
        </w:rPr>
        <w:t>条 动态调整</w:t>
      </w:r>
      <w:bookmarkEnd w:id="20"/>
    </w:p>
    <w:p w14:paraId="028B9FE4">
      <w:pPr>
        <w:pStyle w:val="48"/>
      </w:pPr>
      <w:r>
        <w:rPr>
          <w:rFonts w:hint="eastAsia"/>
        </w:rPr>
        <w:t>“通则”</w:t>
      </w:r>
      <w:r>
        <w:rPr>
          <w:rFonts w:hint="eastAsia"/>
          <w:lang w:val="en-US" w:eastAsia="zh-CN"/>
        </w:rPr>
        <w:t>批准</w:t>
      </w:r>
      <w:r>
        <w:rPr>
          <w:rFonts w:hint="eastAsia"/>
          <w:lang w:bidi="ar"/>
        </w:rPr>
        <w:t>后</w:t>
      </w:r>
      <w:r>
        <w:rPr>
          <w:rFonts w:hint="eastAsia"/>
        </w:rPr>
        <w:t>，组织编制机关应根据实施情况适时开展评估调整，因上位规划变化、乡村自然资源保护治理利用需要以及审批机关确定的其他情形确需修改“通则”的，</w:t>
      </w:r>
      <w:r>
        <w:rPr>
          <w:rFonts w:hint="eastAsia" w:ascii="Times New Roman" w:hAnsi="Times New Roman" w:eastAsia="方正仿宋_GBK" w:cs="Times New Roman"/>
          <w:sz w:val="32"/>
          <w:szCs w:val="32"/>
          <w:lang w:val="en-US" w:eastAsia="zh-CN"/>
        </w:rPr>
        <w:t>由组织编制机关</w:t>
      </w:r>
      <w:r>
        <w:rPr>
          <w:rFonts w:hint="eastAsia"/>
        </w:rPr>
        <w:t>按照原审批程序组织修改、报批。</w:t>
      </w:r>
    </w:p>
    <w:p w14:paraId="7D119A4E">
      <w:pPr>
        <w:pStyle w:val="48"/>
      </w:pPr>
      <w:r>
        <w:rPr>
          <w:rFonts w:hint="eastAsia"/>
        </w:rPr>
        <w:t>“通则”修改原则上不能</w:t>
      </w:r>
      <w:r>
        <w:rPr>
          <w:rFonts w:hint="eastAsia"/>
          <w:lang w:val="en-US" w:eastAsia="zh-CN"/>
        </w:rPr>
        <w:t>突破巫溪县</w:t>
      </w:r>
      <w:r>
        <w:rPr>
          <w:rFonts w:hint="eastAsia"/>
        </w:rPr>
        <w:t>国土空间总体规划确定的强制性内容、约束性指标，确需调整的，必须按照法定程序先修改</w:t>
      </w:r>
      <w:r>
        <w:rPr>
          <w:rFonts w:hint="eastAsia"/>
          <w:lang w:val="en-US" w:eastAsia="zh-CN"/>
        </w:rPr>
        <w:t>巫溪县</w:t>
      </w:r>
      <w:r>
        <w:rPr>
          <w:rFonts w:hint="eastAsia"/>
        </w:rPr>
        <w:t>国土空间总体规划。若因</w:t>
      </w:r>
      <w:r>
        <w:rPr>
          <w:rFonts w:hint="eastAsia"/>
          <w:lang w:val="en-US" w:eastAsia="zh-CN"/>
        </w:rPr>
        <w:t>巫溪县</w:t>
      </w:r>
      <w:r>
        <w:rPr>
          <w:rFonts w:hint="eastAsia"/>
        </w:rPr>
        <w:t>国土空间总体规划等上位规划变化导致“通则”底线管控要求变化的，按照相关规定进行数据库维护。</w:t>
      </w:r>
    </w:p>
    <w:p w14:paraId="2DACAE5E">
      <w:pPr>
        <w:pStyle w:val="48"/>
        <w:rPr>
          <w:rFonts w:hint="eastAsia"/>
        </w:rPr>
      </w:pPr>
      <w:r>
        <w:rPr>
          <w:rFonts w:hint="eastAsia"/>
        </w:rPr>
        <w:t>“通则”</w:t>
      </w:r>
      <w:r>
        <w:rPr>
          <w:rFonts w:hint="eastAsia"/>
          <w:lang w:val="en-US" w:eastAsia="zh-CN"/>
        </w:rPr>
        <w:t>批准</w:t>
      </w:r>
      <w:r>
        <w:rPr>
          <w:rFonts w:hint="eastAsia"/>
        </w:rPr>
        <w:t>后，适用范围内新编制的村庄规划经依法批准、成果入库后以及城镇开发边界动态调整</w:t>
      </w:r>
      <w:r>
        <w:rPr>
          <w:rFonts w:hint="eastAsia"/>
          <w:lang w:val="en-US" w:eastAsia="zh-CN"/>
        </w:rPr>
        <w:t>的</w:t>
      </w:r>
      <w:r>
        <w:rPr>
          <w:rFonts w:hint="eastAsia"/>
        </w:rPr>
        <w:t>，可</w:t>
      </w:r>
      <w:r>
        <w:rPr>
          <w:rFonts w:hint="eastAsia"/>
          <w:lang w:val="en-US" w:eastAsia="zh-CN"/>
        </w:rPr>
        <w:t>同步对</w:t>
      </w:r>
      <w:r>
        <w:rPr>
          <w:rFonts w:hint="eastAsia"/>
        </w:rPr>
        <w:t>“通则”适用范围进行维护更新，无需按照原审批程序组织修改、报批。</w:t>
      </w:r>
      <w:bookmarkStart w:id="21" w:name="_Toc13340"/>
      <w:bookmarkStart w:id="22" w:name="_Toc8446"/>
      <w:bookmarkStart w:id="23" w:name="_Toc6042"/>
    </w:p>
    <w:p w14:paraId="22CCB03F">
      <w:pPr>
        <w:pStyle w:val="4"/>
        <w:adjustRightInd/>
        <w:snapToGrid/>
        <w:spacing w:before="340" w:after="330"/>
        <w:rPr>
          <w:bCs/>
        </w:rPr>
      </w:pPr>
      <w:r>
        <w:rPr>
          <w:bCs/>
        </w:rPr>
        <w:t>附则</w:t>
      </w:r>
      <w:bookmarkEnd w:id="21"/>
      <w:bookmarkEnd w:id="22"/>
      <w:bookmarkEnd w:id="23"/>
    </w:p>
    <w:p w14:paraId="2216213E">
      <w:pPr>
        <w:pStyle w:val="5"/>
        <w:ind w:firstLine="643"/>
        <w:rPr>
          <w:rFonts w:ascii="Times New Roman" w:hAnsi="Times New Roman" w:cs="Times New Roman"/>
        </w:rPr>
      </w:pPr>
      <w:bookmarkStart w:id="24" w:name="_Toc20569"/>
      <w:r>
        <w:rPr>
          <w:rFonts w:hint="eastAsia" w:ascii="Times New Roman" w:hAnsi="Times New Roman" w:cs="Times New Roman"/>
        </w:rPr>
        <w:t>第二十条 解释权</w:t>
      </w:r>
      <w:bookmarkEnd w:id="24"/>
    </w:p>
    <w:p w14:paraId="7A3AA047">
      <w:pPr>
        <w:keepNext w:val="0"/>
        <w:keepLines w:val="0"/>
        <w:widowControl/>
        <w:suppressLineNumbers w:val="0"/>
        <w:jc w:val="left"/>
      </w:pPr>
      <w:r>
        <w:rPr>
          <w:rFonts w:hint="eastAsia" w:ascii="Times New Roman" w:hAnsi="Times New Roman" w:cs="Times New Roman"/>
        </w:rPr>
        <w:t>“通则”</w:t>
      </w:r>
      <w:r>
        <w:rPr>
          <w:rFonts w:ascii="仿宋" w:hAnsi="仿宋" w:eastAsia="仿宋" w:cs="仿宋"/>
          <w:color w:val="000000"/>
          <w:kern w:val="0"/>
          <w:sz w:val="31"/>
          <w:szCs w:val="31"/>
          <w:lang w:val="en-US" w:eastAsia="zh-CN" w:bidi="ar"/>
        </w:rPr>
        <w:t>由</w:t>
      </w:r>
      <w:r>
        <w:rPr>
          <w:rFonts w:hint="eastAsia" w:ascii="仿宋" w:hAnsi="仿宋" w:eastAsia="仿宋" w:cs="仿宋"/>
          <w:color w:val="000000"/>
          <w:kern w:val="0"/>
          <w:sz w:val="31"/>
          <w:szCs w:val="31"/>
          <w:lang w:val="en-US" w:eastAsia="zh-CN" w:bidi="ar"/>
        </w:rPr>
        <w:t>巫溪县</w:t>
      </w:r>
      <w:r>
        <w:rPr>
          <w:rFonts w:ascii="仿宋" w:hAnsi="仿宋" w:eastAsia="仿宋" w:cs="仿宋"/>
          <w:color w:val="000000"/>
          <w:kern w:val="0"/>
          <w:sz w:val="31"/>
          <w:szCs w:val="31"/>
          <w:lang w:val="en-US" w:eastAsia="zh-CN" w:bidi="ar"/>
        </w:rPr>
        <w:t>规划和自然资源局负责解释。</w:t>
      </w:r>
    </w:p>
    <w:p w14:paraId="7A7FC1D3">
      <w:pPr>
        <w:pStyle w:val="5"/>
        <w:ind w:firstLine="643"/>
        <w:rPr>
          <w:rFonts w:ascii="Times New Roman" w:hAnsi="Times New Roman"/>
        </w:rPr>
      </w:pPr>
      <w:bookmarkStart w:id="25" w:name="_Toc19446"/>
      <w:r>
        <w:rPr>
          <w:rFonts w:hint="eastAsia" w:ascii="Times New Roman" w:hAnsi="Times New Roman"/>
        </w:rPr>
        <w:t>第二十</w:t>
      </w:r>
      <w:r>
        <w:rPr>
          <w:rFonts w:hint="eastAsia" w:ascii="Times New Roman" w:hAnsi="Times New Roman"/>
          <w:lang w:eastAsia="zh-CN"/>
        </w:rPr>
        <w:t>一</w:t>
      </w:r>
      <w:r>
        <w:rPr>
          <w:rFonts w:hint="eastAsia" w:ascii="Times New Roman" w:hAnsi="Times New Roman"/>
        </w:rPr>
        <w:t xml:space="preserve">条 </w:t>
      </w:r>
      <w:r>
        <w:rPr>
          <w:rFonts w:hint="eastAsia" w:ascii="Times New Roman" w:hAnsi="Times New Roman"/>
          <w:lang w:val="en-US" w:eastAsia="zh-CN"/>
        </w:rPr>
        <w:t>施行</w:t>
      </w:r>
      <w:r>
        <w:rPr>
          <w:rFonts w:hint="eastAsia" w:ascii="Times New Roman" w:hAnsi="Times New Roman"/>
        </w:rPr>
        <w:t>期限</w:t>
      </w:r>
      <w:bookmarkEnd w:id="25"/>
    </w:p>
    <w:p w14:paraId="3E3ACBE1">
      <w:pPr>
        <w:pStyle w:val="48"/>
        <w:rPr>
          <w:rFonts w:hint="eastAsia"/>
        </w:rPr>
      </w:pPr>
      <w:r>
        <w:rPr>
          <w:rFonts w:hint="eastAsia"/>
        </w:rPr>
        <w:t>“通则”自印发之日起</w:t>
      </w:r>
      <w:r>
        <w:rPr>
          <w:rFonts w:hint="eastAsia"/>
          <w:lang w:val="en-US" w:eastAsia="zh-CN"/>
        </w:rPr>
        <w:t>正式</w:t>
      </w:r>
      <w:r>
        <w:rPr>
          <w:rFonts w:hint="eastAsia"/>
        </w:rPr>
        <w:t>施行，有效期至2035年。</w:t>
      </w:r>
    </w:p>
    <w:p w14:paraId="2B867B55">
      <w:pPr>
        <w:pStyle w:val="5"/>
        <w:rPr>
          <w:rFonts w:hint="eastAsia" w:ascii="Times New Roman" w:hAnsi="Times New Roman" w:cs="Times New Roman"/>
          <w:lang w:val="en-US" w:eastAsia="zh-CN"/>
        </w:rPr>
      </w:pPr>
      <w:r>
        <w:rPr>
          <w:rFonts w:hint="eastAsia" w:ascii="Times New Roman" w:hAnsi="Times New Roman" w:cs="Times New Roman"/>
          <w:lang w:val="en-US" w:eastAsia="zh-CN"/>
        </w:rPr>
        <w:t>第二十二条 其他</w:t>
      </w:r>
    </w:p>
    <w:p w14:paraId="4B328F05">
      <w:pPr>
        <w:pStyle w:val="9"/>
        <w:spacing w:line="560" w:lineRule="exact"/>
        <w:ind w:firstLine="632"/>
        <w:rPr>
          <w:rFonts w:hint="eastAsia"/>
          <w:lang w:val="en-US" w:eastAsia="zh-CN"/>
        </w:rPr>
      </w:pPr>
      <w:r>
        <w:rPr>
          <w:rFonts w:eastAsia="方正仿宋_GBK"/>
          <w:szCs w:val="32"/>
        </w:rPr>
        <w:t>“通则”实施过程中，国家、重庆市有新规定的，从其规定。</w:t>
      </w:r>
    </w:p>
    <w:p w14:paraId="0A545D9E">
      <w:r>
        <w:br w:type="page"/>
      </w:r>
    </w:p>
    <w:p w14:paraId="6672D2BA">
      <w:pPr>
        <w:pStyle w:val="4"/>
        <w:spacing w:line="240" w:lineRule="auto"/>
        <w:jc w:val="left"/>
        <w:rPr>
          <w:rFonts w:eastAsia="方正仿宋_GBK" w:cs="方正仿宋_GB2312"/>
          <w:b w:val="0"/>
          <w:bCs/>
        </w:rPr>
      </w:pPr>
      <w:bookmarkStart w:id="26" w:name="_Toc1663"/>
      <w:r>
        <w:rPr>
          <w:rFonts w:hint="eastAsia" w:eastAsia="方正仿宋_GBK" w:cs="方正仿宋_GB2312"/>
          <w:b w:val="0"/>
          <w:bCs/>
          <w:lang w:val="en-US" w:eastAsia="zh-CN"/>
        </w:rPr>
        <w:t>附录</w:t>
      </w:r>
      <w:r>
        <w:rPr>
          <w:rFonts w:hint="eastAsia" w:eastAsia="方正仿宋_GBK" w:cs="方正仿宋_GB2312"/>
          <w:b w:val="0"/>
          <w:bCs/>
        </w:rPr>
        <w:t>1</w:t>
      </w:r>
      <w:bookmarkEnd w:id="26"/>
    </w:p>
    <w:p w14:paraId="0126D0D6">
      <w:pPr>
        <w:pStyle w:val="5"/>
        <w:ind w:firstLine="0" w:firstLineChars="0"/>
        <w:jc w:val="center"/>
        <w:rPr>
          <w:rFonts w:ascii="Times New Roman" w:hAnsi="Times New Roman" w:eastAsia="方正小标宋_GBK" w:cs="方正小标宋_GBK"/>
          <w:b w:val="0"/>
          <w:bCs/>
          <w:kern w:val="44"/>
        </w:rPr>
      </w:pPr>
      <w:bookmarkStart w:id="27" w:name="_Toc12147"/>
      <w:r>
        <w:rPr>
          <w:rFonts w:hint="eastAsia" w:ascii="Times New Roman" w:hAnsi="Times New Roman" w:eastAsia="方正小标宋_GBK" w:cs="方正小标宋_GBK"/>
          <w:b w:val="0"/>
          <w:bCs/>
          <w:kern w:val="44"/>
        </w:rPr>
        <w:t>编制依据</w:t>
      </w:r>
      <w:bookmarkEnd w:id="27"/>
    </w:p>
    <w:p w14:paraId="70329139">
      <w:pPr>
        <w:widowControl/>
        <w:spacing w:line="540" w:lineRule="exact"/>
        <w:ind w:firstLine="0" w:firstLineChars="0"/>
        <w:rPr>
          <w:rFonts w:cs="黑体"/>
          <w:b/>
          <w:bCs/>
          <w:sz w:val="28"/>
          <w:szCs w:val="28"/>
        </w:rPr>
      </w:pPr>
      <w:r>
        <w:rPr>
          <w:rFonts w:hint="eastAsia" w:cs="黑体"/>
          <w:b/>
          <w:bCs/>
          <w:sz w:val="30"/>
          <w:szCs w:val="30"/>
        </w:rPr>
        <w:t>一</w:t>
      </w:r>
      <w:r>
        <w:rPr>
          <w:rFonts w:hint="eastAsia" w:cs="黑体"/>
          <w:b/>
          <w:bCs/>
          <w:sz w:val="28"/>
          <w:szCs w:val="28"/>
        </w:rPr>
        <w:t xml:space="preserve">、法律法规、部门（及地方政府）规章 </w:t>
      </w:r>
    </w:p>
    <w:p w14:paraId="69751BA7">
      <w:pPr>
        <w:widowControl/>
        <w:numPr>
          <w:ilvl w:val="0"/>
          <w:numId w:val="10"/>
        </w:numPr>
        <w:spacing w:line="540" w:lineRule="exact"/>
        <w:ind w:firstLine="560"/>
        <w:rPr>
          <w:sz w:val="28"/>
          <w:szCs w:val="28"/>
        </w:rPr>
      </w:pPr>
      <w:bookmarkStart w:id="28" w:name="_Ref233795700"/>
      <w:r>
        <w:rPr>
          <w:rFonts w:hint="eastAsia"/>
          <w:sz w:val="28"/>
          <w:szCs w:val="28"/>
        </w:rPr>
        <w:t>《中华人民共和国土地管理法》（2019年修正）</w:t>
      </w:r>
      <w:bookmarkEnd w:id="28"/>
    </w:p>
    <w:p w14:paraId="7539DA00">
      <w:pPr>
        <w:widowControl/>
        <w:numPr>
          <w:ilvl w:val="0"/>
          <w:numId w:val="10"/>
        </w:numPr>
        <w:spacing w:line="540" w:lineRule="exact"/>
        <w:ind w:firstLine="560"/>
        <w:rPr>
          <w:sz w:val="28"/>
          <w:szCs w:val="28"/>
        </w:rPr>
      </w:pPr>
      <w:bookmarkStart w:id="29" w:name="_Ref233799203"/>
      <w:r>
        <w:rPr>
          <w:rFonts w:hint="eastAsia"/>
          <w:sz w:val="28"/>
          <w:szCs w:val="28"/>
        </w:rPr>
        <w:t>《</w:t>
      </w:r>
      <w:r>
        <w:rPr>
          <w:sz w:val="28"/>
          <w:szCs w:val="28"/>
        </w:rPr>
        <w:t>中华人民共和国生态环境法典</w:t>
      </w:r>
      <w:r>
        <w:rPr>
          <w:rFonts w:hint="eastAsia"/>
          <w:sz w:val="28"/>
          <w:szCs w:val="28"/>
        </w:rPr>
        <w:t>》（</w:t>
      </w:r>
      <w:r>
        <w:rPr>
          <w:sz w:val="28"/>
          <w:szCs w:val="28"/>
        </w:rPr>
        <w:t>2026年</w:t>
      </w:r>
      <w:r>
        <w:rPr>
          <w:rFonts w:hint="eastAsia"/>
          <w:sz w:val="28"/>
          <w:szCs w:val="28"/>
        </w:rPr>
        <w:t>）</w:t>
      </w:r>
    </w:p>
    <w:p w14:paraId="0477B9AB">
      <w:pPr>
        <w:widowControl/>
        <w:numPr>
          <w:ilvl w:val="0"/>
          <w:numId w:val="10"/>
        </w:numPr>
        <w:spacing w:line="540" w:lineRule="exact"/>
        <w:ind w:firstLine="560"/>
        <w:rPr>
          <w:sz w:val="28"/>
          <w:szCs w:val="28"/>
        </w:rPr>
      </w:pPr>
      <w:r>
        <w:rPr>
          <w:rFonts w:hint="eastAsia"/>
          <w:sz w:val="28"/>
          <w:szCs w:val="28"/>
        </w:rPr>
        <w:t>《中华人民共和国国家公园法》（2025年）</w:t>
      </w:r>
    </w:p>
    <w:bookmarkEnd w:id="29"/>
    <w:p w14:paraId="4D6F3C67">
      <w:pPr>
        <w:widowControl/>
        <w:numPr>
          <w:ilvl w:val="0"/>
          <w:numId w:val="10"/>
        </w:numPr>
        <w:spacing w:line="540" w:lineRule="exact"/>
        <w:ind w:firstLine="560"/>
        <w:rPr>
          <w:sz w:val="28"/>
          <w:szCs w:val="28"/>
        </w:rPr>
      </w:pPr>
      <w:bookmarkStart w:id="30" w:name="_Ref233808178"/>
      <w:r>
        <w:rPr>
          <w:rFonts w:hint="eastAsia"/>
          <w:sz w:val="28"/>
          <w:szCs w:val="28"/>
        </w:rPr>
        <w:t>《中华人民共和国文物保护法》（2017修正）</w:t>
      </w:r>
    </w:p>
    <w:p w14:paraId="743B57DA">
      <w:pPr>
        <w:widowControl/>
        <w:numPr>
          <w:ilvl w:val="0"/>
          <w:numId w:val="10"/>
        </w:numPr>
        <w:spacing w:line="540" w:lineRule="exact"/>
        <w:ind w:firstLine="560"/>
        <w:rPr>
          <w:sz w:val="28"/>
          <w:szCs w:val="28"/>
        </w:rPr>
      </w:pPr>
      <w:r>
        <w:rPr>
          <w:rFonts w:hint="eastAsia"/>
          <w:sz w:val="28"/>
          <w:szCs w:val="28"/>
        </w:rPr>
        <w:t>《中华人民共和国防洪法》（2016年修正）</w:t>
      </w:r>
    </w:p>
    <w:p w14:paraId="2801D2EA">
      <w:pPr>
        <w:widowControl/>
        <w:numPr>
          <w:ilvl w:val="0"/>
          <w:numId w:val="10"/>
        </w:numPr>
        <w:spacing w:line="540" w:lineRule="exact"/>
        <w:ind w:firstLine="560"/>
        <w:rPr>
          <w:sz w:val="28"/>
          <w:szCs w:val="28"/>
        </w:rPr>
      </w:pPr>
      <w:r>
        <w:rPr>
          <w:rFonts w:hint="eastAsia"/>
          <w:sz w:val="28"/>
          <w:szCs w:val="28"/>
        </w:rPr>
        <w:t>《中华人民共和国矿产资源法》（2024年修订）</w:t>
      </w:r>
    </w:p>
    <w:p w14:paraId="62A80BB1">
      <w:pPr>
        <w:widowControl/>
        <w:numPr>
          <w:ilvl w:val="0"/>
          <w:numId w:val="10"/>
        </w:numPr>
        <w:spacing w:line="540" w:lineRule="exact"/>
        <w:ind w:firstLine="560"/>
        <w:rPr>
          <w:sz w:val="28"/>
          <w:szCs w:val="28"/>
        </w:rPr>
      </w:pPr>
      <w:bookmarkStart w:id="31" w:name="_Ref233807580"/>
      <w:bookmarkStart w:id="32" w:name="_Ref233807710"/>
      <w:bookmarkStart w:id="33" w:name="_Ref233796772"/>
      <w:r>
        <w:rPr>
          <w:rFonts w:hint="eastAsia"/>
          <w:sz w:val="28"/>
          <w:szCs w:val="28"/>
        </w:rPr>
        <w:t>《中华人民共和国石油天然气管道保护法》（2010年）</w:t>
      </w:r>
    </w:p>
    <w:bookmarkEnd w:id="31"/>
    <w:bookmarkEnd w:id="32"/>
    <w:bookmarkEnd w:id="33"/>
    <w:p w14:paraId="322C38C3">
      <w:pPr>
        <w:widowControl/>
        <w:numPr>
          <w:ilvl w:val="0"/>
          <w:numId w:val="10"/>
        </w:numPr>
        <w:spacing w:line="540" w:lineRule="exact"/>
        <w:ind w:firstLine="560"/>
        <w:rPr>
          <w:color w:val="auto"/>
          <w:sz w:val="28"/>
          <w:szCs w:val="28"/>
        </w:rPr>
      </w:pPr>
      <w:r>
        <w:rPr>
          <w:rFonts w:hint="eastAsia"/>
          <w:color w:val="auto"/>
          <w:sz w:val="28"/>
          <w:szCs w:val="28"/>
        </w:rPr>
        <w:t>《中华人民共和国森林法》（2019年修订）</w:t>
      </w:r>
    </w:p>
    <w:p w14:paraId="7EB801DE">
      <w:pPr>
        <w:widowControl/>
        <w:numPr>
          <w:ilvl w:val="0"/>
          <w:numId w:val="10"/>
        </w:numPr>
        <w:spacing w:line="540" w:lineRule="exact"/>
        <w:ind w:firstLine="560"/>
        <w:rPr>
          <w:sz w:val="28"/>
          <w:szCs w:val="28"/>
        </w:rPr>
      </w:pPr>
      <w:r>
        <w:rPr>
          <w:rFonts w:hint="eastAsia"/>
          <w:sz w:val="28"/>
          <w:szCs w:val="28"/>
        </w:rPr>
        <w:t>《中华人民共和国民用航空法》（2025年修订）</w:t>
      </w:r>
    </w:p>
    <w:p w14:paraId="6D084867">
      <w:pPr>
        <w:widowControl/>
        <w:numPr>
          <w:ilvl w:val="0"/>
          <w:numId w:val="10"/>
        </w:numPr>
        <w:spacing w:line="540" w:lineRule="exact"/>
        <w:ind w:firstLine="560"/>
        <w:rPr>
          <w:sz w:val="28"/>
          <w:szCs w:val="28"/>
        </w:rPr>
      </w:pPr>
      <w:bookmarkStart w:id="34" w:name="_Ref233795729"/>
      <w:bookmarkStart w:id="35" w:name="_Ref233796097"/>
      <w:bookmarkStart w:id="36" w:name="_Ref233796077"/>
      <w:r>
        <w:rPr>
          <w:rFonts w:hint="eastAsia"/>
          <w:sz w:val="28"/>
          <w:szCs w:val="28"/>
        </w:rPr>
        <w:t>《中华人民共和国土地管理法实施条例》（2021年修订）</w:t>
      </w:r>
      <w:bookmarkEnd w:id="34"/>
    </w:p>
    <w:bookmarkEnd w:id="35"/>
    <w:p w14:paraId="6BD35934">
      <w:pPr>
        <w:widowControl/>
        <w:numPr>
          <w:ilvl w:val="0"/>
          <w:numId w:val="10"/>
        </w:numPr>
        <w:spacing w:line="540" w:lineRule="exact"/>
        <w:ind w:firstLine="560"/>
        <w:rPr>
          <w:sz w:val="28"/>
          <w:szCs w:val="28"/>
        </w:rPr>
      </w:pPr>
      <w:r>
        <w:rPr>
          <w:rFonts w:hint="eastAsia"/>
          <w:sz w:val="28"/>
          <w:szCs w:val="28"/>
        </w:rPr>
        <w:t>《中华人民共和国基本农田保护条例》（2011年修订）</w:t>
      </w:r>
      <w:bookmarkEnd w:id="36"/>
      <w:bookmarkStart w:id="37" w:name="_Ref233795788"/>
    </w:p>
    <w:p w14:paraId="7848C471">
      <w:pPr>
        <w:widowControl/>
        <w:numPr>
          <w:ilvl w:val="0"/>
          <w:numId w:val="10"/>
        </w:numPr>
        <w:spacing w:line="540" w:lineRule="exact"/>
        <w:ind w:firstLine="560"/>
        <w:rPr>
          <w:sz w:val="28"/>
          <w:szCs w:val="28"/>
        </w:rPr>
      </w:pPr>
      <w:r>
        <w:rPr>
          <w:rFonts w:hint="eastAsia"/>
          <w:sz w:val="28"/>
          <w:szCs w:val="28"/>
        </w:rPr>
        <w:t>《永久基本农田保护红线管理办法》</w:t>
      </w:r>
      <w:bookmarkEnd w:id="37"/>
      <w:r>
        <w:rPr>
          <w:rFonts w:hint="eastAsia"/>
          <w:sz w:val="28"/>
          <w:szCs w:val="28"/>
        </w:rPr>
        <w:t>（自然资源部 农业农村部令2025年第17号）</w:t>
      </w:r>
    </w:p>
    <w:p w14:paraId="4B066C77">
      <w:pPr>
        <w:widowControl/>
        <w:numPr>
          <w:ilvl w:val="0"/>
          <w:numId w:val="10"/>
        </w:numPr>
        <w:spacing w:line="540" w:lineRule="exact"/>
        <w:ind w:firstLine="560"/>
        <w:rPr>
          <w:sz w:val="28"/>
          <w:szCs w:val="28"/>
        </w:rPr>
      </w:pPr>
      <w:bookmarkStart w:id="38" w:name="_Ref233796745"/>
      <w:bookmarkStart w:id="39" w:name="_Ref233796673"/>
      <w:r>
        <w:rPr>
          <w:rFonts w:hint="eastAsia"/>
          <w:sz w:val="28"/>
          <w:szCs w:val="28"/>
        </w:rPr>
        <w:t>《中华人民共和国自然保护区条例》（2026年修订）</w:t>
      </w:r>
      <w:bookmarkEnd w:id="38"/>
    </w:p>
    <w:bookmarkEnd w:id="39"/>
    <w:p w14:paraId="494A4286">
      <w:pPr>
        <w:widowControl/>
        <w:numPr>
          <w:ilvl w:val="0"/>
          <w:numId w:val="10"/>
        </w:numPr>
        <w:spacing w:line="540" w:lineRule="exact"/>
        <w:ind w:firstLine="560"/>
        <w:rPr>
          <w:sz w:val="28"/>
          <w:szCs w:val="28"/>
        </w:rPr>
      </w:pPr>
      <w:r>
        <w:rPr>
          <w:rFonts w:hint="eastAsia"/>
          <w:color w:val="auto"/>
          <w:sz w:val="28"/>
          <w:szCs w:val="28"/>
        </w:rPr>
        <w:t>《历史文化名城名镇名村保护条例》</w:t>
      </w:r>
      <w:r>
        <w:rPr>
          <w:rFonts w:hint="eastAsia"/>
          <w:sz w:val="28"/>
          <w:szCs w:val="28"/>
        </w:rPr>
        <w:t>（2017年修订）</w:t>
      </w:r>
    </w:p>
    <w:p w14:paraId="5C367D00">
      <w:pPr>
        <w:widowControl/>
        <w:numPr>
          <w:ilvl w:val="0"/>
          <w:numId w:val="10"/>
        </w:numPr>
        <w:spacing w:line="540" w:lineRule="exact"/>
        <w:ind w:firstLine="560"/>
        <w:rPr>
          <w:sz w:val="28"/>
          <w:szCs w:val="28"/>
        </w:rPr>
      </w:pPr>
      <w:r>
        <w:rPr>
          <w:rFonts w:hint="eastAsia"/>
          <w:sz w:val="28"/>
          <w:szCs w:val="28"/>
        </w:rPr>
        <w:t>《古树名木保护条例》（国务院令第800号）</w:t>
      </w:r>
    </w:p>
    <w:p w14:paraId="52AC3AD7">
      <w:pPr>
        <w:widowControl/>
        <w:numPr>
          <w:ilvl w:val="0"/>
          <w:numId w:val="10"/>
        </w:numPr>
        <w:spacing w:line="540" w:lineRule="exact"/>
        <w:ind w:firstLine="560"/>
        <w:rPr>
          <w:color w:val="auto"/>
          <w:sz w:val="28"/>
          <w:szCs w:val="28"/>
        </w:rPr>
      </w:pPr>
      <w:r>
        <w:rPr>
          <w:rFonts w:hint="eastAsia"/>
          <w:color w:val="auto"/>
          <w:sz w:val="28"/>
          <w:szCs w:val="28"/>
        </w:rPr>
        <w:t>《中华人民共和国河道管理条例》(2026修订)</w:t>
      </w:r>
    </w:p>
    <w:p w14:paraId="6D8E7857">
      <w:pPr>
        <w:widowControl/>
        <w:numPr>
          <w:ilvl w:val="0"/>
          <w:numId w:val="10"/>
        </w:numPr>
        <w:spacing w:line="540" w:lineRule="exact"/>
        <w:ind w:firstLine="560"/>
        <w:rPr>
          <w:sz w:val="28"/>
          <w:szCs w:val="28"/>
        </w:rPr>
      </w:pPr>
      <w:r>
        <w:rPr>
          <w:rFonts w:hint="eastAsia"/>
          <w:sz w:val="28"/>
          <w:szCs w:val="28"/>
        </w:rPr>
        <w:t>《地质灾害防治条例》（2003年）</w:t>
      </w:r>
    </w:p>
    <w:p w14:paraId="73F94B3A">
      <w:pPr>
        <w:widowControl/>
        <w:numPr>
          <w:ilvl w:val="0"/>
          <w:numId w:val="10"/>
        </w:numPr>
        <w:spacing w:line="540" w:lineRule="exact"/>
        <w:ind w:firstLine="560"/>
        <w:rPr>
          <w:sz w:val="28"/>
          <w:szCs w:val="28"/>
        </w:rPr>
      </w:pPr>
      <w:bookmarkStart w:id="40" w:name="_Ref233798169"/>
      <w:r>
        <w:rPr>
          <w:rFonts w:hint="eastAsia"/>
          <w:sz w:val="28"/>
          <w:szCs w:val="28"/>
        </w:rPr>
        <w:t>《铁路安全管理条例》（2013年）</w:t>
      </w:r>
      <w:bookmarkEnd w:id="40"/>
    </w:p>
    <w:p w14:paraId="30AFFFA0">
      <w:pPr>
        <w:widowControl/>
        <w:numPr>
          <w:ilvl w:val="0"/>
          <w:numId w:val="10"/>
        </w:numPr>
        <w:spacing w:line="594" w:lineRule="exact"/>
        <w:ind w:firstLine="560"/>
        <w:rPr>
          <w:sz w:val="28"/>
          <w:szCs w:val="28"/>
        </w:rPr>
      </w:pPr>
      <w:bookmarkStart w:id="41" w:name="_Ref233798179"/>
      <w:r>
        <w:rPr>
          <w:rFonts w:hint="eastAsia"/>
          <w:sz w:val="28"/>
          <w:szCs w:val="28"/>
        </w:rPr>
        <w:t>《公路安全保护条例》（2011年）</w:t>
      </w:r>
      <w:bookmarkEnd w:id="41"/>
    </w:p>
    <w:p w14:paraId="04459390">
      <w:pPr>
        <w:widowControl/>
        <w:numPr>
          <w:ilvl w:val="0"/>
          <w:numId w:val="10"/>
        </w:numPr>
        <w:spacing w:line="594" w:lineRule="exact"/>
        <w:ind w:firstLine="560"/>
        <w:rPr>
          <w:sz w:val="28"/>
          <w:szCs w:val="28"/>
        </w:rPr>
      </w:pPr>
      <w:bookmarkStart w:id="42" w:name="_Ref233796663"/>
      <w:r>
        <w:rPr>
          <w:rFonts w:hint="eastAsia"/>
          <w:sz w:val="28"/>
          <w:szCs w:val="28"/>
        </w:rPr>
        <w:t>《电力设施保护条例》（2011年修订）</w:t>
      </w:r>
      <w:bookmarkEnd w:id="42"/>
    </w:p>
    <w:p w14:paraId="29FAEAE3">
      <w:pPr>
        <w:widowControl/>
        <w:numPr>
          <w:ilvl w:val="0"/>
          <w:numId w:val="10"/>
        </w:numPr>
        <w:spacing w:line="540" w:lineRule="atLeast"/>
        <w:ind w:firstLine="560"/>
        <w:rPr>
          <w:sz w:val="28"/>
          <w:szCs w:val="28"/>
        </w:rPr>
      </w:pPr>
      <w:bookmarkStart w:id="43" w:name="_Ref233809884"/>
      <w:r>
        <w:rPr>
          <w:rFonts w:hint="eastAsia"/>
          <w:sz w:val="28"/>
          <w:szCs w:val="28"/>
        </w:rPr>
        <w:t>《电力设施保护条例实施细则》（2024年修订）</w:t>
      </w:r>
      <w:bookmarkEnd w:id="43"/>
    </w:p>
    <w:p w14:paraId="09844500">
      <w:pPr>
        <w:widowControl/>
        <w:numPr>
          <w:ilvl w:val="0"/>
          <w:numId w:val="10"/>
        </w:numPr>
        <w:spacing w:line="540" w:lineRule="atLeast"/>
        <w:ind w:firstLine="560"/>
        <w:rPr>
          <w:sz w:val="28"/>
          <w:szCs w:val="28"/>
        </w:rPr>
      </w:pPr>
      <w:bookmarkStart w:id="44" w:name="_Ref233808297"/>
      <w:bookmarkStart w:id="45" w:name="_Ref233796415"/>
      <w:r>
        <w:rPr>
          <w:rFonts w:hint="eastAsia"/>
          <w:sz w:val="28"/>
          <w:szCs w:val="28"/>
        </w:rPr>
        <w:t>《民用机场管理条例》（2019年修订）</w:t>
      </w:r>
      <w:bookmarkEnd w:id="44"/>
    </w:p>
    <w:p w14:paraId="5B43A090">
      <w:pPr>
        <w:widowControl/>
        <w:numPr>
          <w:ilvl w:val="0"/>
          <w:numId w:val="10"/>
        </w:numPr>
        <w:spacing w:line="540" w:lineRule="atLeast"/>
        <w:ind w:firstLine="560"/>
        <w:rPr>
          <w:color w:val="auto"/>
          <w:sz w:val="28"/>
          <w:szCs w:val="28"/>
        </w:rPr>
      </w:pPr>
      <w:r>
        <w:rPr>
          <w:rFonts w:hint="eastAsia"/>
          <w:color w:val="auto"/>
          <w:sz w:val="28"/>
          <w:szCs w:val="28"/>
        </w:rPr>
        <w:t>《殡葬管理条例》（2025年第二次修订）</w:t>
      </w:r>
    </w:p>
    <w:bookmarkEnd w:id="30"/>
    <w:bookmarkEnd w:id="45"/>
    <w:p w14:paraId="64B8C46A">
      <w:pPr>
        <w:widowControl/>
        <w:numPr>
          <w:ilvl w:val="0"/>
          <w:numId w:val="10"/>
        </w:numPr>
        <w:spacing w:line="540" w:lineRule="atLeast"/>
        <w:ind w:firstLine="560"/>
        <w:rPr>
          <w:sz w:val="28"/>
          <w:szCs w:val="28"/>
        </w:rPr>
      </w:pPr>
      <w:bookmarkStart w:id="46" w:name="_Ref233796894"/>
      <w:r>
        <w:rPr>
          <w:rFonts w:hint="eastAsia"/>
          <w:sz w:val="28"/>
          <w:szCs w:val="28"/>
        </w:rPr>
        <w:t>《重庆市土地管理条例》（2025年）</w:t>
      </w:r>
      <w:bookmarkEnd w:id="46"/>
      <w:bookmarkStart w:id="47" w:name="_Ref233897486"/>
    </w:p>
    <w:p w14:paraId="2818EAFC">
      <w:pPr>
        <w:widowControl/>
        <w:numPr>
          <w:ilvl w:val="0"/>
          <w:numId w:val="10"/>
        </w:numPr>
        <w:spacing w:line="540" w:lineRule="atLeast"/>
        <w:ind w:firstLine="560"/>
        <w:rPr>
          <w:sz w:val="28"/>
          <w:szCs w:val="28"/>
        </w:rPr>
      </w:pPr>
      <w:r>
        <w:rPr>
          <w:rFonts w:hint="eastAsia"/>
          <w:sz w:val="28"/>
          <w:szCs w:val="28"/>
        </w:rPr>
        <w:t>《重庆市土地管理规定》（渝府令〔1999〕53号）</w:t>
      </w:r>
      <w:bookmarkEnd w:id="47"/>
    </w:p>
    <w:p w14:paraId="580F42D6">
      <w:pPr>
        <w:widowControl/>
        <w:numPr>
          <w:ilvl w:val="0"/>
          <w:numId w:val="10"/>
        </w:numPr>
        <w:spacing w:line="540" w:lineRule="atLeast"/>
        <w:ind w:firstLine="560"/>
        <w:rPr>
          <w:sz w:val="28"/>
          <w:szCs w:val="28"/>
        </w:rPr>
      </w:pPr>
      <w:bookmarkStart w:id="48" w:name="_Ref233796442"/>
      <w:r>
        <w:rPr>
          <w:rFonts w:hint="eastAsia"/>
          <w:sz w:val="28"/>
          <w:szCs w:val="28"/>
        </w:rPr>
        <w:t>《重庆市地质灾害防治条例》（2020年修订）</w:t>
      </w:r>
      <w:bookmarkEnd w:id="48"/>
    </w:p>
    <w:p w14:paraId="6D638093">
      <w:pPr>
        <w:widowControl/>
        <w:numPr>
          <w:ilvl w:val="0"/>
          <w:numId w:val="10"/>
        </w:numPr>
        <w:spacing w:line="540" w:lineRule="atLeast"/>
        <w:ind w:firstLine="560"/>
        <w:rPr>
          <w:sz w:val="28"/>
          <w:szCs w:val="28"/>
        </w:rPr>
      </w:pPr>
      <w:bookmarkStart w:id="49" w:name="_Ref233796614"/>
      <w:r>
        <w:rPr>
          <w:rFonts w:hint="eastAsia"/>
          <w:sz w:val="28"/>
          <w:szCs w:val="28"/>
        </w:rPr>
        <w:t>《重庆市河道管理条例》（2022年修正）</w:t>
      </w:r>
      <w:bookmarkEnd w:id="49"/>
    </w:p>
    <w:p w14:paraId="1FDE7B0B">
      <w:pPr>
        <w:widowControl/>
        <w:numPr>
          <w:ilvl w:val="0"/>
          <w:numId w:val="10"/>
        </w:numPr>
        <w:spacing w:line="540" w:lineRule="atLeast"/>
        <w:ind w:firstLine="560"/>
        <w:rPr>
          <w:sz w:val="28"/>
          <w:szCs w:val="28"/>
        </w:rPr>
      </w:pPr>
      <w:bookmarkStart w:id="50" w:name="_Ref233796519"/>
      <w:r>
        <w:rPr>
          <w:rFonts w:hint="eastAsia"/>
          <w:sz w:val="28"/>
          <w:szCs w:val="28"/>
        </w:rPr>
        <w:t>《重庆市水污染防治条例》（2020年）</w:t>
      </w:r>
      <w:bookmarkEnd w:id="50"/>
    </w:p>
    <w:p w14:paraId="0E425814">
      <w:pPr>
        <w:widowControl/>
        <w:numPr>
          <w:ilvl w:val="0"/>
          <w:numId w:val="10"/>
        </w:numPr>
        <w:spacing w:line="540" w:lineRule="atLeast"/>
        <w:ind w:firstLine="560"/>
        <w:rPr>
          <w:sz w:val="28"/>
          <w:szCs w:val="28"/>
        </w:rPr>
      </w:pPr>
      <w:bookmarkStart w:id="51" w:name="_Ref233807969"/>
      <w:bookmarkStart w:id="52" w:name="_Ref233796497"/>
      <w:r>
        <w:rPr>
          <w:rFonts w:hint="eastAsia"/>
          <w:sz w:val="28"/>
          <w:szCs w:val="28"/>
        </w:rPr>
        <w:t>《重庆市水资源管理条例》（2023年修正）</w:t>
      </w:r>
      <w:bookmarkEnd w:id="51"/>
    </w:p>
    <w:p w14:paraId="6F71CC6D">
      <w:pPr>
        <w:widowControl/>
        <w:numPr>
          <w:ilvl w:val="0"/>
          <w:numId w:val="10"/>
        </w:numPr>
        <w:spacing w:line="540" w:lineRule="atLeast"/>
        <w:ind w:firstLine="560"/>
        <w:rPr>
          <w:sz w:val="28"/>
          <w:szCs w:val="28"/>
        </w:rPr>
      </w:pPr>
      <w:r>
        <w:rPr>
          <w:rFonts w:hint="eastAsia"/>
          <w:sz w:val="28"/>
          <w:szCs w:val="28"/>
        </w:rPr>
        <w:t>《重庆市矿产资源管理条例》（2020年修订）</w:t>
      </w:r>
      <w:bookmarkEnd w:id="52"/>
    </w:p>
    <w:p w14:paraId="14AF1980">
      <w:pPr>
        <w:widowControl/>
        <w:numPr>
          <w:ilvl w:val="0"/>
          <w:numId w:val="10"/>
        </w:numPr>
        <w:spacing w:line="540" w:lineRule="atLeast"/>
        <w:ind w:firstLine="560"/>
        <w:rPr>
          <w:sz w:val="28"/>
          <w:szCs w:val="28"/>
        </w:rPr>
      </w:pPr>
      <w:bookmarkStart w:id="53" w:name="_Ref233798197"/>
      <w:r>
        <w:rPr>
          <w:rFonts w:hint="eastAsia"/>
          <w:sz w:val="28"/>
          <w:szCs w:val="28"/>
        </w:rPr>
        <w:t>《重庆市农村公路条例》（2026年）</w:t>
      </w:r>
      <w:bookmarkEnd w:id="53"/>
    </w:p>
    <w:p w14:paraId="1B4D9F75">
      <w:pPr>
        <w:widowControl/>
        <w:numPr>
          <w:ilvl w:val="0"/>
          <w:numId w:val="10"/>
        </w:numPr>
        <w:spacing w:line="540" w:lineRule="atLeast"/>
        <w:ind w:firstLine="560"/>
        <w:rPr>
          <w:sz w:val="28"/>
          <w:szCs w:val="28"/>
        </w:rPr>
      </w:pPr>
      <w:bookmarkStart w:id="54" w:name="_Ref233903701"/>
      <w:r>
        <w:rPr>
          <w:rFonts w:hint="eastAsia"/>
          <w:sz w:val="28"/>
          <w:szCs w:val="28"/>
        </w:rPr>
        <w:t>《重庆市公路管理条例》（2021修正）</w:t>
      </w:r>
      <w:bookmarkEnd w:id="54"/>
    </w:p>
    <w:p w14:paraId="5DF2E5B7">
      <w:pPr>
        <w:widowControl/>
        <w:numPr>
          <w:ilvl w:val="0"/>
          <w:numId w:val="10"/>
        </w:numPr>
        <w:spacing w:line="540" w:lineRule="atLeast"/>
        <w:ind w:firstLine="560"/>
        <w:rPr>
          <w:rFonts w:cs="黑体"/>
          <w:sz w:val="28"/>
          <w:szCs w:val="28"/>
        </w:rPr>
      </w:pPr>
      <w:r>
        <w:rPr>
          <w:rFonts w:hint="eastAsia"/>
          <w:sz w:val="28"/>
          <w:szCs w:val="28"/>
        </w:rPr>
        <w:t>《重庆市历史文化名城名镇名村保护条例》（2018年）</w:t>
      </w:r>
    </w:p>
    <w:p w14:paraId="028BF2E0">
      <w:pPr>
        <w:widowControl/>
        <w:numPr>
          <w:ilvl w:val="0"/>
          <w:numId w:val="10"/>
        </w:numPr>
        <w:spacing w:line="540" w:lineRule="atLeast"/>
        <w:ind w:firstLine="560"/>
        <w:rPr>
          <w:rFonts w:cs="黑体"/>
          <w:sz w:val="28"/>
          <w:szCs w:val="28"/>
        </w:rPr>
      </w:pPr>
      <w:r>
        <w:rPr>
          <w:rFonts w:hint="eastAsia"/>
          <w:sz w:val="28"/>
          <w:szCs w:val="28"/>
        </w:rPr>
        <w:t>《重庆市殡葬管理条例》（2022年第二次修订）</w:t>
      </w:r>
    </w:p>
    <w:p w14:paraId="62A0675E">
      <w:pPr>
        <w:widowControl/>
        <w:spacing w:line="540" w:lineRule="atLeast"/>
        <w:ind w:firstLine="0" w:firstLineChars="0"/>
        <w:rPr>
          <w:rFonts w:cs="黑体"/>
          <w:b/>
          <w:bCs/>
          <w:sz w:val="28"/>
          <w:szCs w:val="28"/>
        </w:rPr>
      </w:pPr>
      <w:r>
        <w:rPr>
          <w:rFonts w:hint="eastAsia" w:cs="黑体"/>
          <w:b/>
          <w:bCs/>
          <w:sz w:val="28"/>
          <w:szCs w:val="28"/>
        </w:rPr>
        <w:t>二、政策文件</w:t>
      </w:r>
    </w:p>
    <w:p w14:paraId="3FBEB924">
      <w:pPr>
        <w:numPr>
          <w:ilvl w:val="0"/>
          <w:numId w:val="11"/>
        </w:numPr>
        <w:spacing w:line="540" w:lineRule="atLeast"/>
        <w:ind w:firstLine="560"/>
        <w:rPr>
          <w:sz w:val="28"/>
          <w:szCs w:val="28"/>
        </w:rPr>
      </w:pPr>
      <w:bookmarkStart w:id="55" w:name="_Ref233798367"/>
      <w:r>
        <w:rPr>
          <w:rFonts w:hint="eastAsia"/>
          <w:sz w:val="28"/>
          <w:szCs w:val="28"/>
        </w:rPr>
        <w:t>《自然资源部办公厅关于乡村地区“通则式”规划技术管理规定编制要求的通知》（自然资办发〔2025〕13号）</w:t>
      </w:r>
      <w:bookmarkEnd w:id="55"/>
      <w:bookmarkStart w:id="56" w:name="_Ref233798882"/>
      <w:bookmarkStart w:id="57" w:name="_Ref233918054"/>
    </w:p>
    <w:p w14:paraId="30312A47">
      <w:pPr>
        <w:numPr>
          <w:ilvl w:val="0"/>
          <w:numId w:val="11"/>
        </w:numPr>
        <w:spacing w:line="540" w:lineRule="atLeast"/>
        <w:ind w:firstLine="560"/>
        <w:rPr>
          <w:sz w:val="28"/>
          <w:szCs w:val="28"/>
        </w:rPr>
      </w:pPr>
      <w:r>
        <w:rPr>
          <w:rFonts w:hint="eastAsia"/>
          <w:sz w:val="28"/>
          <w:szCs w:val="28"/>
        </w:rPr>
        <w:t>《自然资源部 农业农村部关于改革完善耕地占补平衡管理的通知》（自然资发〔2024〕204号）</w:t>
      </w:r>
    </w:p>
    <w:p w14:paraId="126D8AA0">
      <w:pPr>
        <w:numPr>
          <w:ilvl w:val="0"/>
          <w:numId w:val="11"/>
        </w:numPr>
        <w:spacing w:line="540" w:lineRule="atLeast"/>
        <w:ind w:firstLine="560"/>
        <w:rPr>
          <w:sz w:val="28"/>
          <w:szCs w:val="28"/>
        </w:rPr>
      </w:pPr>
      <w:r>
        <w:rPr>
          <w:rFonts w:hint="eastAsia"/>
          <w:sz w:val="28"/>
          <w:szCs w:val="28"/>
        </w:rPr>
        <w:t>《中共中央办公厅 国务院办公厅关于划定并严守生态保护红线的若干意见》</w:t>
      </w:r>
      <w:bookmarkEnd w:id="56"/>
      <w:r>
        <w:rPr>
          <w:rFonts w:hint="eastAsia"/>
          <w:sz w:val="28"/>
          <w:szCs w:val="28"/>
        </w:rPr>
        <w:t>（</w:t>
      </w:r>
      <w:r>
        <w:rPr>
          <w:sz w:val="28"/>
          <w:szCs w:val="28"/>
        </w:rPr>
        <w:t>厅字〔2017〕2号</w:t>
      </w:r>
      <w:r>
        <w:rPr>
          <w:rFonts w:hint="eastAsia"/>
          <w:sz w:val="28"/>
          <w:szCs w:val="28"/>
        </w:rPr>
        <w:t>）</w:t>
      </w:r>
      <w:bookmarkEnd w:id="57"/>
    </w:p>
    <w:p w14:paraId="6F0EE047">
      <w:pPr>
        <w:numPr>
          <w:ilvl w:val="0"/>
          <w:numId w:val="11"/>
        </w:numPr>
        <w:spacing w:line="540" w:lineRule="atLeast"/>
        <w:ind w:firstLine="560"/>
        <w:rPr>
          <w:sz w:val="28"/>
          <w:szCs w:val="28"/>
        </w:rPr>
      </w:pPr>
      <w:bookmarkStart w:id="58" w:name="_Ref233796167"/>
      <w:r>
        <w:rPr>
          <w:rFonts w:hint="eastAsia"/>
          <w:sz w:val="28"/>
          <w:szCs w:val="28"/>
        </w:rPr>
        <w:t>《自然资源部 生态环境部 国家林业和草原局关于加强生态保护红线管理的通知（试行）》（自然资发〔2022〕142号）</w:t>
      </w:r>
      <w:bookmarkEnd w:id="58"/>
    </w:p>
    <w:p w14:paraId="646FC98C">
      <w:pPr>
        <w:numPr>
          <w:ilvl w:val="0"/>
          <w:numId w:val="11"/>
        </w:numPr>
        <w:spacing w:line="540" w:lineRule="atLeast"/>
        <w:ind w:firstLine="560"/>
        <w:rPr>
          <w:sz w:val="28"/>
          <w:szCs w:val="28"/>
        </w:rPr>
      </w:pPr>
      <w:r>
        <w:rPr>
          <w:rFonts w:hint="eastAsia"/>
          <w:sz w:val="28"/>
          <w:szCs w:val="28"/>
        </w:rPr>
        <w:t>《中央农村工作领导小组办公室 农业农村部关于进一步加强农村宅基地管理的通知》（中农发〔2019〕11号）</w:t>
      </w:r>
    </w:p>
    <w:p w14:paraId="1B1CDB4C">
      <w:pPr>
        <w:numPr>
          <w:ilvl w:val="0"/>
          <w:numId w:val="11"/>
        </w:numPr>
        <w:spacing w:line="540" w:lineRule="atLeast"/>
        <w:ind w:firstLine="560"/>
        <w:rPr>
          <w:sz w:val="28"/>
          <w:szCs w:val="28"/>
        </w:rPr>
      </w:pPr>
      <w:bookmarkStart w:id="59" w:name="_Ref233797948"/>
      <w:r>
        <w:rPr>
          <w:rFonts w:hint="eastAsia"/>
          <w:sz w:val="28"/>
          <w:szCs w:val="28"/>
        </w:rPr>
        <w:t>《自然资源部 农业农村部关于严格遵守“八不准”要求坚决遏制新增农村乱占耕地建房问题的通知》（自然资发〔2025〕10号）</w:t>
      </w:r>
      <w:bookmarkEnd w:id="59"/>
      <w:bookmarkStart w:id="60" w:name="_Ref233798505"/>
    </w:p>
    <w:p w14:paraId="7279CD64">
      <w:pPr>
        <w:numPr>
          <w:ilvl w:val="0"/>
          <w:numId w:val="11"/>
        </w:numPr>
        <w:spacing w:line="540" w:lineRule="atLeast"/>
        <w:ind w:firstLine="560"/>
        <w:rPr>
          <w:sz w:val="28"/>
          <w:szCs w:val="28"/>
        </w:rPr>
      </w:pPr>
      <w:r>
        <w:rPr>
          <w:rFonts w:hint="eastAsia"/>
          <w:sz w:val="28"/>
          <w:szCs w:val="28"/>
        </w:rPr>
        <w:t>《重庆市乡村地区“通则式”规划管理规定编制工作指引》（渝规资〔2026〕145号）</w:t>
      </w:r>
      <w:bookmarkEnd w:id="60"/>
    </w:p>
    <w:p w14:paraId="50F72757">
      <w:pPr>
        <w:numPr>
          <w:ilvl w:val="0"/>
          <w:numId w:val="11"/>
        </w:numPr>
        <w:spacing w:line="540" w:lineRule="atLeast"/>
        <w:ind w:firstLine="560"/>
        <w:rPr>
          <w:sz w:val="28"/>
          <w:szCs w:val="28"/>
        </w:rPr>
      </w:pPr>
      <w:bookmarkStart w:id="61" w:name="_Ref233807854"/>
      <w:r>
        <w:rPr>
          <w:rFonts w:hint="eastAsia"/>
          <w:sz w:val="28"/>
          <w:szCs w:val="28"/>
        </w:rPr>
        <w:t>《重庆市规划和自然资源局 重庆市生态环境局 重庆市林业局关于加强生态保护红线实施管理的通知》（渝规资〔2023〕323号）</w:t>
      </w:r>
      <w:bookmarkEnd w:id="61"/>
    </w:p>
    <w:p w14:paraId="3ACBD1F7">
      <w:pPr>
        <w:numPr>
          <w:ilvl w:val="0"/>
          <w:numId w:val="11"/>
        </w:numPr>
        <w:spacing w:line="540" w:lineRule="atLeast"/>
        <w:ind w:firstLine="560"/>
        <w:rPr>
          <w:sz w:val="28"/>
          <w:szCs w:val="28"/>
        </w:rPr>
      </w:pPr>
      <w:bookmarkStart w:id="62" w:name="_Ref233797984"/>
      <w:r>
        <w:rPr>
          <w:rFonts w:hint="eastAsia"/>
          <w:sz w:val="28"/>
          <w:szCs w:val="28"/>
        </w:rPr>
        <w:t>《重庆市规划和自然资源局等五部门关于进一步加强乡村产业项目用地保障工作的通知》（渝规资〔2025〕428号）</w:t>
      </w:r>
      <w:bookmarkEnd w:id="62"/>
    </w:p>
    <w:p w14:paraId="7220BA80">
      <w:pPr>
        <w:numPr>
          <w:ilvl w:val="0"/>
          <w:numId w:val="11"/>
        </w:numPr>
        <w:spacing w:line="540" w:lineRule="atLeast"/>
        <w:ind w:firstLine="560"/>
        <w:rPr>
          <w:sz w:val="28"/>
          <w:szCs w:val="28"/>
        </w:rPr>
      </w:pPr>
      <w:r>
        <w:rPr>
          <w:rFonts w:hint="eastAsia"/>
          <w:sz w:val="28"/>
          <w:szCs w:val="28"/>
        </w:rPr>
        <w:t>《重庆市规划和自然资源局关于印发〈重庆市乡村振兴规划用地政策指南（2025年）〉的通知》（渝规资发〔2026〕4号）</w:t>
      </w:r>
    </w:p>
    <w:p w14:paraId="76AC8E01">
      <w:pPr>
        <w:numPr>
          <w:ilvl w:val="0"/>
          <w:numId w:val="11"/>
        </w:numPr>
        <w:spacing w:line="540" w:lineRule="atLeast"/>
        <w:ind w:firstLine="560"/>
        <w:rPr>
          <w:color w:val="auto"/>
          <w:sz w:val="28"/>
          <w:szCs w:val="28"/>
        </w:rPr>
      </w:pPr>
      <w:bookmarkStart w:id="63" w:name="_Ref233807514"/>
      <w:r>
        <w:rPr>
          <w:rFonts w:hint="eastAsia"/>
          <w:color w:val="auto"/>
          <w:sz w:val="28"/>
          <w:szCs w:val="28"/>
        </w:rPr>
        <w:t>《重庆市人民政府办公厅关于着力提升城乡防洪能力的通知》（渝府办发〔2021〕141号）</w:t>
      </w:r>
      <w:bookmarkEnd w:id="63"/>
    </w:p>
    <w:p w14:paraId="4A9E905E">
      <w:pPr>
        <w:widowControl/>
        <w:spacing w:line="540" w:lineRule="atLeast"/>
        <w:ind w:firstLine="0" w:firstLineChars="0"/>
        <w:rPr>
          <w:rFonts w:cs="黑体"/>
          <w:b/>
          <w:bCs/>
          <w:sz w:val="28"/>
          <w:szCs w:val="28"/>
        </w:rPr>
      </w:pPr>
      <w:r>
        <w:rPr>
          <w:rFonts w:hint="eastAsia" w:cs="黑体"/>
          <w:b/>
          <w:bCs/>
          <w:sz w:val="28"/>
          <w:szCs w:val="28"/>
        </w:rPr>
        <w:t>三、技术规范</w:t>
      </w:r>
    </w:p>
    <w:p w14:paraId="7B6173D5">
      <w:pPr>
        <w:widowControl/>
        <w:numPr>
          <w:ilvl w:val="0"/>
          <w:numId w:val="12"/>
        </w:numPr>
        <w:spacing w:line="540" w:lineRule="atLeast"/>
        <w:ind w:firstLine="560"/>
        <w:rPr>
          <w:sz w:val="28"/>
          <w:szCs w:val="28"/>
        </w:rPr>
      </w:pPr>
      <w:r>
        <w:rPr>
          <w:rFonts w:hint="eastAsia"/>
          <w:sz w:val="28"/>
          <w:szCs w:val="28"/>
        </w:rPr>
        <w:t>《国土空间调查、规划、用途管制用地用海分类指南》（自然资发〔2023〕234号）</w:t>
      </w:r>
    </w:p>
    <w:p w14:paraId="79FCFA7E">
      <w:pPr>
        <w:widowControl/>
        <w:numPr>
          <w:ilvl w:val="0"/>
          <w:numId w:val="12"/>
        </w:numPr>
        <w:spacing w:line="540" w:lineRule="atLeast"/>
        <w:ind w:firstLine="560"/>
        <w:rPr>
          <w:sz w:val="28"/>
          <w:szCs w:val="28"/>
        </w:rPr>
      </w:pPr>
      <w:bookmarkStart w:id="64" w:name="_Ref233797335"/>
      <w:r>
        <w:rPr>
          <w:rFonts w:hint="eastAsia"/>
          <w:sz w:val="28"/>
          <w:szCs w:val="28"/>
        </w:rPr>
        <w:t>《村镇供水工程技术规范》（GB/T43824）</w:t>
      </w:r>
      <w:bookmarkEnd w:id="64"/>
    </w:p>
    <w:p w14:paraId="3A139BF4">
      <w:pPr>
        <w:widowControl/>
        <w:numPr>
          <w:ilvl w:val="0"/>
          <w:numId w:val="12"/>
        </w:numPr>
        <w:spacing w:line="540" w:lineRule="atLeast"/>
        <w:ind w:firstLine="560"/>
        <w:rPr>
          <w:sz w:val="28"/>
          <w:szCs w:val="28"/>
        </w:rPr>
      </w:pPr>
      <w:bookmarkStart w:id="65" w:name="_Ref233797261"/>
      <w:r>
        <w:rPr>
          <w:rFonts w:hint="eastAsia"/>
          <w:sz w:val="28"/>
          <w:szCs w:val="28"/>
        </w:rPr>
        <w:t>《城乡排水工程项目规范》（GB55027）</w:t>
      </w:r>
      <w:bookmarkEnd w:id="65"/>
    </w:p>
    <w:p w14:paraId="3E7415C8">
      <w:pPr>
        <w:widowControl/>
        <w:numPr>
          <w:ilvl w:val="0"/>
          <w:numId w:val="12"/>
        </w:numPr>
        <w:spacing w:line="540" w:lineRule="atLeast"/>
        <w:ind w:firstLine="560"/>
        <w:rPr>
          <w:sz w:val="28"/>
          <w:szCs w:val="28"/>
        </w:rPr>
      </w:pPr>
      <w:bookmarkStart w:id="66" w:name="_Ref233797278"/>
      <w:r>
        <w:rPr>
          <w:rFonts w:hint="eastAsia"/>
          <w:sz w:val="28"/>
          <w:szCs w:val="28"/>
        </w:rPr>
        <w:t>《环境卫生设施设置标准》（CJJ27）</w:t>
      </w:r>
      <w:bookmarkEnd w:id="66"/>
    </w:p>
    <w:p w14:paraId="50BE035C">
      <w:pPr>
        <w:widowControl/>
        <w:numPr>
          <w:ilvl w:val="0"/>
          <w:numId w:val="12"/>
        </w:numPr>
        <w:spacing w:line="540" w:lineRule="atLeast"/>
        <w:ind w:firstLine="560"/>
        <w:rPr>
          <w:color w:val="auto"/>
          <w:sz w:val="28"/>
          <w:szCs w:val="28"/>
        </w:rPr>
      </w:pPr>
      <w:bookmarkStart w:id="67" w:name="_Ref233797184"/>
      <w:bookmarkStart w:id="68" w:name="_Ref233798548"/>
      <w:bookmarkStart w:id="69" w:name="_Ref233809667"/>
      <w:r>
        <w:rPr>
          <w:rFonts w:hint="eastAsia"/>
          <w:color w:val="auto"/>
          <w:sz w:val="28"/>
          <w:szCs w:val="28"/>
        </w:rPr>
        <w:t>《防洪标准》（GB50201）</w:t>
      </w:r>
      <w:bookmarkEnd w:id="67"/>
    </w:p>
    <w:p w14:paraId="5C33D4DF">
      <w:pPr>
        <w:numPr>
          <w:ilvl w:val="0"/>
          <w:numId w:val="12"/>
        </w:numPr>
        <w:spacing w:line="540" w:lineRule="atLeast"/>
        <w:ind w:firstLine="560"/>
      </w:pPr>
      <w:bookmarkStart w:id="70" w:name="_Ref233811067"/>
      <w:r>
        <w:rPr>
          <w:rFonts w:hint="eastAsia"/>
          <w:color w:val="auto"/>
          <w:sz w:val="28"/>
          <w:szCs w:val="28"/>
        </w:rPr>
        <w:t>《中国地震动参数区划图》（GB18306-2015）</w:t>
      </w:r>
      <w:bookmarkEnd w:id="70"/>
    </w:p>
    <w:p w14:paraId="1481B025">
      <w:pPr>
        <w:numPr>
          <w:ilvl w:val="0"/>
          <w:numId w:val="12"/>
        </w:numPr>
        <w:spacing w:line="540" w:lineRule="atLeast"/>
        <w:ind w:firstLine="560"/>
        <w:rPr>
          <w:color w:val="auto"/>
          <w:sz w:val="28"/>
          <w:szCs w:val="28"/>
        </w:rPr>
      </w:pPr>
      <w:r>
        <w:rPr>
          <w:rFonts w:hint="eastAsia"/>
          <w:color w:val="auto"/>
          <w:sz w:val="28"/>
          <w:szCs w:val="28"/>
        </w:rPr>
        <w:t>《建筑与市政工程抗震通用规范》（GB 55002）</w:t>
      </w:r>
    </w:p>
    <w:p w14:paraId="1CF7656D">
      <w:pPr>
        <w:widowControl/>
        <w:numPr>
          <w:ilvl w:val="0"/>
          <w:numId w:val="12"/>
        </w:numPr>
        <w:spacing w:line="540" w:lineRule="atLeast"/>
        <w:ind w:firstLine="560"/>
        <w:rPr>
          <w:color w:val="auto"/>
          <w:sz w:val="28"/>
          <w:szCs w:val="28"/>
        </w:rPr>
      </w:pPr>
      <w:r>
        <w:rPr>
          <w:rFonts w:hint="eastAsia"/>
          <w:color w:val="auto"/>
          <w:sz w:val="28"/>
          <w:szCs w:val="28"/>
        </w:rPr>
        <w:t>《建筑防火通用规范》（GB55037）</w:t>
      </w:r>
      <w:bookmarkEnd w:id="68"/>
    </w:p>
    <w:p w14:paraId="199A4F1D">
      <w:pPr>
        <w:widowControl/>
        <w:numPr>
          <w:ilvl w:val="0"/>
          <w:numId w:val="12"/>
        </w:numPr>
        <w:spacing w:line="540" w:lineRule="atLeast"/>
        <w:ind w:firstLine="560"/>
        <w:rPr>
          <w:color w:val="auto"/>
          <w:sz w:val="28"/>
          <w:szCs w:val="28"/>
        </w:rPr>
      </w:pPr>
      <w:bookmarkStart w:id="71" w:name="_Ref233797782"/>
      <w:r>
        <w:rPr>
          <w:rFonts w:hint="eastAsia"/>
          <w:color w:val="auto"/>
          <w:sz w:val="28"/>
          <w:szCs w:val="28"/>
        </w:rPr>
        <w:t>《农村防火规范》（GB50039）</w:t>
      </w:r>
      <w:bookmarkEnd w:id="71"/>
    </w:p>
    <w:p w14:paraId="0C5C6C3F">
      <w:pPr>
        <w:widowControl/>
        <w:numPr>
          <w:ilvl w:val="0"/>
          <w:numId w:val="12"/>
        </w:numPr>
        <w:spacing w:line="540" w:lineRule="atLeast"/>
        <w:ind w:firstLine="560"/>
        <w:rPr>
          <w:sz w:val="28"/>
          <w:szCs w:val="28"/>
        </w:rPr>
      </w:pPr>
      <w:r>
        <w:rPr>
          <w:rFonts w:hint="eastAsia"/>
          <w:sz w:val="28"/>
          <w:szCs w:val="28"/>
        </w:rPr>
        <w:t>《工业项目建设用地控制指标》（2023年）</w:t>
      </w:r>
    </w:p>
    <w:p w14:paraId="18571D91">
      <w:pPr>
        <w:widowControl/>
        <w:numPr>
          <w:ilvl w:val="0"/>
          <w:numId w:val="12"/>
        </w:numPr>
        <w:spacing w:line="540" w:lineRule="atLeast"/>
        <w:ind w:firstLine="560"/>
        <w:rPr>
          <w:sz w:val="28"/>
          <w:szCs w:val="28"/>
        </w:rPr>
      </w:pPr>
      <w:r>
        <w:rPr>
          <w:rFonts w:hint="eastAsia"/>
          <w:sz w:val="28"/>
          <w:szCs w:val="28"/>
        </w:rPr>
        <w:t>《重庆市工业用地规划导则》（2021年修订）</w:t>
      </w:r>
    </w:p>
    <w:bookmarkEnd w:id="69"/>
    <w:p w14:paraId="6AF3D677">
      <w:pPr>
        <w:widowControl/>
        <w:numPr>
          <w:ilvl w:val="0"/>
          <w:numId w:val="12"/>
        </w:numPr>
        <w:spacing w:line="540" w:lineRule="atLeast"/>
        <w:ind w:firstLine="560"/>
        <w:rPr>
          <w:sz w:val="28"/>
          <w:szCs w:val="28"/>
        </w:rPr>
      </w:pPr>
      <w:bookmarkStart w:id="72" w:name="_Ref233808617"/>
      <w:r>
        <w:rPr>
          <w:rFonts w:hint="eastAsia"/>
          <w:sz w:val="28"/>
          <w:szCs w:val="28"/>
        </w:rPr>
        <w:t>《城乡公共服务设施规划规范》（DB50/T543-2024）</w:t>
      </w:r>
      <w:bookmarkEnd w:id="72"/>
    </w:p>
    <w:p w14:paraId="60F710EE">
      <w:pPr>
        <w:numPr>
          <w:ilvl w:val="0"/>
          <w:numId w:val="12"/>
        </w:numPr>
        <w:spacing w:line="540" w:lineRule="atLeast"/>
        <w:ind w:firstLine="560"/>
        <w:rPr>
          <w:sz w:val="28"/>
          <w:szCs w:val="28"/>
        </w:rPr>
      </w:pPr>
      <w:bookmarkStart w:id="73" w:name="_Ref233809707"/>
      <w:r>
        <w:rPr>
          <w:rFonts w:hint="eastAsia"/>
          <w:sz w:val="28"/>
          <w:szCs w:val="28"/>
        </w:rPr>
        <w:t>《公益性公墓建设规范》（DB50/T535）</w:t>
      </w:r>
      <w:bookmarkEnd w:id="73"/>
    </w:p>
    <w:p w14:paraId="6714773D">
      <w:pPr>
        <w:numPr>
          <w:ilvl w:val="0"/>
          <w:numId w:val="12"/>
        </w:numPr>
        <w:spacing w:line="540" w:lineRule="atLeast"/>
        <w:ind w:firstLine="560"/>
        <w:rPr>
          <w:sz w:val="28"/>
          <w:szCs w:val="28"/>
        </w:rPr>
      </w:pPr>
      <w:r>
        <w:rPr>
          <w:rFonts w:hint="eastAsia"/>
          <w:sz w:val="28"/>
          <w:szCs w:val="28"/>
        </w:rPr>
        <w:t>《重庆市城市规划管理技术规定</w:t>
      </w:r>
      <w:bookmarkStart w:id="94" w:name="_GoBack"/>
      <w:bookmarkEnd w:id="94"/>
      <w:r>
        <w:rPr>
          <w:rFonts w:hint="eastAsia"/>
          <w:sz w:val="28"/>
          <w:szCs w:val="28"/>
        </w:rPr>
        <w:t>》（2018年）</w:t>
      </w:r>
    </w:p>
    <w:p w14:paraId="0CD139DE">
      <w:pPr>
        <w:numPr>
          <w:ilvl w:val="0"/>
          <w:numId w:val="12"/>
        </w:numPr>
        <w:spacing w:line="540" w:lineRule="atLeast"/>
        <w:ind w:firstLine="560"/>
        <w:rPr>
          <w:sz w:val="28"/>
          <w:szCs w:val="28"/>
        </w:rPr>
      </w:pPr>
      <w:bookmarkStart w:id="74" w:name="_Ref233798597"/>
      <w:r>
        <w:rPr>
          <w:rFonts w:hint="eastAsia"/>
          <w:sz w:val="28"/>
          <w:szCs w:val="28"/>
        </w:rPr>
        <w:t>《美丽重庆乡村风貌规划导则》（YGZB04-2024）</w:t>
      </w:r>
      <w:bookmarkEnd w:id="74"/>
    </w:p>
    <w:p w14:paraId="3B049ED9">
      <w:pPr>
        <w:numPr>
          <w:ilvl w:val="0"/>
          <w:numId w:val="12"/>
        </w:numPr>
        <w:spacing w:line="540" w:lineRule="atLeast"/>
        <w:ind w:firstLine="560"/>
        <w:rPr>
          <w:rFonts w:cs="黑体"/>
          <w:b/>
          <w:bCs/>
          <w:sz w:val="28"/>
          <w:szCs w:val="28"/>
        </w:rPr>
      </w:pPr>
      <w:bookmarkStart w:id="75" w:name="_Ref233811464"/>
      <w:bookmarkStart w:id="76" w:name="_Ref233810873"/>
      <w:r>
        <w:rPr>
          <w:rFonts w:hint="eastAsia"/>
          <w:sz w:val="28"/>
          <w:szCs w:val="28"/>
        </w:rPr>
        <w:t>《重庆市宅基地规划布局和农村村民住宅建筑风貌指引》（2025年）</w:t>
      </w:r>
      <w:bookmarkEnd w:id="75"/>
      <w:bookmarkEnd w:id="76"/>
    </w:p>
    <w:p w14:paraId="6A5B14AA">
      <w:pPr>
        <w:widowControl/>
        <w:spacing w:line="540" w:lineRule="atLeast"/>
        <w:ind w:firstLine="0" w:firstLineChars="0"/>
        <w:rPr>
          <w:rFonts w:cs="黑体"/>
          <w:b/>
          <w:bCs/>
          <w:sz w:val="28"/>
          <w:szCs w:val="28"/>
        </w:rPr>
      </w:pPr>
      <w:r>
        <w:rPr>
          <w:rFonts w:hint="eastAsia" w:cs="黑体"/>
          <w:b/>
          <w:bCs/>
          <w:sz w:val="28"/>
          <w:szCs w:val="28"/>
        </w:rPr>
        <w:t>四、相关规划</w:t>
      </w:r>
    </w:p>
    <w:p w14:paraId="22FD41D8">
      <w:pPr>
        <w:pStyle w:val="42"/>
        <w:widowControl/>
        <w:numPr>
          <w:ilvl w:val="0"/>
          <w:numId w:val="13"/>
        </w:numPr>
        <w:spacing w:line="540" w:lineRule="atLeast"/>
        <w:ind w:firstLine="560"/>
        <w:rPr>
          <w:sz w:val="28"/>
          <w:szCs w:val="28"/>
        </w:rPr>
      </w:pPr>
      <w:r>
        <w:rPr>
          <w:rFonts w:hint="eastAsia"/>
          <w:sz w:val="28"/>
          <w:szCs w:val="28"/>
        </w:rPr>
        <w:t>《重庆市</w:t>
      </w:r>
      <w:r>
        <w:rPr>
          <w:rFonts w:hint="eastAsia"/>
          <w:sz w:val="28"/>
          <w:szCs w:val="28"/>
          <w:lang w:val="en-US" w:eastAsia="zh-CN"/>
        </w:rPr>
        <w:t>巫溪县</w:t>
      </w:r>
      <w:r>
        <w:rPr>
          <w:rFonts w:hint="eastAsia"/>
          <w:sz w:val="28"/>
          <w:szCs w:val="28"/>
        </w:rPr>
        <w:t>国民经济和社会发展第十五个五年规划纲要》</w:t>
      </w:r>
    </w:p>
    <w:p w14:paraId="6D6D8AB2">
      <w:pPr>
        <w:pStyle w:val="42"/>
        <w:widowControl/>
        <w:numPr>
          <w:ilvl w:val="0"/>
          <w:numId w:val="13"/>
        </w:numPr>
        <w:spacing w:line="540" w:lineRule="atLeast"/>
        <w:ind w:firstLine="560"/>
        <w:rPr>
          <w:sz w:val="28"/>
          <w:szCs w:val="28"/>
        </w:rPr>
      </w:pPr>
      <w:bookmarkStart w:id="77" w:name="_Ref233811617"/>
      <w:r>
        <w:rPr>
          <w:rFonts w:hint="eastAsia"/>
          <w:sz w:val="28"/>
          <w:szCs w:val="28"/>
        </w:rPr>
        <w:t>《</w:t>
      </w:r>
      <w:r>
        <w:rPr>
          <w:rFonts w:hint="eastAsia"/>
          <w:sz w:val="28"/>
          <w:szCs w:val="28"/>
          <w:lang w:val="en-US" w:eastAsia="zh-CN"/>
        </w:rPr>
        <w:t>重庆市巫溪县</w:t>
      </w:r>
      <w:r>
        <w:rPr>
          <w:rFonts w:hint="eastAsia"/>
          <w:sz w:val="28"/>
          <w:szCs w:val="28"/>
        </w:rPr>
        <w:t>国土空间总体规划（2021—2035年）》</w:t>
      </w:r>
      <w:bookmarkEnd w:id="77"/>
    </w:p>
    <w:p w14:paraId="25AEE32E">
      <w:pPr>
        <w:pStyle w:val="42"/>
        <w:widowControl/>
        <w:numPr>
          <w:ilvl w:val="0"/>
          <w:numId w:val="13"/>
        </w:numPr>
        <w:spacing w:line="540" w:lineRule="atLeast"/>
        <w:ind w:firstLine="560"/>
        <w:rPr>
          <w:sz w:val="28"/>
          <w:szCs w:val="28"/>
          <w:highlight w:val="none"/>
        </w:rPr>
      </w:pPr>
      <w:r>
        <w:rPr>
          <w:rFonts w:hint="eastAsia"/>
          <w:sz w:val="28"/>
          <w:szCs w:val="28"/>
          <w:highlight w:val="none"/>
        </w:rPr>
        <w:t>《重庆市</w:t>
      </w:r>
      <w:r>
        <w:rPr>
          <w:rFonts w:hint="eastAsia"/>
          <w:sz w:val="28"/>
          <w:szCs w:val="28"/>
          <w:highlight w:val="none"/>
          <w:lang w:val="en-US" w:eastAsia="zh-CN"/>
        </w:rPr>
        <w:t>巫溪县</w:t>
      </w:r>
      <w:r>
        <w:rPr>
          <w:rFonts w:hint="eastAsia"/>
          <w:sz w:val="28"/>
          <w:szCs w:val="28"/>
          <w:highlight w:val="none"/>
        </w:rPr>
        <w:t>耕地占补平衡和国土绿化空间专项规划（202</w:t>
      </w:r>
      <w:r>
        <w:rPr>
          <w:rFonts w:hint="eastAsia"/>
          <w:sz w:val="28"/>
          <w:szCs w:val="28"/>
          <w:highlight w:val="none"/>
          <w:lang w:val="en-US" w:eastAsia="zh-CN"/>
        </w:rPr>
        <w:t>5</w:t>
      </w:r>
      <w:r>
        <w:rPr>
          <w:rFonts w:hint="eastAsia"/>
          <w:sz w:val="28"/>
          <w:szCs w:val="28"/>
          <w:highlight w:val="none"/>
        </w:rPr>
        <w:t>—2035年）》</w:t>
      </w:r>
      <w:r>
        <w:rPr>
          <w:rFonts w:hint="eastAsia" w:cs="___WRD_EMBED_SUB_47"/>
          <w:sz w:val="28"/>
          <w:szCs w:val="28"/>
          <w:highlight w:val="none"/>
          <w:lang w:val="en-US" w:eastAsia="zh-CN"/>
        </w:rPr>
        <w:t>（在编）</w:t>
      </w:r>
    </w:p>
    <w:p w14:paraId="11FC0442">
      <w:pPr>
        <w:pStyle w:val="42"/>
        <w:widowControl/>
        <w:numPr>
          <w:ilvl w:val="0"/>
          <w:numId w:val="13"/>
        </w:numPr>
        <w:spacing w:line="540" w:lineRule="atLeast"/>
        <w:ind w:firstLine="560"/>
        <w:rPr>
          <w:sz w:val="28"/>
          <w:szCs w:val="28"/>
          <w:highlight w:val="none"/>
        </w:rPr>
      </w:pPr>
      <w:r>
        <w:rPr>
          <w:rFonts w:hint="eastAsia"/>
          <w:sz w:val="28"/>
          <w:szCs w:val="28"/>
          <w:highlight w:val="none"/>
        </w:rPr>
        <w:t>《重庆市</w:t>
      </w:r>
      <w:r>
        <w:rPr>
          <w:rFonts w:hint="eastAsia"/>
          <w:sz w:val="28"/>
          <w:szCs w:val="28"/>
          <w:highlight w:val="none"/>
          <w:lang w:val="en-US" w:eastAsia="zh-CN"/>
        </w:rPr>
        <w:t>巫溪县</w:t>
      </w:r>
      <w:r>
        <w:rPr>
          <w:rFonts w:hint="eastAsia"/>
          <w:sz w:val="28"/>
          <w:szCs w:val="28"/>
          <w:highlight w:val="none"/>
        </w:rPr>
        <w:t>殡葬设施专项规划（202</w:t>
      </w:r>
      <w:r>
        <w:rPr>
          <w:rFonts w:hint="eastAsia"/>
          <w:sz w:val="28"/>
          <w:szCs w:val="28"/>
          <w:highlight w:val="none"/>
          <w:lang w:val="en-US" w:eastAsia="zh-CN"/>
        </w:rPr>
        <w:t>6</w:t>
      </w:r>
      <w:r>
        <w:rPr>
          <w:rFonts w:hint="eastAsia"/>
          <w:sz w:val="28"/>
          <w:szCs w:val="28"/>
          <w:highlight w:val="none"/>
        </w:rPr>
        <w:t>—2035年）》</w:t>
      </w:r>
      <w:r>
        <w:rPr>
          <w:rFonts w:hint="eastAsia" w:cs="___WRD_EMBED_SUB_47"/>
          <w:sz w:val="28"/>
          <w:szCs w:val="28"/>
          <w:highlight w:val="none"/>
          <w:lang w:val="en-US" w:eastAsia="zh-CN"/>
        </w:rPr>
        <w:t>（在编）</w:t>
      </w:r>
    </w:p>
    <w:p w14:paraId="28D26E13">
      <w:pPr>
        <w:pStyle w:val="42"/>
        <w:numPr>
          <w:ilvl w:val="0"/>
          <w:numId w:val="13"/>
        </w:numPr>
        <w:spacing w:line="540" w:lineRule="atLeast"/>
        <w:ind w:firstLine="560"/>
        <w:rPr>
          <w:rFonts w:hint="eastAsia" w:cs="___WRD_EMBED_SUB_47"/>
          <w:sz w:val="28"/>
          <w:szCs w:val="28"/>
          <w:highlight w:val="none"/>
        </w:rPr>
      </w:pPr>
      <w:r>
        <w:rPr>
          <w:rFonts w:hint="eastAsia" w:cs="___WRD_EMBED_SUB_47"/>
          <w:sz w:val="28"/>
          <w:szCs w:val="28"/>
          <w:highlight w:val="none"/>
          <w:lang w:val="en-US" w:eastAsia="zh-CN"/>
        </w:rPr>
        <w:t>《巫溪县矿产资源总体规划（2026—2030年）》（在编）</w:t>
      </w:r>
    </w:p>
    <w:p w14:paraId="4A837FC8">
      <w:pPr>
        <w:pStyle w:val="42"/>
        <w:numPr>
          <w:ilvl w:val="0"/>
          <w:numId w:val="13"/>
        </w:numPr>
        <w:spacing w:line="540" w:lineRule="atLeast"/>
        <w:ind w:firstLine="560"/>
        <w:rPr>
          <w:rFonts w:hint="eastAsia" w:cs="___WRD_EMBED_SUB_47"/>
          <w:sz w:val="28"/>
          <w:szCs w:val="28"/>
        </w:rPr>
      </w:pPr>
      <w:r>
        <w:rPr>
          <w:rFonts w:hint="eastAsia" w:cs="___WRD_EMBED_SUB_47"/>
          <w:sz w:val="28"/>
          <w:szCs w:val="28"/>
        </w:rPr>
        <w:t>其他相关法律法规及规章、政策文件、技术标准和规划计划。</w:t>
      </w:r>
    </w:p>
    <w:p w14:paraId="2D7F0BF8">
      <w:pPr>
        <w:jc w:val="left"/>
      </w:pPr>
      <w:r>
        <w:rPr>
          <w:rFonts w:hint="eastAsia"/>
        </w:rPr>
        <w:br w:type="page"/>
      </w:r>
    </w:p>
    <w:p w14:paraId="4162F37B">
      <w:pPr>
        <w:pStyle w:val="4"/>
        <w:spacing w:line="240" w:lineRule="auto"/>
        <w:jc w:val="left"/>
        <w:rPr>
          <w:rFonts w:eastAsia="方正仿宋_GBK" w:cs="方正仿宋_GB2312"/>
          <w:b w:val="0"/>
          <w:bCs/>
        </w:rPr>
      </w:pPr>
      <w:bookmarkStart w:id="78" w:name="_Toc18652"/>
      <w:r>
        <w:rPr>
          <w:rFonts w:hint="eastAsia" w:eastAsia="方正仿宋_GBK" w:cs="方正仿宋_GB2312"/>
          <w:b w:val="0"/>
          <w:bCs/>
          <w:lang w:val="en-US" w:eastAsia="zh-CN"/>
        </w:rPr>
        <w:t>附录</w:t>
      </w:r>
      <w:r>
        <w:rPr>
          <w:rFonts w:hint="eastAsia" w:eastAsia="方正仿宋_GBK" w:cs="方正仿宋_GB2312"/>
          <w:b w:val="0"/>
          <w:bCs/>
        </w:rPr>
        <w:t>2</w:t>
      </w:r>
      <w:bookmarkEnd w:id="78"/>
    </w:p>
    <w:p w14:paraId="1164F27E">
      <w:pPr>
        <w:pStyle w:val="5"/>
        <w:ind w:firstLine="0" w:firstLineChars="0"/>
        <w:jc w:val="center"/>
        <w:rPr>
          <w:rFonts w:ascii="Times New Roman" w:hAnsi="Times New Roman" w:eastAsia="方正小标宋_GBK" w:cs="方正小标宋_GBK"/>
          <w:b w:val="0"/>
          <w:bCs/>
          <w:kern w:val="44"/>
        </w:rPr>
      </w:pPr>
      <w:bookmarkStart w:id="79" w:name="_Toc9735"/>
      <w:r>
        <w:rPr>
          <w:rFonts w:hint="eastAsia" w:ascii="Times New Roman" w:hAnsi="Times New Roman" w:eastAsia="方正小标宋_GBK" w:cs="方正小标宋_GBK"/>
          <w:b w:val="0"/>
          <w:bCs/>
          <w:kern w:val="44"/>
        </w:rPr>
        <w:t>乡村地区“通则式”规划管理规定适用情形一览表</w:t>
      </w:r>
      <w:bookmarkEnd w:id="79"/>
    </w:p>
    <w:tbl>
      <w:tblPr>
        <w:tblStyle w:val="23"/>
        <w:tblW w:w="8798" w:type="dxa"/>
        <w:tblInd w:w="102" w:type="dxa"/>
        <w:tblLayout w:type="fixed"/>
        <w:tblCellMar>
          <w:top w:w="0" w:type="dxa"/>
          <w:left w:w="108" w:type="dxa"/>
          <w:bottom w:w="0" w:type="dxa"/>
          <w:right w:w="108" w:type="dxa"/>
        </w:tblCellMar>
      </w:tblPr>
      <w:tblGrid>
        <w:gridCol w:w="1123"/>
        <w:gridCol w:w="1974"/>
        <w:gridCol w:w="2580"/>
        <w:gridCol w:w="540"/>
        <w:gridCol w:w="510"/>
        <w:gridCol w:w="510"/>
        <w:gridCol w:w="1561"/>
      </w:tblGrid>
      <w:tr w14:paraId="02088A09">
        <w:tblPrEx>
          <w:tblCellMar>
            <w:top w:w="0" w:type="dxa"/>
            <w:left w:w="108" w:type="dxa"/>
            <w:bottom w:w="0" w:type="dxa"/>
            <w:right w:w="108" w:type="dxa"/>
          </w:tblCellMar>
        </w:tblPrEx>
        <w:trPr>
          <w:trHeight w:val="23" w:hRule="atLeast"/>
          <w:tblHeader/>
        </w:trPr>
        <w:tc>
          <w:tcPr>
            <w:tcW w:w="3097"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869E05F">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用地类型</w:t>
            </w:r>
          </w:p>
        </w:tc>
        <w:tc>
          <w:tcPr>
            <w:tcW w:w="2580" w:type="dxa"/>
            <w:vMerge w:val="restart"/>
            <w:tcBorders>
              <w:top w:val="single" w:color="000000" w:sz="4" w:space="0"/>
              <w:left w:val="single" w:color="000000" w:sz="4" w:space="0"/>
              <w:bottom w:val="single" w:color="000000" w:sz="4" w:space="0"/>
              <w:right w:val="single" w:color="000000" w:sz="4" w:space="0"/>
            </w:tcBorders>
            <w:vAlign w:val="center"/>
          </w:tcPr>
          <w:p w14:paraId="6702D2C6">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具体建设内容</w:t>
            </w:r>
          </w:p>
        </w:tc>
        <w:tc>
          <w:tcPr>
            <w:tcW w:w="3121" w:type="dxa"/>
            <w:gridSpan w:val="4"/>
            <w:tcBorders>
              <w:top w:val="single" w:color="000000" w:sz="4" w:space="0"/>
              <w:left w:val="single" w:color="000000" w:sz="4" w:space="0"/>
              <w:bottom w:val="single" w:color="000000" w:sz="4" w:space="0"/>
              <w:right w:val="single" w:color="000000" w:sz="4" w:space="0"/>
            </w:tcBorders>
            <w:vAlign w:val="center"/>
          </w:tcPr>
          <w:p w14:paraId="2630CB50">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土地利用情况</w:t>
            </w:r>
          </w:p>
        </w:tc>
      </w:tr>
      <w:tr w14:paraId="7D55B022">
        <w:tblPrEx>
          <w:tblCellMar>
            <w:top w:w="0" w:type="dxa"/>
            <w:left w:w="108" w:type="dxa"/>
            <w:bottom w:w="0" w:type="dxa"/>
            <w:right w:w="108" w:type="dxa"/>
          </w:tblCellMar>
        </w:tblPrEx>
        <w:trPr>
          <w:trHeight w:val="23" w:hRule="atLeast"/>
          <w:tblHeader/>
        </w:trPr>
        <w:tc>
          <w:tcPr>
            <w:tcW w:w="309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FD5A4C8">
            <w:pPr>
              <w:spacing w:line="240" w:lineRule="auto"/>
              <w:ind w:firstLine="480"/>
              <w:jc w:val="center"/>
              <w:rPr>
                <w:rFonts w:ascii="Times New Roman" w:hAnsi="Times New Roman" w:cs="方正仿宋_GBK"/>
                <w:color w:val="auto"/>
                <w:sz w:val="24"/>
                <w:szCs w:val="24"/>
              </w:rPr>
            </w:pPr>
          </w:p>
        </w:tc>
        <w:tc>
          <w:tcPr>
            <w:tcW w:w="2580" w:type="dxa"/>
            <w:vMerge w:val="continue"/>
            <w:tcBorders>
              <w:top w:val="single" w:color="000000" w:sz="4" w:space="0"/>
              <w:left w:val="single" w:color="000000" w:sz="4" w:space="0"/>
              <w:bottom w:val="single" w:color="000000" w:sz="4" w:space="0"/>
              <w:right w:val="single" w:color="000000" w:sz="4" w:space="0"/>
            </w:tcBorders>
            <w:vAlign w:val="center"/>
          </w:tcPr>
          <w:p w14:paraId="32BC65ED">
            <w:pPr>
              <w:spacing w:line="240" w:lineRule="auto"/>
              <w:ind w:firstLine="480"/>
              <w:jc w:val="center"/>
              <w:rPr>
                <w:rFonts w:ascii="Times New Roman" w:hAnsi="Times New Roman" w:cs="方正仿宋_GBK"/>
                <w:color w:val="auto"/>
                <w:sz w:val="24"/>
                <w:szCs w:val="24"/>
              </w:rPr>
            </w:pPr>
          </w:p>
        </w:tc>
        <w:tc>
          <w:tcPr>
            <w:tcW w:w="540" w:type="dxa"/>
            <w:vMerge w:val="restart"/>
            <w:tcBorders>
              <w:top w:val="single" w:color="000000" w:sz="4" w:space="0"/>
              <w:left w:val="single" w:color="000000" w:sz="4" w:space="0"/>
              <w:bottom w:val="single" w:color="000000" w:sz="4" w:space="0"/>
              <w:right w:val="single" w:color="000000" w:sz="4" w:space="0"/>
            </w:tcBorders>
            <w:vAlign w:val="center"/>
          </w:tcPr>
          <w:p w14:paraId="555C1D32">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新增建设用地</w:t>
            </w:r>
          </w:p>
        </w:tc>
        <w:tc>
          <w:tcPr>
            <w:tcW w:w="2581" w:type="dxa"/>
            <w:gridSpan w:val="3"/>
            <w:tcBorders>
              <w:top w:val="single" w:color="000000" w:sz="4" w:space="0"/>
              <w:left w:val="single" w:color="000000" w:sz="4" w:space="0"/>
              <w:bottom w:val="single" w:color="000000" w:sz="4" w:space="0"/>
              <w:right w:val="single" w:color="000000" w:sz="4" w:space="0"/>
            </w:tcBorders>
            <w:vAlign w:val="center"/>
          </w:tcPr>
          <w:p w14:paraId="2A85EEA3">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存量建设用地</w:t>
            </w:r>
          </w:p>
        </w:tc>
      </w:tr>
      <w:tr w14:paraId="0CE131E7">
        <w:tblPrEx>
          <w:tblCellMar>
            <w:top w:w="0" w:type="dxa"/>
            <w:left w:w="108" w:type="dxa"/>
            <w:bottom w:w="0" w:type="dxa"/>
            <w:right w:w="108" w:type="dxa"/>
          </w:tblCellMar>
        </w:tblPrEx>
        <w:trPr>
          <w:trHeight w:val="23" w:hRule="atLeast"/>
          <w:tblHeader/>
        </w:trPr>
        <w:tc>
          <w:tcPr>
            <w:tcW w:w="309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19129C0">
            <w:pPr>
              <w:spacing w:line="240" w:lineRule="auto"/>
              <w:ind w:firstLine="480"/>
              <w:jc w:val="center"/>
              <w:rPr>
                <w:rFonts w:ascii="Times New Roman" w:hAnsi="Times New Roman" w:cs="方正仿宋_GBK"/>
                <w:color w:val="auto"/>
                <w:sz w:val="24"/>
                <w:szCs w:val="24"/>
              </w:rPr>
            </w:pPr>
          </w:p>
        </w:tc>
        <w:tc>
          <w:tcPr>
            <w:tcW w:w="2580" w:type="dxa"/>
            <w:vMerge w:val="continue"/>
            <w:tcBorders>
              <w:top w:val="single" w:color="000000" w:sz="4" w:space="0"/>
              <w:left w:val="single" w:color="000000" w:sz="4" w:space="0"/>
              <w:bottom w:val="single" w:color="000000" w:sz="4" w:space="0"/>
              <w:right w:val="single" w:color="000000" w:sz="4" w:space="0"/>
            </w:tcBorders>
            <w:vAlign w:val="center"/>
          </w:tcPr>
          <w:p w14:paraId="629CE89F">
            <w:pPr>
              <w:spacing w:line="240" w:lineRule="auto"/>
              <w:ind w:firstLine="480"/>
              <w:jc w:val="center"/>
              <w:rPr>
                <w:rFonts w:ascii="Times New Roman" w:hAnsi="Times New Roman" w:cs="方正仿宋_GBK"/>
                <w:color w:val="auto"/>
                <w:sz w:val="24"/>
                <w:szCs w:val="24"/>
              </w:rPr>
            </w:pPr>
          </w:p>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77E7044F">
            <w:pPr>
              <w:spacing w:line="240" w:lineRule="auto"/>
              <w:ind w:firstLine="480"/>
              <w:jc w:val="center"/>
              <w:rPr>
                <w:rFonts w:ascii="Times New Roman" w:hAnsi="Times New Roman" w:cs="方正仿宋_GBK"/>
                <w:color w:val="auto"/>
                <w:sz w:val="24"/>
                <w:szCs w:val="24"/>
              </w:rPr>
            </w:pPr>
          </w:p>
        </w:tc>
        <w:tc>
          <w:tcPr>
            <w:tcW w:w="510" w:type="dxa"/>
            <w:vMerge w:val="restart"/>
            <w:tcBorders>
              <w:top w:val="single" w:color="000000" w:sz="4" w:space="0"/>
              <w:left w:val="single" w:color="000000" w:sz="4" w:space="0"/>
              <w:bottom w:val="single" w:color="000000" w:sz="4" w:space="0"/>
              <w:right w:val="single" w:color="000000" w:sz="4" w:space="0"/>
            </w:tcBorders>
            <w:vAlign w:val="center"/>
          </w:tcPr>
          <w:p w14:paraId="57394483">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改变用途</w:t>
            </w:r>
          </w:p>
        </w:tc>
        <w:tc>
          <w:tcPr>
            <w:tcW w:w="2071" w:type="dxa"/>
            <w:gridSpan w:val="2"/>
            <w:tcBorders>
              <w:top w:val="single" w:color="000000" w:sz="4" w:space="0"/>
              <w:left w:val="single" w:color="000000" w:sz="4" w:space="0"/>
              <w:bottom w:val="single" w:color="000000" w:sz="4" w:space="0"/>
              <w:right w:val="single" w:color="000000" w:sz="4" w:space="0"/>
            </w:tcBorders>
            <w:vAlign w:val="center"/>
          </w:tcPr>
          <w:p w14:paraId="2C0C2FD6">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使用原用途</w:t>
            </w:r>
          </w:p>
        </w:tc>
      </w:tr>
      <w:tr w14:paraId="385701A4">
        <w:tblPrEx>
          <w:tblCellMar>
            <w:top w:w="0" w:type="dxa"/>
            <w:left w:w="108" w:type="dxa"/>
            <w:bottom w:w="0" w:type="dxa"/>
            <w:right w:w="108" w:type="dxa"/>
          </w:tblCellMar>
        </w:tblPrEx>
        <w:trPr>
          <w:trHeight w:val="23" w:hRule="atLeast"/>
          <w:tblHeader/>
        </w:trPr>
        <w:tc>
          <w:tcPr>
            <w:tcW w:w="309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A5FDF8B">
            <w:pPr>
              <w:spacing w:line="240" w:lineRule="auto"/>
              <w:ind w:firstLine="480"/>
              <w:jc w:val="center"/>
              <w:rPr>
                <w:rFonts w:ascii="Times New Roman" w:hAnsi="Times New Roman" w:cs="方正仿宋_GBK"/>
                <w:color w:val="auto"/>
                <w:sz w:val="24"/>
                <w:szCs w:val="24"/>
              </w:rPr>
            </w:pPr>
          </w:p>
        </w:tc>
        <w:tc>
          <w:tcPr>
            <w:tcW w:w="2580" w:type="dxa"/>
            <w:vMerge w:val="continue"/>
            <w:tcBorders>
              <w:top w:val="single" w:color="000000" w:sz="4" w:space="0"/>
              <w:left w:val="single" w:color="000000" w:sz="4" w:space="0"/>
              <w:bottom w:val="single" w:color="000000" w:sz="4" w:space="0"/>
              <w:right w:val="single" w:color="000000" w:sz="4" w:space="0"/>
            </w:tcBorders>
            <w:vAlign w:val="center"/>
          </w:tcPr>
          <w:p w14:paraId="3770DD69">
            <w:pPr>
              <w:spacing w:line="240" w:lineRule="auto"/>
              <w:ind w:firstLine="480"/>
              <w:jc w:val="center"/>
              <w:rPr>
                <w:rFonts w:ascii="Times New Roman" w:hAnsi="Times New Roman" w:cs="方正仿宋_GBK"/>
                <w:color w:val="auto"/>
                <w:sz w:val="24"/>
                <w:szCs w:val="24"/>
              </w:rPr>
            </w:pPr>
          </w:p>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51ED7DB4">
            <w:pPr>
              <w:spacing w:line="240" w:lineRule="auto"/>
              <w:ind w:firstLine="480"/>
              <w:jc w:val="center"/>
              <w:rPr>
                <w:rFonts w:ascii="Times New Roman" w:hAnsi="Times New Roman" w:cs="方正仿宋_GBK"/>
                <w:color w:val="auto"/>
                <w:sz w:val="24"/>
                <w:szCs w:val="24"/>
              </w:rPr>
            </w:pPr>
          </w:p>
        </w:tc>
        <w:tc>
          <w:tcPr>
            <w:tcW w:w="510" w:type="dxa"/>
            <w:vMerge w:val="continue"/>
            <w:tcBorders>
              <w:top w:val="single" w:color="000000" w:sz="4" w:space="0"/>
              <w:left w:val="single" w:color="000000" w:sz="4" w:space="0"/>
              <w:bottom w:val="single" w:color="000000" w:sz="4" w:space="0"/>
              <w:right w:val="single" w:color="000000" w:sz="4" w:space="0"/>
            </w:tcBorders>
            <w:vAlign w:val="center"/>
          </w:tcPr>
          <w:p w14:paraId="316E3C4A">
            <w:pPr>
              <w:spacing w:line="240" w:lineRule="auto"/>
              <w:ind w:firstLine="480"/>
              <w:jc w:val="center"/>
              <w:rPr>
                <w:rFonts w:ascii="Times New Roman" w:hAnsi="Times New Roman" w:cs="方正仿宋_GBK"/>
                <w:color w:val="auto"/>
                <w:sz w:val="24"/>
                <w:szCs w:val="24"/>
              </w:rPr>
            </w:pPr>
          </w:p>
        </w:tc>
        <w:tc>
          <w:tcPr>
            <w:tcW w:w="510" w:type="dxa"/>
            <w:tcBorders>
              <w:top w:val="single" w:color="000000" w:sz="4" w:space="0"/>
              <w:left w:val="single" w:color="000000" w:sz="4" w:space="0"/>
              <w:bottom w:val="single" w:color="000000" w:sz="4" w:space="0"/>
              <w:right w:val="single" w:color="000000" w:sz="4" w:space="0"/>
            </w:tcBorders>
            <w:vAlign w:val="center"/>
          </w:tcPr>
          <w:p w14:paraId="2D3982DB">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扩建</w:t>
            </w:r>
          </w:p>
        </w:tc>
        <w:tc>
          <w:tcPr>
            <w:tcW w:w="1561" w:type="dxa"/>
            <w:tcBorders>
              <w:top w:val="single" w:color="000000" w:sz="4" w:space="0"/>
              <w:left w:val="single" w:color="000000" w:sz="4" w:space="0"/>
              <w:bottom w:val="single" w:color="000000" w:sz="4" w:space="0"/>
              <w:right w:val="single" w:color="000000" w:sz="4" w:space="0"/>
            </w:tcBorders>
            <w:vAlign w:val="center"/>
          </w:tcPr>
          <w:p w14:paraId="6BD6C074">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重建、翻建（包括不扩大面积、高度的改建）</w:t>
            </w:r>
          </w:p>
        </w:tc>
      </w:tr>
      <w:tr w14:paraId="2DF67AC6">
        <w:tblPrEx>
          <w:tblCellMar>
            <w:top w:w="0" w:type="dxa"/>
            <w:left w:w="108" w:type="dxa"/>
            <w:bottom w:w="0" w:type="dxa"/>
            <w:right w:w="108" w:type="dxa"/>
          </w:tblCellMar>
        </w:tblPrEx>
        <w:trPr>
          <w:trHeight w:val="23" w:hRule="atLeast"/>
        </w:trPr>
        <w:tc>
          <w:tcPr>
            <w:tcW w:w="3097"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20719B9">
            <w:pPr>
              <w:widowControl/>
              <w:spacing w:line="240" w:lineRule="auto"/>
              <w:ind w:firstLine="0" w:firstLineChars="0"/>
              <w:jc w:val="center"/>
              <w:textAlignment w:val="center"/>
              <w:rPr>
                <w:rFonts w:ascii="Times New Roman" w:hAnsi="Times New Roman" w:cs="方正仿宋_GBK"/>
                <w:color w:val="auto"/>
                <w:kern w:val="0"/>
                <w:sz w:val="24"/>
                <w:szCs w:val="24"/>
                <w:lang w:bidi="ar"/>
              </w:rPr>
            </w:pPr>
            <w:r>
              <w:rPr>
                <w:rFonts w:hint="eastAsia" w:ascii="Times New Roman" w:hAnsi="Times New Roman" w:cs="方正仿宋_GBK"/>
                <w:color w:val="auto"/>
                <w:kern w:val="0"/>
                <w:sz w:val="24"/>
                <w:szCs w:val="24"/>
                <w:lang w:bidi="ar"/>
              </w:rPr>
              <w:t>农村宅基地</w:t>
            </w:r>
          </w:p>
          <w:p w14:paraId="0F8423E1">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（0703地类）</w:t>
            </w:r>
          </w:p>
        </w:tc>
        <w:tc>
          <w:tcPr>
            <w:tcW w:w="2580" w:type="dxa"/>
            <w:tcBorders>
              <w:top w:val="single" w:color="000000" w:sz="4" w:space="0"/>
              <w:left w:val="single" w:color="000000" w:sz="4" w:space="0"/>
              <w:bottom w:val="single" w:color="000000" w:sz="4" w:space="0"/>
              <w:right w:val="single" w:color="000000" w:sz="4" w:space="0"/>
            </w:tcBorders>
            <w:vAlign w:val="center"/>
          </w:tcPr>
          <w:p w14:paraId="05915B2C">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单宗独户</w:t>
            </w:r>
          </w:p>
        </w:tc>
        <w:tc>
          <w:tcPr>
            <w:tcW w:w="540" w:type="dxa"/>
            <w:tcBorders>
              <w:top w:val="single" w:color="000000" w:sz="4" w:space="0"/>
              <w:left w:val="single" w:color="000000" w:sz="4" w:space="0"/>
              <w:bottom w:val="single" w:color="000000" w:sz="4" w:space="0"/>
              <w:right w:val="single" w:color="000000" w:sz="4" w:space="0"/>
            </w:tcBorders>
            <w:vAlign w:val="center"/>
          </w:tcPr>
          <w:p w14:paraId="62B025E5">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0D7A21F6">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60F9DBEF">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024889C1">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650F93E6">
        <w:tblPrEx>
          <w:tblCellMar>
            <w:top w:w="0" w:type="dxa"/>
            <w:left w:w="108" w:type="dxa"/>
            <w:bottom w:w="0" w:type="dxa"/>
            <w:right w:w="108" w:type="dxa"/>
          </w:tblCellMar>
        </w:tblPrEx>
        <w:trPr>
          <w:trHeight w:val="23" w:hRule="atLeast"/>
        </w:trPr>
        <w:tc>
          <w:tcPr>
            <w:tcW w:w="309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89C4906">
            <w:pPr>
              <w:spacing w:line="240" w:lineRule="auto"/>
              <w:ind w:firstLine="480"/>
              <w:jc w:val="center"/>
              <w:rPr>
                <w:rFonts w:ascii="Times New Roman" w:hAnsi="Times New Roman" w:cs="方正仿宋_GBK"/>
                <w:color w:val="auto"/>
                <w:sz w:val="24"/>
                <w:szCs w:val="24"/>
              </w:rPr>
            </w:pPr>
          </w:p>
        </w:tc>
        <w:tc>
          <w:tcPr>
            <w:tcW w:w="2580" w:type="dxa"/>
            <w:tcBorders>
              <w:top w:val="single" w:color="000000" w:sz="4" w:space="0"/>
              <w:left w:val="single" w:color="000000" w:sz="4" w:space="0"/>
              <w:bottom w:val="single" w:color="000000" w:sz="4" w:space="0"/>
              <w:right w:val="single" w:color="000000" w:sz="4" w:space="0"/>
            </w:tcBorders>
            <w:vAlign w:val="center"/>
          </w:tcPr>
          <w:p w14:paraId="5D9AD21F">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农村集中居民点</w:t>
            </w:r>
          </w:p>
        </w:tc>
        <w:tc>
          <w:tcPr>
            <w:tcW w:w="540" w:type="dxa"/>
            <w:tcBorders>
              <w:top w:val="single" w:color="000000" w:sz="4" w:space="0"/>
              <w:left w:val="single" w:color="000000" w:sz="4" w:space="0"/>
              <w:bottom w:val="single" w:color="000000" w:sz="4" w:space="0"/>
              <w:right w:val="single" w:color="000000" w:sz="4" w:space="0"/>
            </w:tcBorders>
            <w:vAlign w:val="center"/>
          </w:tcPr>
          <w:p w14:paraId="2D0705F9">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0C68D26F">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001E1080">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08E278F5">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594E4A80">
        <w:tblPrEx>
          <w:tblCellMar>
            <w:top w:w="0" w:type="dxa"/>
            <w:left w:w="108" w:type="dxa"/>
            <w:bottom w:w="0" w:type="dxa"/>
            <w:right w:w="108" w:type="dxa"/>
          </w:tblCellMar>
        </w:tblPrEx>
        <w:trPr>
          <w:trHeight w:val="23" w:hRule="atLeast"/>
        </w:trPr>
        <w:tc>
          <w:tcPr>
            <w:tcW w:w="3097" w:type="dxa"/>
            <w:gridSpan w:val="2"/>
            <w:tcBorders>
              <w:top w:val="single" w:color="000000" w:sz="4" w:space="0"/>
              <w:left w:val="single" w:color="000000" w:sz="4" w:space="0"/>
              <w:bottom w:val="single" w:color="000000" w:sz="4" w:space="0"/>
              <w:right w:val="single" w:color="000000" w:sz="4" w:space="0"/>
            </w:tcBorders>
            <w:vAlign w:val="center"/>
          </w:tcPr>
          <w:p w14:paraId="40663D4E">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农村社区服务设施用地（0704地类）</w:t>
            </w:r>
          </w:p>
        </w:tc>
        <w:tc>
          <w:tcPr>
            <w:tcW w:w="2580" w:type="dxa"/>
            <w:tcBorders>
              <w:top w:val="single" w:color="000000" w:sz="4" w:space="0"/>
              <w:left w:val="single" w:color="000000" w:sz="4" w:space="0"/>
              <w:bottom w:val="single" w:color="000000" w:sz="4" w:space="0"/>
              <w:right w:val="single" w:color="000000" w:sz="4" w:space="0"/>
            </w:tcBorders>
            <w:vAlign w:val="center"/>
          </w:tcPr>
          <w:p w14:paraId="34A2CBEF">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农村社区服务站以及村委会、供销社、兽医站、农机站、托儿所、文化活动室、小型体育活动场地、综合礼堂、农村商店及小型超市、农村卫生服务站、村邮站、宗祠等用地</w:t>
            </w:r>
          </w:p>
        </w:tc>
        <w:tc>
          <w:tcPr>
            <w:tcW w:w="540" w:type="dxa"/>
            <w:tcBorders>
              <w:top w:val="single" w:color="000000" w:sz="4" w:space="0"/>
              <w:left w:val="single" w:color="000000" w:sz="4" w:space="0"/>
              <w:bottom w:val="single" w:color="000000" w:sz="4" w:space="0"/>
              <w:right w:val="single" w:color="000000" w:sz="4" w:space="0"/>
            </w:tcBorders>
            <w:vAlign w:val="center"/>
          </w:tcPr>
          <w:p w14:paraId="58FBA1B6">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766B6BC8">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15CE0D14">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2F354A65">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16B72EA0">
        <w:tblPrEx>
          <w:tblCellMar>
            <w:top w:w="0" w:type="dxa"/>
            <w:left w:w="108" w:type="dxa"/>
            <w:bottom w:w="0" w:type="dxa"/>
            <w:right w:w="108" w:type="dxa"/>
          </w:tblCellMar>
        </w:tblPrEx>
        <w:trPr>
          <w:trHeight w:val="23" w:hRule="atLeast"/>
        </w:trPr>
        <w:tc>
          <w:tcPr>
            <w:tcW w:w="1123" w:type="dxa"/>
            <w:vMerge w:val="restart"/>
            <w:tcBorders>
              <w:top w:val="single" w:color="000000" w:sz="4" w:space="0"/>
              <w:left w:val="single" w:color="000000" w:sz="4" w:space="0"/>
              <w:bottom w:val="single" w:color="000000" w:sz="4" w:space="0"/>
              <w:right w:val="single" w:color="000000" w:sz="4" w:space="0"/>
            </w:tcBorders>
            <w:vAlign w:val="center"/>
          </w:tcPr>
          <w:p w14:paraId="2A2B8D14">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公共管理与公共服务用地（08地类）</w:t>
            </w:r>
          </w:p>
        </w:tc>
        <w:tc>
          <w:tcPr>
            <w:tcW w:w="1974" w:type="dxa"/>
            <w:tcBorders>
              <w:top w:val="single" w:color="000000" w:sz="4" w:space="0"/>
              <w:left w:val="single" w:color="000000" w:sz="4" w:space="0"/>
              <w:bottom w:val="single" w:color="000000" w:sz="4" w:space="0"/>
              <w:right w:val="single" w:color="000000" w:sz="4" w:space="0"/>
            </w:tcBorders>
            <w:vAlign w:val="center"/>
          </w:tcPr>
          <w:p w14:paraId="61DC2BF9">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中小学用地</w:t>
            </w:r>
          </w:p>
        </w:tc>
        <w:tc>
          <w:tcPr>
            <w:tcW w:w="2580" w:type="dxa"/>
            <w:tcBorders>
              <w:top w:val="single" w:color="000000" w:sz="4" w:space="0"/>
              <w:left w:val="single" w:color="000000" w:sz="4" w:space="0"/>
              <w:bottom w:val="single" w:color="000000" w:sz="4" w:space="0"/>
              <w:right w:val="single" w:color="000000" w:sz="4" w:space="0"/>
            </w:tcBorders>
            <w:vAlign w:val="center"/>
          </w:tcPr>
          <w:p w14:paraId="6EBBFF82">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小学</w:t>
            </w:r>
          </w:p>
        </w:tc>
        <w:tc>
          <w:tcPr>
            <w:tcW w:w="540" w:type="dxa"/>
            <w:tcBorders>
              <w:top w:val="single" w:color="000000" w:sz="4" w:space="0"/>
              <w:left w:val="single" w:color="000000" w:sz="4" w:space="0"/>
              <w:bottom w:val="single" w:color="000000" w:sz="4" w:space="0"/>
              <w:right w:val="single" w:color="000000" w:sz="4" w:space="0"/>
            </w:tcBorders>
            <w:vAlign w:val="center"/>
          </w:tcPr>
          <w:p w14:paraId="4810E231">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3142C492">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2FD9C977">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2B7FC0F4">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20FBCC87">
        <w:tblPrEx>
          <w:tblCellMar>
            <w:top w:w="0" w:type="dxa"/>
            <w:left w:w="108" w:type="dxa"/>
            <w:bottom w:w="0" w:type="dxa"/>
            <w:right w:w="108" w:type="dxa"/>
          </w:tblCellMar>
        </w:tblPrEx>
        <w:trPr>
          <w:trHeight w:val="23" w:hRule="atLeast"/>
        </w:trPr>
        <w:tc>
          <w:tcPr>
            <w:tcW w:w="1123" w:type="dxa"/>
            <w:vMerge w:val="continue"/>
            <w:tcBorders>
              <w:top w:val="single" w:color="000000" w:sz="4" w:space="0"/>
              <w:left w:val="single" w:color="000000" w:sz="4" w:space="0"/>
              <w:bottom w:val="single" w:color="000000" w:sz="4" w:space="0"/>
              <w:right w:val="single" w:color="000000" w:sz="4" w:space="0"/>
            </w:tcBorders>
            <w:vAlign w:val="center"/>
          </w:tcPr>
          <w:p w14:paraId="0F99535E">
            <w:pPr>
              <w:spacing w:line="240" w:lineRule="auto"/>
              <w:ind w:firstLine="480"/>
              <w:jc w:val="center"/>
              <w:rPr>
                <w:rFonts w:ascii="Times New Roman" w:hAnsi="Times New Roman" w:cs="方正仿宋_GBK"/>
                <w:color w:val="auto"/>
                <w:sz w:val="24"/>
                <w:szCs w:val="24"/>
              </w:rPr>
            </w:pPr>
          </w:p>
        </w:tc>
        <w:tc>
          <w:tcPr>
            <w:tcW w:w="1974" w:type="dxa"/>
            <w:tcBorders>
              <w:top w:val="single" w:color="000000" w:sz="4" w:space="0"/>
              <w:left w:val="single" w:color="000000" w:sz="4" w:space="0"/>
              <w:bottom w:val="single" w:color="000000" w:sz="4" w:space="0"/>
              <w:right w:val="single" w:color="000000" w:sz="4" w:space="0"/>
            </w:tcBorders>
            <w:vAlign w:val="center"/>
          </w:tcPr>
          <w:p w14:paraId="0863EF4F">
            <w:pPr>
              <w:widowControl/>
              <w:spacing w:line="240" w:lineRule="auto"/>
              <w:ind w:firstLine="0" w:firstLineChars="0"/>
              <w:jc w:val="center"/>
              <w:textAlignment w:val="center"/>
              <w:rPr>
                <w:rFonts w:ascii="Times New Roman" w:hAnsi="Times New Roman" w:cs="方正仿宋_GBK"/>
                <w:color w:val="auto"/>
                <w:kern w:val="0"/>
                <w:sz w:val="24"/>
                <w:szCs w:val="24"/>
                <w:lang w:bidi="ar"/>
              </w:rPr>
            </w:pPr>
            <w:r>
              <w:rPr>
                <w:rFonts w:hint="eastAsia" w:ascii="Times New Roman" w:hAnsi="Times New Roman" w:cs="方正仿宋_GBK"/>
                <w:color w:val="auto"/>
                <w:kern w:val="0"/>
                <w:sz w:val="24"/>
                <w:szCs w:val="24"/>
                <w:lang w:bidi="ar"/>
              </w:rPr>
              <w:t>幼儿园用地</w:t>
            </w:r>
          </w:p>
        </w:tc>
        <w:tc>
          <w:tcPr>
            <w:tcW w:w="2580" w:type="dxa"/>
            <w:tcBorders>
              <w:top w:val="single" w:color="000000" w:sz="4" w:space="0"/>
              <w:left w:val="single" w:color="000000" w:sz="4" w:space="0"/>
              <w:bottom w:val="single" w:color="000000" w:sz="4" w:space="0"/>
              <w:right w:val="single" w:color="000000" w:sz="4" w:space="0"/>
            </w:tcBorders>
            <w:vAlign w:val="center"/>
          </w:tcPr>
          <w:p w14:paraId="62DC3783">
            <w:pPr>
              <w:widowControl/>
              <w:spacing w:line="240" w:lineRule="auto"/>
              <w:ind w:firstLine="0" w:firstLineChars="0"/>
              <w:jc w:val="center"/>
              <w:textAlignment w:val="center"/>
              <w:rPr>
                <w:rFonts w:ascii="Times New Roman" w:hAnsi="Times New Roman" w:cs="方正仿宋_GBK"/>
                <w:color w:val="auto"/>
                <w:kern w:val="0"/>
                <w:sz w:val="24"/>
                <w:szCs w:val="24"/>
                <w:lang w:bidi="ar"/>
              </w:rPr>
            </w:pPr>
            <w:r>
              <w:rPr>
                <w:rFonts w:hint="eastAsia" w:ascii="Times New Roman" w:hAnsi="Times New Roman" w:cs="方正仿宋_GBK"/>
                <w:color w:val="auto"/>
                <w:kern w:val="0"/>
                <w:sz w:val="24"/>
                <w:szCs w:val="24"/>
                <w:lang w:bidi="ar"/>
              </w:rPr>
              <w:t>幼儿园</w:t>
            </w:r>
          </w:p>
        </w:tc>
        <w:tc>
          <w:tcPr>
            <w:tcW w:w="540" w:type="dxa"/>
            <w:tcBorders>
              <w:top w:val="single" w:color="000000" w:sz="4" w:space="0"/>
              <w:left w:val="single" w:color="000000" w:sz="4" w:space="0"/>
              <w:bottom w:val="single" w:color="000000" w:sz="4" w:space="0"/>
              <w:right w:val="single" w:color="000000" w:sz="4" w:space="0"/>
            </w:tcBorders>
            <w:vAlign w:val="center"/>
          </w:tcPr>
          <w:p w14:paraId="24FCA1AC">
            <w:pPr>
              <w:widowControl/>
              <w:spacing w:line="240" w:lineRule="auto"/>
              <w:ind w:firstLine="0" w:firstLineChars="0"/>
              <w:jc w:val="center"/>
              <w:textAlignment w:val="center"/>
              <w:rPr>
                <w:rFonts w:ascii="Times New Roman" w:hAnsi="Times New Roman" w:cs="方正仿宋_GBK"/>
                <w:color w:val="auto"/>
                <w:kern w:val="0"/>
                <w:sz w:val="21"/>
                <w:szCs w:val="21"/>
                <w:lang w:bidi="ar"/>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0D0A0D0F">
            <w:pPr>
              <w:widowControl/>
              <w:spacing w:line="240" w:lineRule="auto"/>
              <w:ind w:firstLine="0" w:firstLineChars="0"/>
              <w:jc w:val="center"/>
              <w:textAlignment w:val="center"/>
              <w:rPr>
                <w:rFonts w:ascii="Times New Roman" w:hAnsi="Times New Roman" w:cs="方正仿宋_GBK"/>
                <w:color w:val="auto"/>
                <w:kern w:val="0"/>
                <w:sz w:val="21"/>
                <w:szCs w:val="21"/>
                <w:lang w:bidi="ar"/>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330C2CBA">
            <w:pPr>
              <w:widowControl/>
              <w:spacing w:line="240" w:lineRule="auto"/>
              <w:ind w:firstLine="0" w:firstLineChars="0"/>
              <w:jc w:val="center"/>
              <w:textAlignment w:val="center"/>
              <w:rPr>
                <w:rFonts w:ascii="Times New Roman" w:hAnsi="Times New Roman" w:cs="方正仿宋_GBK"/>
                <w:color w:val="auto"/>
                <w:kern w:val="0"/>
                <w:sz w:val="21"/>
                <w:szCs w:val="21"/>
                <w:lang w:bidi="ar"/>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298B6071">
            <w:pPr>
              <w:widowControl/>
              <w:spacing w:line="240" w:lineRule="auto"/>
              <w:ind w:firstLine="0" w:firstLineChars="0"/>
              <w:jc w:val="center"/>
              <w:textAlignment w:val="center"/>
              <w:rPr>
                <w:rFonts w:ascii="Times New Roman" w:hAnsi="Times New Roman" w:cs="方正仿宋_GBK"/>
                <w:color w:val="auto"/>
                <w:kern w:val="0"/>
                <w:sz w:val="21"/>
                <w:szCs w:val="21"/>
                <w:lang w:bidi="ar"/>
              </w:rPr>
            </w:pPr>
            <w:r>
              <w:rPr>
                <w:rFonts w:hint="eastAsia" w:ascii="Times New Roman" w:hAnsi="Times New Roman" w:cs="方正仿宋_GBK"/>
                <w:color w:val="auto"/>
                <w:kern w:val="0"/>
                <w:sz w:val="21"/>
                <w:szCs w:val="21"/>
                <w:lang w:bidi="ar"/>
              </w:rPr>
              <w:t>√</w:t>
            </w:r>
          </w:p>
        </w:tc>
      </w:tr>
      <w:tr w14:paraId="300563A9">
        <w:tblPrEx>
          <w:tblCellMar>
            <w:top w:w="0" w:type="dxa"/>
            <w:left w:w="108" w:type="dxa"/>
            <w:bottom w:w="0" w:type="dxa"/>
            <w:right w:w="108" w:type="dxa"/>
          </w:tblCellMar>
        </w:tblPrEx>
        <w:trPr>
          <w:trHeight w:val="23" w:hRule="atLeast"/>
        </w:trPr>
        <w:tc>
          <w:tcPr>
            <w:tcW w:w="1123" w:type="dxa"/>
            <w:vMerge w:val="continue"/>
            <w:tcBorders>
              <w:top w:val="single" w:color="000000" w:sz="4" w:space="0"/>
              <w:left w:val="single" w:color="000000" w:sz="4" w:space="0"/>
              <w:bottom w:val="single" w:color="000000" w:sz="4" w:space="0"/>
              <w:right w:val="single" w:color="000000" w:sz="4" w:space="0"/>
            </w:tcBorders>
            <w:vAlign w:val="center"/>
          </w:tcPr>
          <w:p w14:paraId="7F51713E">
            <w:pPr>
              <w:spacing w:line="240" w:lineRule="auto"/>
              <w:ind w:firstLine="480"/>
              <w:jc w:val="center"/>
              <w:rPr>
                <w:rFonts w:ascii="Times New Roman" w:hAnsi="Times New Roman" w:cs="方正仿宋_GBK"/>
                <w:color w:val="auto"/>
                <w:sz w:val="24"/>
                <w:szCs w:val="24"/>
              </w:rPr>
            </w:pPr>
          </w:p>
        </w:tc>
        <w:tc>
          <w:tcPr>
            <w:tcW w:w="1974" w:type="dxa"/>
            <w:vMerge w:val="restart"/>
            <w:tcBorders>
              <w:top w:val="single" w:color="000000" w:sz="4" w:space="0"/>
              <w:left w:val="single" w:color="000000" w:sz="4" w:space="0"/>
              <w:bottom w:val="single" w:color="000000" w:sz="4" w:space="0"/>
              <w:right w:val="single" w:color="000000" w:sz="4" w:space="0"/>
            </w:tcBorders>
            <w:vAlign w:val="center"/>
          </w:tcPr>
          <w:p w14:paraId="2E0BFD06">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老年人社会福利用地</w:t>
            </w:r>
          </w:p>
        </w:tc>
        <w:tc>
          <w:tcPr>
            <w:tcW w:w="2580" w:type="dxa"/>
            <w:tcBorders>
              <w:top w:val="single" w:color="000000" w:sz="4" w:space="0"/>
              <w:left w:val="single" w:color="000000" w:sz="4" w:space="0"/>
              <w:bottom w:val="single" w:color="000000" w:sz="4" w:space="0"/>
              <w:right w:val="single" w:color="000000" w:sz="4" w:space="0"/>
            </w:tcBorders>
            <w:vAlign w:val="center"/>
          </w:tcPr>
          <w:p w14:paraId="1ACB2D65">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养老院</w:t>
            </w:r>
          </w:p>
        </w:tc>
        <w:tc>
          <w:tcPr>
            <w:tcW w:w="540" w:type="dxa"/>
            <w:tcBorders>
              <w:top w:val="single" w:color="000000" w:sz="4" w:space="0"/>
              <w:left w:val="single" w:color="000000" w:sz="4" w:space="0"/>
              <w:bottom w:val="single" w:color="000000" w:sz="4" w:space="0"/>
              <w:right w:val="single" w:color="000000" w:sz="4" w:space="0"/>
            </w:tcBorders>
            <w:vAlign w:val="center"/>
          </w:tcPr>
          <w:p w14:paraId="08785421">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73990AB6">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6EDF2584">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201EA87E">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0AE7700A">
        <w:tblPrEx>
          <w:tblCellMar>
            <w:top w:w="0" w:type="dxa"/>
            <w:left w:w="108" w:type="dxa"/>
            <w:bottom w:w="0" w:type="dxa"/>
            <w:right w:w="108" w:type="dxa"/>
          </w:tblCellMar>
        </w:tblPrEx>
        <w:trPr>
          <w:trHeight w:val="23" w:hRule="atLeast"/>
        </w:trPr>
        <w:tc>
          <w:tcPr>
            <w:tcW w:w="1123" w:type="dxa"/>
            <w:vMerge w:val="continue"/>
            <w:tcBorders>
              <w:top w:val="single" w:color="000000" w:sz="4" w:space="0"/>
              <w:left w:val="single" w:color="000000" w:sz="4" w:space="0"/>
              <w:bottom w:val="single" w:color="000000" w:sz="4" w:space="0"/>
              <w:right w:val="single" w:color="000000" w:sz="4" w:space="0"/>
            </w:tcBorders>
            <w:vAlign w:val="center"/>
          </w:tcPr>
          <w:p w14:paraId="49900547">
            <w:pPr>
              <w:spacing w:line="240" w:lineRule="auto"/>
              <w:ind w:firstLine="480"/>
              <w:jc w:val="center"/>
              <w:rPr>
                <w:rFonts w:ascii="Times New Roman" w:hAnsi="Times New Roman" w:cs="方正仿宋_GBK"/>
                <w:color w:val="auto"/>
                <w:sz w:val="24"/>
                <w:szCs w:val="24"/>
              </w:rPr>
            </w:pPr>
          </w:p>
        </w:tc>
        <w:tc>
          <w:tcPr>
            <w:tcW w:w="1974" w:type="dxa"/>
            <w:vMerge w:val="continue"/>
            <w:tcBorders>
              <w:top w:val="single" w:color="000000" w:sz="4" w:space="0"/>
              <w:left w:val="single" w:color="000000" w:sz="4" w:space="0"/>
              <w:bottom w:val="single" w:color="000000" w:sz="4" w:space="0"/>
              <w:right w:val="single" w:color="000000" w:sz="4" w:space="0"/>
            </w:tcBorders>
            <w:vAlign w:val="center"/>
          </w:tcPr>
          <w:p w14:paraId="0939ED5B">
            <w:pPr>
              <w:spacing w:line="240" w:lineRule="auto"/>
              <w:ind w:firstLine="480"/>
              <w:jc w:val="center"/>
              <w:rPr>
                <w:rFonts w:ascii="Times New Roman" w:hAnsi="Times New Roman" w:cs="方正仿宋_GBK"/>
                <w:color w:val="auto"/>
                <w:sz w:val="24"/>
                <w:szCs w:val="24"/>
              </w:rPr>
            </w:pPr>
          </w:p>
        </w:tc>
        <w:tc>
          <w:tcPr>
            <w:tcW w:w="2580" w:type="dxa"/>
            <w:tcBorders>
              <w:top w:val="single" w:color="000000" w:sz="4" w:space="0"/>
              <w:left w:val="single" w:color="000000" w:sz="4" w:space="0"/>
              <w:bottom w:val="single" w:color="000000" w:sz="4" w:space="0"/>
              <w:right w:val="single" w:color="000000" w:sz="4" w:space="0"/>
            </w:tcBorders>
            <w:vAlign w:val="center"/>
          </w:tcPr>
          <w:p w14:paraId="349255DC">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居家养老服务中心</w:t>
            </w:r>
          </w:p>
        </w:tc>
        <w:tc>
          <w:tcPr>
            <w:tcW w:w="540" w:type="dxa"/>
            <w:tcBorders>
              <w:top w:val="single" w:color="000000" w:sz="4" w:space="0"/>
              <w:left w:val="single" w:color="000000" w:sz="4" w:space="0"/>
              <w:bottom w:val="single" w:color="000000" w:sz="4" w:space="0"/>
              <w:right w:val="single" w:color="000000" w:sz="4" w:space="0"/>
            </w:tcBorders>
            <w:vAlign w:val="center"/>
          </w:tcPr>
          <w:p w14:paraId="3FF2130B">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4D32F09F">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1FC8D073">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32E1D9AA">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6091A0F1">
        <w:tblPrEx>
          <w:tblCellMar>
            <w:top w:w="0" w:type="dxa"/>
            <w:left w:w="108" w:type="dxa"/>
            <w:bottom w:w="0" w:type="dxa"/>
            <w:right w:w="108" w:type="dxa"/>
          </w:tblCellMar>
        </w:tblPrEx>
        <w:trPr>
          <w:trHeight w:val="23" w:hRule="atLeast"/>
        </w:trPr>
        <w:tc>
          <w:tcPr>
            <w:tcW w:w="1123" w:type="dxa"/>
            <w:vMerge w:val="restart"/>
            <w:tcBorders>
              <w:top w:val="single" w:color="000000" w:sz="4" w:space="0"/>
              <w:left w:val="single" w:color="000000" w:sz="4" w:space="0"/>
              <w:bottom w:val="single" w:color="000000" w:sz="4" w:space="0"/>
              <w:right w:val="single" w:color="000000" w:sz="4" w:space="0"/>
            </w:tcBorders>
            <w:vAlign w:val="center"/>
          </w:tcPr>
          <w:p w14:paraId="1A4D6DFA">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商业服务业用地（09地类）</w:t>
            </w:r>
          </w:p>
        </w:tc>
        <w:tc>
          <w:tcPr>
            <w:tcW w:w="1974" w:type="dxa"/>
            <w:tcBorders>
              <w:top w:val="single" w:color="000000" w:sz="4" w:space="0"/>
              <w:left w:val="single" w:color="000000" w:sz="4" w:space="0"/>
              <w:bottom w:val="single" w:color="000000" w:sz="4" w:space="0"/>
              <w:right w:val="single" w:color="000000" w:sz="4" w:space="0"/>
            </w:tcBorders>
            <w:vAlign w:val="center"/>
          </w:tcPr>
          <w:p w14:paraId="22D7920C">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零售商业用地</w:t>
            </w:r>
          </w:p>
        </w:tc>
        <w:tc>
          <w:tcPr>
            <w:tcW w:w="2580" w:type="dxa"/>
            <w:tcBorders>
              <w:top w:val="single" w:color="000000" w:sz="4" w:space="0"/>
              <w:left w:val="single" w:color="000000" w:sz="4" w:space="0"/>
              <w:bottom w:val="single" w:color="000000" w:sz="4" w:space="0"/>
              <w:right w:val="single" w:color="000000" w:sz="4" w:space="0"/>
            </w:tcBorders>
            <w:vAlign w:val="center"/>
          </w:tcPr>
          <w:p w14:paraId="61563BC2">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农村菜市场</w:t>
            </w:r>
          </w:p>
        </w:tc>
        <w:tc>
          <w:tcPr>
            <w:tcW w:w="540" w:type="dxa"/>
            <w:tcBorders>
              <w:top w:val="single" w:color="000000" w:sz="4" w:space="0"/>
              <w:left w:val="single" w:color="000000" w:sz="4" w:space="0"/>
              <w:bottom w:val="single" w:color="000000" w:sz="4" w:space="0"/>
              <w:right w:val="single" w:color="000000" w:sz="4" w:space="0"/>
            </w:tcBorders>
            <w:vAlign w:val="center"/>
          </w:tcPr>
          <w:p w14:paraId="3AFAFB39">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7050A1EF">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1B32D278">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14C843F7">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0ED34F06">
        <w:tblPrEx>
          <w:tblCellMar>
            <w:top w:w="0" w:type="dxa"/>
            <w:left w:w="108" w:type="dxa"/>
            <w:bottom w:w="0" w:type="dxa"/>
            <w:right w:w="108" w:type="dxa"/>
          </w:tblCellMar>
        </w:tblPrEx>
        <w:trPr>
          <w:trHeight w:val="23" w:hRule="atLeast"/>
        </w:trPr>
        <w:tc>
          <w:tcPr>
            <w:tcW w:w="1123" w:type="dxa"/>
            <w:vMerge w:val="continue"/>
            <w:tcBorders>
              <w:top w:val="single" w:color="000000" w:sz="4" w:space="0"/>
              <w:left w:val="single" w:color="000000" w:sz="4" w:space="0"/>
              <w:bottom w:val="single" w:color="000000" w:sz="4" w:space="0"/>
              <w:right w:val="single" w:color="000000" w:sz="4" w:space="0"/>
            </w:tcBorders>
            <w:vAlign w:val="center"/>
          </w:tcPr>
          <w:p w14:paraId="0831C328">
            <w:pPr>
              <w:spacing w:line="240" w:lineRule="auto"/>
              <w:ind w:firstLine="480"/>
              <w:jc w:val="center"/>
              <w:rPr>
                <w:rFonts w:ascii="Times New Roman" w:hAnsi="Times New Roman" w:cs="方正仿宋_GBK"/>
                <w:color w:val="auto"/>
                <w:sz w:val="24"/>
                <w:szCs w:val="24"/>
              </w:rPr>
            </w:pPr>
          </w:p>
        </w:tc>
        <w:tc>
          <w:tcPr>
            <w:tcW w:w="1974" w:type="dxa"/>
            <w:tcBorders>
              <w:top w:val="single" w:color="000000" w:sz="4" w:space="0"/>
              <w:left w:val="single" w:color="000000" w:sz="4" w:space="0"/>
              <w:bottom w:val="single" w:color="000000" w:sz="4" w:space="0"/>
              <w:right w:val="single" w:color="000000" w:sz="4" w:space="0"/>
            </w:tcBorders>
            <w:vAlign w:val="center"/>
          </w:tcPr>
          <w:p w14:paraId="0C2D4639">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一二三产业融合发展项目</w:t>
            </w:r>
          </w:p>
        </w:tc>
        <w:tc>
          <w:tcPr>
            <w:tcW w:w="2580" w:type="dxa"/>
            <w:tcBorders>
              <w:top w:val="single" w:color="000000" w:sz="4" w:space="0"/>
              <w:left w:val="single" w:color="000000" w:sz="4" w:space="0"/>
              <w:bottom w:val="single" w:color="000000" w:sz="4" w:space="0"/>
              <w:right w:val="single" w:color="000000" w:sz="4" w:space="0"/>
            </w:tcBorders>
            <w:vAlign w:val="center"/>
          </w:tcPr>
          <w:p w14:paraId="47F82250">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休闲旅游、乡村民宿、民俗体验、文化创意等</w:t>
            </w:r>
          </w:p>
        </w:tc>
        <w:tc>
          <w:tcPr>
            <w:tcW w:w="540" w:type="dxa"/>
            <w:tcBorders>
              <w:top w:val="single" w:color="000000" w:sz="4" w:space="0"/>
              <w:left w:val="single" w:color="000000" w:sz="4" w:space="0"/>
              <w:bottom w:val="single" w:color="000000" w:sz="4" w:space="0"/>
              <w:right w:val="single" w:color="000000" w:sz="4" w:space="0"/>
            </w:tcBorders>
            <w:vAlign w:val="center"/>
          </w:tcPr>
          <w:p w14:paraId="4F3696C4">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14CDBA84">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504C4087">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57E26249">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46850A5A">
        <w:tblPrEx>
          <w:tblCellMar>
            <w:top w:w="0" w:type="dxa"/>
            <w:left w:w="108" w:type="dxa"/>
            <w:bottom w:w="0" w:type="dxa"/>
            <w:right w:w="108" w:type="dxa"/>
          </w:tblCellMar>
        </w:tblPrEx>
        <w:trPr>
          <w:trHeight w:val="23" w:hRule="atLeast"/>
        </w:trPr>
        <w:tc>
          <w:tcPr>
            <w:tcW w:w="3097" w:type="dxa"/>
            <w:gridSpan w:val="2"/>
            <w:tcBorders>
              <w:top w:val="single" w:color="000000" w:sz="4" w:space="0"/>
              <w:left w:val="single" w:color="000000" w:sz="4" w:space="0"/>
              <w:bottom w:val="single" w:color="000000" w:sz="4" w:space="0"/>
              <w:right w:val="single" w:color="000000" w:sz="4" w:space="0"/>
            </w:tcBorders>
            <w:vAlign w:val="center"/>
          </w:tcPr>
          <w:p w14:paraId="6526B94C">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工业用地（1001地类）</w:t>
            </w:r>
          </w:p>
        </w:tc>
        <w:tc>
          <w:tcPr>
            <w:tcW w:w="2580" w:type="dxa"/>
            <w:tcBorders>
              <w:top w:val="single" w:color="000000" w:sz="4" w:space="0"/>
              <w:left w:val="single" w:color="000000" w:sz="4" w:space="0"/>
              <w:bottom w:val="single" w:color="000000" w:sz="4" w:space="0"/>
              <w:right w:val="single" w:color="000000" w:sz="4" w:space="0"/>
            </w:tcBorders>
            <w:vAlign w:val="center"/>
          </w:tcPr>
          <w:p w14:paraId="07296479">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用于农产品初加工等产业用地</w:t>
            </w:r>
          </w:p>
        </w:tc>
        <w:tc>
          <w:tcPr>
            <w:tcW w:w="540" w:type="dxa"/>
            <w:tcBorders>
              <w:top w:val="single" w:color="000000" w:sz="4" w:space="0"/>
              <w:left w:val="single" w:color="000000" w:sz="4" w:space="0"/>
              <w:bottom w:val="single" w:color="000000" w:sz="4" w:space="0"/>
              <w:right w:val="single" w:color="000000" w:sz="4" w:space="0"/>
            </w:tcBorders>
            <w:vAlign w:val="center"/>
          </w:tcPr>
          <w:p w14:paraId="78ED32C6">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663DC4ED">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470B124A">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09245CE0">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5EB78DAB">
        <w:tblPrEx>
          <w:tblCellMar>
            <w:top w:w="0" w:type="dxa"/>
            <w:left w:w="108" w:type="dxa"/>
            <w:bottom w:w="0" w:type="dxa"/>
            <w:right w:w="108" w:type="dxa"/>
          </w:tblCellMar>
        </w:tblPrEx>
        <w:trPr>
          <w:trHeight w:val="23" w:hRule="atLeast"/>
        </w:trPr>
        <w:tc>
          <w:tcPr>
            <w:tcW w:w="3097" w:type="dxa"/>
            <w:gridSpan w:val="2"/>
            <w:tcBorders>
              <w:top w:val="single" w:color="000000" w:sz="4" w:space="0"/>
              <w:left w:val="single" w:color="000000" w:sz="4" w:space="0"/>
              <w:bottom w:val="single" w:color="000000" w:sz="4" w:space="0"/>
              <w:right w:val="single" w:color="000000" w:sz="4" w:space="0"/>
            </w:tcBorders>
            <w:vAlign w:val="center"/>
          </w:tcPr>
          <w:p w14:paraId="0C177D60">
            <w:pPr>
              <w:widowControl/>
              <w:spacing w:line="240" w:lineRule="auto"/>
              <w:ind w:firstLine="0" w:firstLineChars="0"/>
              <w:jc w:val="center"/>
              <w:textAlignment w:val="center"/>
              <w:rPr>
                <w:rFonts w:ascii="Times New Roman" w:hAnsi="Times New Roman" w:cs="方正仿宋_GBK"/>
                <w:color w:val="auto"/>
                <w:kern w:val="0"/>
                <w:sz w:val="24"/>
                <w:szCs w:val="24"/>
                <w:lang w:bidi="ar"/>
              </w:rPr>
            </w:pPr>
            <w:r>
              <w:rPr>
                <w:rFonts w:hint="eastAsia" w:ascii="Times New Roman" w:hAnsi="Times New Roman" w:cs="方正仿宋_GBK"/>
                <w:color w:val="auto"/>
                <w:kern w:val="0"/>
                <w:sz w:val="24"/>
                <w:szCs w:val="24"/>
                <w:lang w:bidi="ar"/>
              </w:rPr>
              <w:t>物流仓储用地</w:t>
            </w:r>
          </w:p>
          <w:p w14:paraId="2295CB44">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（1101地类）</w:t>
            </w:r>
          </w:p>
        </w:tc>
        <w:tc>
          <w:tcPr>
            <w:tcW w:w="2580" w:type="dxa"/>
            <w:tcBorders>
              <w:top w:val="single" w:color="000000" w:sz="4" w:space="0"/>
              <w:left w:val="single" w:color="000000" w:sz="4" w:space="0"/>
              <w:bottom w:val="single" w:color="000000" w:sz="4" w:space="0"/>
              <w:right w:val="single" w:color="000000" w:sz="4" w:space="0"/>
            </w:tcBorders>
            <w:vAlign w:val="center"/>
          </w:tcPr>
          <w:p w14:paraId="656B4D05">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用于物流快递中转、仓储保鲜冷链、产地低温直销配送的物流用地</w:t>
            </w:r>
          </w:p>
        </w:tc>
        <w:tc>
          <w:tcPr>
            <w:tcW w:w="540" w:type="dxa"/>
            <w:tcBorders>
              <w:top w:val="single" w:color="000000" w:sz="4" w:space="0"/>
              <w:left w:val="single" w:color="000000" w:sz="4" w:space="0"/>
              <w:bottom w:val="single" w:color="000000" w:sz="4" w:space="0"/>
              <w:right w:val="single" w:color="000000" w:sz="4" w:space="0"/>
            </w:tcBorders>
            <w:vAlign w:val="center"/>
          </w:tcPr>
          <w:p w14:paraId="7CF5BF1B">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730FCC24">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685507D9">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0B9EED09">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185BC0DC">
        <w:tblPrEx>
          <w:tblCellMar>
            <w:top w:w="0" w:type="dxa"/>
            <w:left w:w="108" w:type="dxa"/>
            <w:bottom w:w="0" w:type="dxa"/>
            <w:right w:w="108" w:type="dxa"/>
          </w:tblCellMar>
        </w:tblPrEx>
        <w:trPr>
          <w:trHeight w:val="23" w:hRule="atLeast"/>
        </w:trPr>
        <w:tc>
          <w:tcPr>
            <w:tcW w:w="1123" w:type="dxa"/>
            <w:vMerge w:val="restart"/>
            <w:tcBorders>
              <w:top w:val="single" w:color="000000" w:sz="4" w:space="0"/>
              <w:left w:val="single" w:color="000000" w:sz="4" w:space="0"/>
              <w:right w:val="single" w:color="000000" w:sz="4" w:space="0"/>
            </w:tcBorders>
            <w:vAlign w:val="center"/>
          </w:tcPr>
          <w:p w14:paraId="12D55310">
            <w:pPr>
              <w:spacing w:line="240" w:lineRule="auto"/>
              <w:ind w:firstLine="0" w:firstLineChars="0"/>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交通运输用地</w:t>
            </w:r>
          </w:p>
        </w:tc>
        <w:tc>
          <w:tcPr>
            <w:tcW w:w="1974" w:type="dxa"/>
            <w:vMerge w:val="restart"/>
            <w:tcBorders>
              <w:top w:val="single" w:color="000000" w:sz="4" w:space="0"/>
              <w:left w:val="single" w:color="000000" w:sz="4" w:space="0"/>
              <w:bottom w:val="single" w:color="000000" w:sz="4" w:space="0"/>
              <w:right w:val="single" w:color="000000" w:sz="4" w:space="0"/>
            </w:tcBorders>
            <w:vAlign w:val="center"/>
          </w:tcPr>
          <w:p w14:paraId="1D185382">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社会停车场用地</w:t>
            </w:r>
          </w:p>
        </w:tc>
        <w:tc>
          <w:tcPr>
            <w:tcW w:w="2580" w:type="dxa"/>
            <w:tcBorders>
              <w:top w:val="single" w:color="000000" w:sz="4" w:space="0"/>
              <w:left w:val="single" w:color="000000" w:sz="4" w:space="0"/>
              <w:bottom w:val="single" w:color="000000" w:sz="4" w:space="0"/>
              <w:right w:val="single" w:color="000000" w:sz="4" w:space="0"/>
            </w:tcBorders>
            <w:vAlign w:val="center"/>
          </w:tcPr>
          <w:p w14:paraId="57938AB0">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景区停车场</w:t>
            </w:r>
          </w:p>
        </w:tc>
        <w:tc>
          <w:tcPr>
            <w:tcW w:w="540" w:type="dxa"/>
            <w:tcBorders>
              <w:top w:val="single" w:color="000000" w:sz="4" w:space="0"/>
              <w:left w:val="single" w:color="000000" w:sz="4" w:space="0"/>
              <w:bottom w:val="single" w:color="000000" w:sz="4" w:space="0"/>
              <w:right w:val="single" w:color="000000" w:sz="4" w:space="0"/>
            </w:tcBorders>
            <w:vAlign w:val="center"/>
          </w:tcPr>
          <w:p w14:paraId="591F5E35">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5A7F0C15">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08D76F44">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2AC5D48B">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3CB196F1">
        <w:tblPrEx>
          <w:tblCellMar>
            <w:top w:w="0" w:type="dxa"/>
            <w:left w:w="108" w:type="dxa"/>
            <w:bottom w:w="0" w:type="dxa"/>
            <w:right w:w="108" w:type="dxa"/>
          </w:tblCellMar>
        </w:tblPrEx>
        <w:trPr>
          <w:trHeight w:val="23" w:hRule="atLeast"/>
        </w:trPr>
        <w:tc>
          <w:tcPr>
            <w:tcW w:w="1123" w:type="dxa"/>
            <w:vMerge w:val="continue"/>
            <w:tcBorders>
              <w:top w:val="single" w:color="000000" w:sz="4" w:space="0"/>
              <w:left w:val="single" w:color="000000" w:sz="4" w:space="0"/>
              <w:bottom w:val="single" w:color="000000" w:sz="4" w:space="0"/>
              <w:right w:val="single" w:color="000000" w:sz="4" w:space="0"/>
            </w:tcBorders>
            <w:vAlign w:val="center"/>
          </w:tcPr>
          <w:p w14:paraId="4A4C54C1">
            <w:pPr>
              <w:spacing w:line="240" w:lineRule="auto"/>
              <w:ind w:firstLine="480"/>
              <w:jc w:val="center"/>
              <w:rPr>
                <w:rFonts w:ascii="Times New Roman" w:hAnsi="Times New Roman" w:cs="方正仿宋_GBK"/>
                <w:color w:val="auto"/>
                <w:sz w:val="24"/>
                <w:szCs w:val="24"/>
              </w:rPr>
            </w:pPr>
          </w:p>
        </w:tc>
        <w:tc>
          <w:tcPr>
            <w:tcW w:w="1974" w:type="dxa"/>
            <w:vMerge w:val="continue"/>
            <w:tcBorders>
              <w:top w:val="single" w:color="000000" w:sz="4" w:space="0"/>
              <w:left w:val="single" w:color="000000" w:sz="4" w:space="0"/>
              <w:bottom w:val="single" w:color="000000" w:sz="4" w:space="0"/>
              <w:right w:val="single" w:color="000000" w:sz="4" w:space="0"/>
            </w:tcBorders>
            <w:vAlign w:val="center"/>
          </w:tcPr>
          <w:p w14:paraId="3ADDB05C">
            <w:pPr>
              <w:spacing w:line="240" w:lineRule="auto"/>
              <w:ind w:firstLine="480"/>
              <w:jc w:val="center"/>
              <w:rPr>
                <w:rFonts w:ascii="Times New Roman" w:hAnsi="Times New Roman" w:cs="方正仿宋_GBK"/>
                <w:color w:val="auto"/>
                <w:sz w:val="24"/>
                <w:szCs w:val="24"/>
              </w:rPr>
            </w:pPr>
          </w:p>
        </w:tc>
        <w:tc>
          <w:tcPr>
            <w:tcW w:w="2580" w:type="dxa"/>
            <w:tcBorders>
              <w:top w:val="single" w:color="000000" w:sz="4" w:space="0"/>
              <w:left w:val="single" w:color="000000" w:sz="4" w:space="0"/>
              <w:bottom w:val="single" w:color="000000" w:sz="4" w:space="0"/>
              <w:right w:val="single" w:color="000000" w:sz="4" w:space="0"/>
            </w:tcBorders>
            <w:vAlign w:val="center"/>
          </w:tcPr>
          <w:p w14:paraId="45D2A019">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小型村用停车场</w:t>
            </w:r>
          </w:p>
        </w:tc>
        <w:tc>
          <w:tcPr>
            <w:tcW w:w="540" w:type="dxa"/>
            <w:tcBorders>
              <w:top w:val="single" w:color="000000" w:sz="4" w:space="0"/>
              <w:left w:val="single" w:color="000000" w:sz="4" w:space="0"/>
              <w:bottom w:val="single" w:color="000000" w:sz="4" w:space="0"/>
              <w:right w:val="single" w:color="000000" w:sz="4" w:space="0"/>
            </w:tcBorders>
            <w:vAlign w:val="center"/>
          </w:tcPr>
          <w:p w14:paraId="71FB4742">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133DB622">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3EAD4BE8">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6C12FAC6">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4EEE7B09">
        <w:tblPrEx>
          <w:tblCellMar>
            <w:top w:w="0" w:type="dxa"/>
            <w:left w:w="108" w:type="dxa"/>
            <w:bottom w:w="0" w:type="dxa"/>
            <w:right w:w="108" w:type="dxa"/>
          </w:tblCellMar>
        </w:tblPrEx>
        <w:trPr>
          <w:trHeight w:val="23" w:hRule="atLeast"/>
        </w:trPr>
        <w:tc>
          <w:tcPr>
            <w:tcW w:w="1123" w:type="dxa"/>
            <w:vMerge w:val="restart"/>
            <w:tcBorders>
              <w:top w:val="single" w:color="000000" w:sz="4" w:space="0"/>
              <w:left w:val="single" w:color="000000" w:sz="4" w:space="0"/>
              <w:bottom w:val="single" w:color="000000" w:sz="4" w:space="0"/>
              <w:right w:val="single" w:color="000000" w:sz="4" w:space="0"/>
            </w:tcBorders>
            <w:vAlign w:val="center"/>
          </w:tcPr>
          <w:p w14:paraId="275690BC">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公用设施用地（13地类）</w:t>
            </w:r>
          </w:p>
        </w:tc>
        <w:tc>
          <w:tcPr>
            <w:tcW w:w="1974" w:type="dxa"/>
            <w:tcBorders>
              <w:top w:val="single" w:color="000000" w:sz="4" w:space="0"/>
              <w:left w:val="single" w:color="000000" w:sz="4" w:space="0"/>
              <w:bottom w:val="single" w:color="000000" w:sz="4" w:space="0"/>
              <w:right w:val="single" w:color="000000" w:sz="4" w:space="0"/>
            </w:tcBorders>
            <w:vAlign w:val="center"/>
          </w:tcPr>
          <w:p w14:paraId="1982DDE6">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供水用地</w:t>
            </w:r>
          </w:p>
        </w:tc>
        <w:tc>
          <w:tcPr>
            <w:tcW w:w="2580" w:type="dxa"/>
            <w:tcBorders>
              <w:top w:val="single" w:color="000000" w:sz="4" w:space="0"/>
              <w:left w:val="single" w:color="000000" w:sz="4" w:space="0"/>
              <w:bottom w:val="single" w:color="000000" w:sz="4" w:space="0"/>
              <w:right w:val="single" w:color="000000" w:sz="4" w:space="0"/>
            </w:tcBorders>
            <w:vAlign w:val="center"/>
          </w:tcPr>
          <w:p w14:paraId="2D15D484">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小型农村取水设施</w:t>
            </w:r>
          </w:p>
        </w:tc>
        <w:tc>
          <w:tcPr>
            <w:tcW w:w="540" w:type="dxa"/>
            <w:tcBorders>
              <w:top w:val="single" w:color="000000" w:sz="4" w:space="0"/>
              <w:left w:val="single" w:color="000000" w:sz="4" w:space="0"/>
              <w:bottom w:val="single" w:color="000000" w:sz="4" w:space="0"/>
              <w:right w:val="single" w:color="000000" w:sz="4" w:space="0"/>
            </w:tcBorders>
            <w:vAlign w:val="center"/>
          </w:tcPr>
          <w:p w14:paraId="4EB522B1">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6DFA8DC0">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7F8CD8B2">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750BDAFC">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5178BCE9">
        <w:tblPrEx>
          <w:tblCellMar>
            <w:top w:w="0" w:type="dxa"/>
            <w:left w:w="108" w:type="dxa"/>
            <w:bottom w:w="0" w:type="dxa"/>
            <w:right w:w="108" w:type="dxa"/>
          </w:tblCellMar>
        </w:tblPrEx>
        <w:trPr>
          <w:trHeight w:val="23" w:hRule="atLeast"/>
        </w:trPr>
        <w:tc>
          <w:tcPr>
            <w:tcW w:w="1123" w:type="dxa"/>
            <w:vMerge w:val="continue"/>
            <w:tcBorders>
              <w:top w:val="single" w:color="000000" w:sz="4" w:space="0"/>
              <w:left w:val="single" w:color="000000" w:sz="4" w:space="0"/>
              <w:bottom w:val="single" w:color="000000" w:sz="4" w:space="0"/>
              <w:right w:val="single" w:color="000000" w:sz="4" w:space="0"/>
            </w:tcBorders>
            <w:vAlign w:val="center"/>
          </w:tcPr>
          <w:p w14:paraId="0A4D9075">
            <w:pPr>
              <w:spacing w:line="240" w:lineRule="auto"/>
              <w:ind w:firstLine="480"/>
              <w:jc w:val="center"/>
              <w:rPr>
                <w:rFonts w:ascii="Times New Roman" w:hAnsi="Times New Roman" w:cs="方正仿宋_GBK"/>
                <w:color w:val="auto"/>
                <w:sz w:val="24"/>
                <w:szCs w:val="24"/>
              </w:rPr>
            </w:pPr>
          </w:p>
        </w:tc>
        <w:tc>
          <w:tcPr>
            <w:tcW w:w="1974" w:type="dxa"/>
            <w:tcBorders>
              <w:top w:val="single" w:color="000000" w:sz="4" w:space="0"/>
              <w:left w:val="single" w:color="000000" w:sz="4" w:space="0"/>
              <w:bottom w:val="single" w:color="000000" w:sz="4" w:space="0"/>
              <w:right w:val="single" w:color="000000" w:sz="4" w:space="0"/>
            </w:tcBorders>
            <w:vAlign w:val="center"/>
          </w:tcPr>
          <w:p w14:paraId="60D544DB">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排水用地</w:t>
            </w:r>
          </w:p>
        </w:tc>
        <w:tc>
          <w:tcPr>
            <w:tcW w:w="2580" w:type="dxa"/>
            <w:tcBorders>
              <w:top w:val="single" w:color="000000" w:sz="4" w:space="0"/>
              <w:left w:val="single" w:color="000000" w:sz="4" w:space="0"/>
              <w:bottom w:val="single" w:color="000000" w:sz="4" w:space="0"/>
              <w:right w:val="single" w:color="000000" w:sz="4" w:space="0"/>
            </w:tcBorders>
            <w:vAlign w:val="center"/>
          </w:tcPr>
          <w:p w14:paraId="6756D837">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小型农村污水处理池、小型泵站</w:t>
            </w:r>
          </w:p>
        </w:tc>
        <w:tc>
          <w:tcPr>
            <w:tcW w:w="540" w:type="dxa"/>
            <w:tcBorders>
              <w:top w:val="single" w:color="000000" w:sz="4" w:space="0"/>
              <w:left w:val="single" w:color="000000" w:sz="4" w:space="0"/>
              <w:bottom w:val="single" w:color="000000" w:sz="4" w:space="0"/>
              <w:right w:val="single" w:color="000000" w:sz="4" w:space="0"/>
            </w:tcBorders>
            <w:vAlign w:val="center"/>
          </w:tcPr>
          <w:p w14:paraId="3E62129D">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373AF14C">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2CB8FB36">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5374C02B">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6EC579FD">
        <w:tblPrEx>
          <w:tblCellMar>
            <w:top w:w="0" w:type="dxa"/>
            <w:left w:w="108" w:type="dxa"/>
            <w:bottom w:w="0" w:type="dxa"/>
            <w:right w:w="108" w:type="dxa"/>
          </w:tblCellMar>
        </w:tblPrEx>
        <w:trPr>
          <w:trHeight w:val="23" w:hRule="atLeast"/>
        </w:trPr>
        <w:tc>
          <w:tcPr>
            <w:tcW w:w="1123" w:type="dxa"/>
            <w:vMerge w:val="continue"/>
            <w:tcBorders>
              <w:top w:val="single" w:color="000000" w:sz="4" w:space="0"/>
              <w:left w:val="single" w:color="000000" w:sz="4" w:space="0"/>
              <w:bottom w:val="single" w:color="000000" w:sz="4" w:space="0"/>
              <w:right w:val="single" w:color="000000" w:sz="4" w:space="0"/>
            </w:tcBorders>
            <w:vAlign w:val="center"/>
          </w:tcPr>
          <w:p w14:paraId="24614CEF">
            <w:pPr>
              <w:spacing w:line="240" w:lineRule="auto"/>
              <w:ind w:firstLine="480"/>
              <w:jc w:val="center"/>
              <w:rPr>
                <w:rFonts w:ascii="Times New Roman" w:hAnsi="Times New Roman" w:cs="方正仿宋_GBK"/>
                <w:color w:val="auto"/>
                <w:sz w:val="24"/>
                <w:szCs w:val="24"/>
              </w:rPr>
            </w:pPr>
          </w:p>
        </w:tc>
        <w:tc>
          <w:tcPr>
            <w:tcW w:w="1974" w:type="dxa"/>
            <w:tcBorders>
              <w:top w:val="single" w:color="000000" w:sz="4" w:space="0"/>
              <w:left w:val="single" w:color="000000" w:sz="4" w:space="0"/>
              <w:bottom w:val="single" w:color="000000" w:sz="4" w:space="0"/>
              <w:right w:val="single" w:color="000000" w:sz="4" w:space="0"/>
            </w:tcBorders>
            <w:vAlign w:val="center"/>
          </w:tcPr>
          <w:p w14:paraId="1937DDE3">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供电用地</w:t>
            </w:r>
          </w:p>
        </w:tc>
        <w:tc>
          <w:tcPr>
            <w:tcW w:w="2580" w:type="dxa"/>
            <w:tcBorders>
              <w:top w:val="single" w:color="000000" w:sz="4" w:space="0"/>
              <w:left w:val="single" w:color="000000" w:sz="4" w:space="0"/>
              <w:bottom w:val="single" w:color="000000" w:sz="4" w:space="0"/>
              <w:right w:val="single" w:color="000000" w:sz="4" w:space="0"/>
            </w:tcBorders>
            <w:vAlign w:val="center"/>
          </w:tcPr>
          <w:p w14:paraId="743B80C9">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村配电房</w:t>
            </w:r>
          </w:p>
        </w:tc>
        <w:tc>
          <w:tcPr>
            <w:tcW w:w="540" w:type="dxa"/>
            <w:tcBorders>
              <w:top w:val="single" w:color="000000" w:sz="4" w:space="0"/>
              <w:left w:val="single" w:color="000000" w:sz="4" w:space="0"/>
              <w:bottom w:val="single" w:color="000000" w:sz="4" w:space="0"/>
              <w:right w:val="single" w:color="000000" w:sz="4" w:space="0"/>
            </w:tcBorders>
            <w:vAlign w:val="center"/>
          </w:tcPr>
          <w:p w14:paraId="0D73CBB3">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2096A3A3">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74DD76DC">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39A683D6">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40990C4D">
        <w:tblPrEx>
          <w:tblCellMar>
            <w:top w:w="0" w:type="dxa"/>
            <w:left w:w="108" w:type="dxa"/>
            <w:bottom w:w="0" w:type="dxa"/>
            <w:right w:w="108" w:type="dxa"/>
          </w:tblCellMar>
        </w:tblPrEx>
        <w:trPr>
          <w:trHeight w:val="23" w:hRule="atLeast"/>
        </w:trPr>
        <w:tc>
          <w:tcPr>
            <w:tcW w:w="1123" w:type="dxa"/>
            <w:vMerge w:val="continue"/>
            <w:tcBorders>
              <w:top w:val="single" w:color="000000" w:sz="4" w:space="0"/>
              <w:left w:val="single" w:color="000000" w:sz="4" w:space="0"/>
              <w:bottom w:val="single" w:color="000000" w:sz="4" w:space="0"/>
              <w:right w:val="single" w:color="000000" w:sz="4" w:space="0"/>
            </w:tcBorders>
            <w:vAlign w:val="center"/>
          </w:tcPr>
          <w:p w14:paraId="38AC318E">
            <w:pPr>
              <w:spacing w:line="240" w:lineRule="auto"/>
              <w:ind w:firstLine="480"/>
              <w:jc w:val="center"/>
              <w:rPr>
                <w:rFonts w:ascii="Times New Roman" w:hAnsi="Times New Roman" w:cs="方正仿宋_GBK"/>
                <w:color w:val="auto"/>
                <w:sz w:val="24"/>
                <w:szCs w:val="24"/>
              </w:rPr>
            </w:pPr>
          </w:p>
        </w:tc>
        <w:tc>
          <w:tcPr>
            <w:tcW w:w="1974" w:type="dxa"/>
            <w:tcBorders>
              <w:top w:val="single" w:color="000000" w:sz="4" w:space="0"/>
              <w:left w:val="single" w:color="000000" w:sz="4" w:space="0"/>
              <w:bottom w:val="single" w:color="000000" w:sz="4" w:space="0"/>
              <w:right w:val="single" w:color="000000" w:sz="4" w:space="0"/>
            </w:tcBorders>
            <w:vAlign w:val="center"/>
          </w:tcPr>
          <w:p w14:paraId="1B8EBC59">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通信用地</w:t>
            </w:r>
          </w:p>
        </w:tc>
        <w:tc>
          <w:tcPr>
            <w:tcW w:w="2580" w:type="dxa"/>
            <w:tcBorders>
              <w:top w:val="single" w:color="000000" w:sz="4" w:space="0"/>
              <w:left w:val="single" w:color="000000" w:sz="4" w:space="0"/>
              <w:bottom w:val="single" w:color="000000" w:sz="4" w:space="0"/>
              <w:right w:val="single" w:color="000000" w:sz="4" w:space="0"/>
            </w:tcBorders>
            <w:vAlign w:val="center"/>
          </w:tcPr>
          <w:p w14:paraId="111F33BC">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通信基站</w:t>
            </w:r>
          </w:p>
        </w:tc>
        <w:tc>
          <w:tcPr>
            <w:tcW w:w="540" w:type="dxa"/>
            <w:tcBorders>
              <w:top w:val="single" w:color="000000" w:sz="4" w:space="0"/>
              <w:left w:val="single" w:color="000000" w:sz="4" w:space="0"/>
              <w:bottom w:val="single" w:color="000000" w:sz="4" w:space="0"/>
              <w:right w:val="single" w:color="000000" w:sz="4" w:space="0"/>
            </w:tcBorders>
            <w:vAlign w:val="center"/>
          </w:tcPr>
          <w:p w14:paraId="651F34B8">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0015965E">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5E097DC1">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7AC5D20B">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1C9C86B5">
        <w:tblPrEx>
          <w:tblCellMar>
            <w:top w:w="0" w:type="dxa"/>
            <w:left w:w="108" w:type="dxa"/>
            <w:bottom w:w="0" w:type="dxa"/>
            <w:right w:w="108" w:type="dxa"/>
          </w:tblCellMar>
        </w:tblPrEx>
        <w:trPr>
          <w:trHeight w:val="23" w:hRule="atLeast"/>
        </w:trPr>
        <w:tc>
          <w:tcPr>
            <w:tcW w:w="1123" w:type="dxa"/>
            <w:vMerge w:val="continue"/>
            <w:tcBorders>
              <w:top w:val="single" w:color="000000" w:sz="4" w:space="0"/>
              <w:left w:val="single" w:color="000000" w:sz="4" w:space="0"/>
              <w:bottom w:val="single" w:color="000000" w:sz="4" w:space="0"/>
              <w:right w:val="single" w:color="000000" w:sz="4" w:space="0"/>
            </w:tcBorders>
            <w:vAlign w:val="center"/>
          </w:tcPr>
          <w:p w14:paraId="4063027F">
            <w:pPr>
              <w:spacing w:line="240" w:lineRule="auto"/>
              <w:ind w:firstLine="480"/>
              <w:jc w:val="center"/>
              <w:rPr>
                <w:rFonts w:ascii="Times New Roman" w:hAnsi="Times New Roman" w:cs="方正仿宋_GBK"/>
                <w:color w:val="auto"/>
                <w:sz w:val="24"/>
                <w:szCs w:val="24"/>
              </w:rPr>
            </w:pPr>
          </w:p>
        </w:tc>
        <w:tc>
          <w:tcPr>
            <w:tcW w:w="1974" w:type="dxa"/>
            <w:tcBorders>
              <w:top w:val="single" w:color="000000" w:sz="4" w:space="0"/>
              <w:left w:val="single" w:color="000000" w:sz="4" w:space="0"/>
              <w:bottom w:val="single" w:color="000000" w:sz="4" w:space="0"/>
              <w:right w:val="single" w:color="000000" w:sz="4" w:space="0"/>
            </w:tcBorders>
            <w:vAlign w:val="center"/>
          </w:tcPr>
          <w:p w14:paraId="5FD35A8D">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供燃气设施用地</w:t>
            </w:r>
          </w:p>
        </w:tc>
        <w:tc>
          <w:tcPr>
            <w:tcW w:w="2580" w:type="dxa"/>
            <w:tcBorders>
              <w:top w:val="single" w:color="000000" w:sz="4" w:space="0"/>
              <w:left w:val="single" w:color="000000" w:sz="4" w:space="0"/>
              <w:bottom w:val="single" w:color="000000" w:sz="4" w:space="0"/>
              <w:right w:val="single" w:color="000000" w:sz="4" w:space="0"/>
            </w:tcBorders>
            <w:vAlign w:val="center"/>
          </w:tcPr>
          <w:p w14:paraId="0AC66218">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调压柜</w:t>
            </w:r>
          </w:p>
        </w:tc>
        <w:tc>
          <w:tcPr>
            <w:tcW w:w="540" w:type="dxa"/>
            <w:tcBorders>
              <w:top w:val="single" w:color="000000" w:sz="4" w:space="0"/>
              <w:left w:val="single" w:color="000000" w:sz="4" w:space="0"/>
              <w:bottom w:val="single" w:color="000000" w:sz="4" w:space="0"/>
              <w:right w:val="single" w:color="000000" w:sz="4" w:space="0"/>
            </w:tcBorders>
            <w:vAlign w:val="center"/>
          </w:tcPr>
          <w:p w14:paraId="69C99DCA">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47E813D2">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021B5D8E">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5F838889">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592D1000">
        <w:tblPrEx>
          <w:tblCellMar>
            <w:top w:w="0" w:type="dxa"/>
            <w:left w:w="108" w:type="dxa"/>
            <w:bottom w:w="0" w:type="dxa"/>
            <w:right w:w="108" w:type="dxa"/>
          </w:tblCellMar>
        </w:tblPrEx>
        <w:trPr>
          <w:trHeight w:val="23" w:hRule="atLeast"/>
        </w:trPr>
        <w:tc>
          <w:tcPr>
            <w:tcW w:w="1123" w:type="dxa"/>
            <w:vMerge w:val="continue"/>
            <w:tcBorders>
              <w:top w:val="single" w:color="000000" w:sz="4" w:space="0"/>
              <w:left w:val="single" w:color="000000" w:sz="4" w:space="0"/>
              <w:bottom w:val="single" w:color="000000" w:sz="4" w:space="0"/>
              <w:right w:val="single" w:color="000000" w:sz="4" w:space="0"/>
            </w:tcBorders>
            <w:vAlign w:val="center"/>
          </w:tcPr>
          <w:p w14:paraId="6AA95B28">
            <w:pPr>
              <w:spacing w:line="240" w:lineRule="auto"/>
              <w:ind w:firstLine="480"/>
              <w:jc w:val="center"/>
              <w:rPr>
                <w:rFonts w:ascii="Times New Roman" w:hAnsi="Times New Roman" w:cs="方正仿宋_GBK"/>
                <w:color w:val="auto"/>
                <w:sz w:val="24"/>
                <w:szCs w:val="24"/>
              </w:rPr>
            </w:pPr>
          </w:p>
        </w:tc>
        <w:tc>
          <w:tcPr>
            <w:tcW w:w="1974" w:type="dxa"/>
            <w:vMerge w:val="restart"/>
            <w:tcBorders>
              <w:top w:val="single" w:color="000000" w:sz="4" w:space="0"/>
              <w:left w:val="single" w:color="000000" w:sz="4" w:space="0"/>
              <w:bottom w:val="single" w:color="000000" w:sz="4" w:space="0"/>
              <w:right w:val="single" w:color="000000" w:sz="4" w:space="0"/>
            </w:tcBorders>
            <w:vAlign w:val="center"/>
          </w:tcPr>
          <w:p w14:paraId="29EAFB44">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环卫用地</w:t>
            </w:r>
          </w:p>
        </w:tc>
        <w:tc>
          <w:tcPr>
            <w:tcW w:w="2580" w:type="dxa"/>
            <w:tcBorders>
              <w:top w:val="single" w:color="000000" w:sz="4" w:space="0"/>
              <w:left w:val="single" w:color="000000" w:sz="4" w:space="0"/>
              <w:bottom w:val="single" w:color="000000" w:sz="4" w:space="0"/>
              <w:right w:val="single" w:color="000000" w:sz="4" w:space="0"/>
            </w:tcBorders>
            <w:vAlign w:val="center"/>
          </w:tcPr>
          <w:p w14:paraId="03A71AB5">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垃圾转运站</w:t>
            </w:r>
          </w:p>
        </w:tc>
        <w:tc>
          <w:tcPr>
            <w:tcW w:w="540" w:type="dxa"/>
            <w:tcBorders>
              <w:top w:val="single" w:color="000000" w:sz="4" w:space="0"/>
              <w:left w:val="single" w:color="000000" w:sz="4" w:space="0"/>
              <w:bottom w:val="single" w:color="000000" w:sz="4" w:space="0"/>
              <w:right w:val="single" w:color="000000" w:sz="4" w:space="0"/>
            </w:tcBorders>
            <w:vAlign w:val="center"/>
          </w:tcPr>
          <w:p w14:paraId="74BBA72D">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02514848">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5EB9C2A9">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47B06766">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5C1B0CAC">
        <w:tblPrEx>
          <w:tblCellMar>
            <w:top w:w="0" w:type="dxa"/>
            <w:left w:w="108" w:type="dxa"/>
            <w:bottom w:w="0" w:type="dxa"/>
            <w:right w:w="108" w:type="dxa"/>
          </w:tblCellMar>
        </w:tblPrEx>
        <w:trPr>
          <w:trHeight w:val="23" w:hRule="atLeast"/>
        </w:trPr>
        <w:tc>
          <w:tcPr>
            <w:tcW w:w="1123" w:type="dxa"/>
            <w:vMerge w:val="continue"/>
            <w:tcBorders>
              <w:top w:val="single" w:color="000000" w:sz="4" w:space="0"/>
              <w:left w:val="single" w:color="000000" w:sz="4" w:space="0"/>
              <w:bottom w:val="single" w:color="000000" w:sz="4" w:space="0"/>
              <w:right w:val="single" w:color="000000" w:sz="4" w:space="0"/>
            </w:tcBorders>
            <w:vAlign w:val="center"/>
          </w:tcPr>
          <w:p w14:paraId="19AFC05F">
            <w:pPr>
              <w:spacing w:line="240" w:lineRule="auto"/>
              <w:ind w:firstLine="480"/>
              <w:jc w:val="center"/>
              <w:rPr>
                <w:rFonts w:ascii="Times New Roman" w:hAnsi="Times New Roman" w:cs="方正仿宋_GBK"/>
                <w:color w:val="auto"/>
                <w:sz w:val="24"/>
                <w:szCs w:val="24"/>
              </w:rPr>
            </w:pPr>
          </w:p>
        </w:tc>
        <w:tc>
          <w:tcPr>
            <w:tcW w:w="1974" w:type="dxa"/>
            <w:vMerge w:val="continue"/>
            <w:tcBorders>
              <w:top w:val="single" w:color="000000" w:sz="4" w:space="0"/>
              <w:left w:val="single" w:color="000000" w:sz="4" w:space="0"/>
              <w:bottom w:val="single" w:color="000000" w:sz="4" w:space="0"/>
              <w:right w:val="single" w:color="000000" w:sz="4" w:space="0"/>
            </w:tcBorders>
            <w:vAlign w:val="center"/>
          </w:tcPr>
          <w:p w14:paraId="312934F6">
            <w:pPr>
              <w:spacing w:line="240" w:lineRule="auto"/>
              <w:ind w:firstLine="480"/>
              <w:jc w:val="center"/>
              <w:rPr>
                <w:rFonts w:ascii="Times New Roman" w:hAnsi="Times New Roman" w:cs="方正仿宋_GBK"/>
                <w:color w:val="auto"/>
                <w:sz w:val="24"/>
                <w:szCs w:val="24"/>
              </w:rPr>
            </w:pPr>
          </w:p>
        </w:tc>
        <w:tc>
          <w:tcPr>
            <w:tcW w:w="2580" w:type="dxa"/>
            <w:tcBorders>
              <w:top w:val="single" w:color="000000" w:sz="4" w:space="0"/>
              <w:left w:val="single" w:color="000000" w:sz="4" w:space="0"/>
              <w:bottom w:val="single" w:color="000000" w:sz="4" w:space="0"/>
              <w:right w:val="single" w:color="000000" w:sz="4" w:space="0"/>
            </w:tcBorders>
            <w:vAlign w:val="center"/>
          </w:tcPr>
          <w:p w14:paraId="34210E1B">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垃圾收集点</w:t>
            </w:r>
          </w:p>
        </w:tc>
        <w:tc>
          <w:tcPr>
            <w:tcW w:w="540" w:type="dxa"/>
            <w:tcBorders>
              <w:top w:val="single" w:color="000000" w:sz="4" w:space="0"/>
              <w:left w:val="single" w:color="000000" w:sz="4" w:space="0"/>
              <w:bottom w:val="single" w:color="000000" w:sz="4" w:space="0"/>
              <w:right w:val="single" w:color="000000" w:sz="4" w:space="0"/>
            </w:tcBorders>
            <w:vAlign w:val="center"/>
          </w:tcPr>
          <w:p w14:paraId="56886458">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454FAF4A">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19F26ED6">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0BB2BC88">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06C15DEA">
        <w:tblPrEx>
          <w:tblCellMar>
            <w:top w:w="0" w:type="dxa"/>
            <w:left w:w="108" w:type="dxa"/>
            <w:bottom w:w="0" w:type="dxa"/>
            <w:right w:w="108" w:type="dxa"/>
          </w:tblCellMar>
        </w:tblPrEx>
        <w:trPr>
          <w:trHeight w:val="23" w:hRule="atLeast"/>
        </w:trPr>
        <w:tc>
          <w:tcPr>
            <w:tcW w:w="1123" w:type="dxa"/>
            <w:vMerge w:val="continue"/>
            <w:tcBorders>
              <w:top w:val="single" w:color="000000" w:sz="4" w:space="0"/>
              <w:left w:val="single" w:color="000000" w:sz="4" w:space="0"/>
              <w:bottom w:val="single" w:color="000000" w:sz="4" w:space="0"/>
              <w:right w:val="single" w:color="000000" w:sz="4" w:space="0"/>
            </w:tcBorders>
            <w:vAlign w:val="center"/>
          </w:tcPr>
          <w:p w14:paraId="32645874">
            <w:pPr>
              <w:spacing w:line="240" w:lineRule="auto"/>
              <w:ind w:firstLine="480"/>
              <w:jc w:val="center"/>
              <w:rPr>
                <w:rFonts w:ascii="Times New Roman" w:hAnsi="Times New Roman" w:cs="方正仿宋_GBK"/>
                <w:color w:val="auto"/>
                <w:sz w:val="24"/>
                <w:szCs w:val="24"/>
              </w:rPr>
            </w:pPr>
          </w:p>
        </w:tc>
        <w:tc>
          <w:tcPr>
            <w:tcW w:w="1974" w:type="dxa"/>
            <w:vMerge w:val="continue"/>
            <w:tcBorders>
              <w:top w:val="single" w:color="000000" w:sz="4" w:space="0"/>
              <w:left w:val="single" w:color="000000" w:sz="4" w:space="0"/>
              <w:bottom w:val="single" w:color="000000" w:sz="4" w:space="0"/>
              <w:right w:val="single" w:color="000000" w:sz="4" w:space="0"/>
            </w:tcBorders>
            <w:vAlign w:val="center"/>
          </w:tcPr>
          <w:p w14:paraId="0014E819">
            <w:pPr>
              <w:spacing w:line="240" w:lineRule="auto"/>
              <w:ind w:firstLine="480"/>
              <w:jc w:val="center"/>
              <w:rPr>
                <w:rFonts w:ascii="Times New Roman" w:hAnsi="Times New Roman" w:cs="方正仿宋_GBK"/>
                <w:color w:val="auto"/>
                <w:sz w:val="24"/>
                <w:szCs w:val="24"/>
              </w:rPr>
            </w:pPr>
          </w:p>
        </w:tc>
        <w:tc>
          <w:tcPr>
            <w:tcW w:w="2580" w:type="dxa"/>
            <w:tcBorders>
              <w:top w:val="single" w:color="000000" w:sz="4" w:space="0"/>
              <w:left w:val="single" w:color="000000" w:sz="4" w:space="0"/>
              <w:bottom w:val="single" w:color="000000" w:sz="4" w:space="0"/>
              <w:right w:val="single" w:color="000000" w:sz="4" w:space="0"/>
            </w:tcBorders>
            <w:vAlign w:val="center"/>
          </w:tcPr>
          <w:p w14:paraId="426D72E0">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公厕</w:t>
            </w:r>
          </w:p>
        </w:tc>
        <w:tc>
          <w:tcPr>
            <w:tcW w:w="540" w:type="dxa"/>
            <w:tcBorders>
              <w:top w:val="single" w:color="000000" w:sz="4" w:space="0"/>
              <w:left w:val="single" w:color="000000" w:sz="4" w:space="0"/>
              <w:bottom w:val="single" w:color="000000" w:sz="4" w:space="0"/>
              <w:right w:val="single" w:color="000000" w:sz="4" w:space="0"/>
            </w:tcBorders>
            <w:vAlign w:val="center"/>
          </w:tcPr>
          <w:p w14:paraId="66A45707">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3DBF642B">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65733EE1">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66DC7065">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34C15AE9">
        <w:tblPrEx>
          <w:tblCellMar>
            <w:top w:w="0" w:type="dxa"/>
            <w:left w:w="108" w:type="dxa"/>
            <w:bottom w:w="0" w:type="dxa"/>
            <w:right w:w="108" w:type="dxa"/>
          </w:tblCellMar>
        </w:tblPrEx>
        <w:trPr>
          <w:trHeight w:val="23" w:hRule="atLeast"/>
        </w:trPr>
        <w:tc>
          <w:tcPr>
            <w:tcW w:w="1123" w:type="dxa"/>
            <w:vMerge w:val="continue"/>
            <w:tcBorders>
              <w:top w:val="single" w:color="000000" w:sz="4" w:space="0"/>
              <w:left w:val="single" w:color="000000" w:sz="4" w:space="0"/>
              <w:bottom w:val="single" w:color="000000" w:sz="4" w:space="0"/>
              <w:right w:val="single" w:color="000000" w:sz="4" w:space="0"/>
            </w:tcBorders>
            <w:vAlign w:val="center"/>
          </w:tcPr>
          <w:p w14:paraId="59238AEB">
            <w:pPr>
              <w:spacing w:line="240" w:lineRule="auto"/>
              <w:ind w:firstLine="480"/>
              <w:jc w:val="center"/>
              <w:rPr>
                <w:rFonts w:ascii="Times New Roman" w:hAnsi="Times New Roman" w:cs="方正仿宋_GBK"/>
                <w:color w:val="auto"/>
                <w:sz w:val="24"/>
                <w:szCs w:val="24"/>
              </w:rPr>
            </w:pPr>
          </w:p>
        </w:tc>
        <w:tc>
          <w:tcPr>
            <w:tcW w:w="1974" w:type="dxa"/>
            <w:vMerge w:val="restart"/>
            <w:tcBorders>
              <w:top w:val="single" w:color="000000" w:sz="4" w:space="0"/>
              <w:left w:val="single" w:color="000000" w:sz="4" w:space="0"/>
              <w:bottom w:val="single" w:color="000000" w:sz="4" w:space="0"/>
              <w:right w:val="single" w:color="000000" w:sz="4" w:space="0"/>
            </w:tcBorders>
            <w:vAlign w:val="center"/>
          </w:tcPr>
          <w:p w14:paraId="774129AF">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水工设施用地</w:t>
            </w:r>
          </w:p>
        </w:tc>
        <w:tc>
          <w:tcPr>
            <w:tcW w:w="2580" w:type="dxa"/>
            <w:tcBorders>
              <w:top w:val="single" w:color="000000" w:sz="4" w:space="0"/>
              <w:left w:val="single" w:color="000000" w:sz="4" w:space="0"/>
              <w:bottom w:val="single" w:color="000000" w:sz="4" w:space="0"/>
              <w:right w:val="single" w:color="000000" w:sz="4" w:space="0"/>
            </w:tcBorders>
            <w:vAlign w:val="center"/>
          </w:tcPr>
          <w:p w14:paraId="38C0A9D8">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村级水闸</w:t>
            </w:r>
          </w:p>
        </w:tc>
        <w:tc>
          <w:tcPr>
            <w:tcW w:w="540" w:type="dxa"/>
            <w:tcBorders>
              <w:top w:val="single" w:color="000000" w:sz="4" w:space="0"/>
              <w:left w:val="single" w:color="000000" w:sz="4" w:space="0"/>
              <w:bottom w:val="single" w:color="000000" w:sz="4" w:space="0"/>
              <w:right w:val="single" w:color="000000" w:sz="4" w:space="0"/>
            </w:tcBorders>
            <w:vAlign w:val="center"/>
          </w:tcPr>
          <w:p w14:paraId="35B87837">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5064E55C">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39318D0C">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1DAD7541">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60E35FCA">
        <w:tblPrEx>
          <w:tblCellMar>
            <w:top w:w="0" w:type="dxa"/>
            <w:left w:w="108" w:type="dxa"/>
            <w:bottom w:w="0" w:type="dxa"/>
            <w:right w:w="108" w:type="dxa"/>
          </w:tblCellMar>
        </w:tblPrEx>
        <w:trPr>
          <w:trHeight w:val="23" w:hRule="atLeast"/>
        </w:trPr>
        <w:tc>
          <w:tcPr>
            <w:tcW w:w="1123" w:type="dxa"/>
            <w:vMerge w:val="continue"/>
            <w:tcBorders>
              <w:top w:val="single" w:color="000000" w:sz="4" w:space="0"/>
              <w:left w:val="single" w:color="000000" w:sz="4" w:space="0"/>
              <w:bottom w:val="single" w:color="000000" w:sz="4" w:space="0"/>
              <w:right w:val="single" w:color="000000" w:sz="4" w:space="0"/>
            </w:tcBorders>
            <w:vAlign w:val="center"/>
          </w:tcPr>
          <w:p w14:paraId="1499EAC1">
            <w:pPr>
              <w:spacing w:line="240" w:lineRule="auto"/>
              <w:ind w:firstLine="480"/>
              <w:jc w:val="center"/>
              <w:rPr>
                <w:rFonts w:ascii="Times New Roman" w:hAnsi="Times New Roman" w:cs="方正仿宋_GBK"/>
                <w:color w:val="auto"/>
                <w:sz w:val="24"/>
                <w:szCs w:val="24"/>
              </w:rPr>
            </w:pPr>
          </w:p>
        </w:tc>
        <w:tc>
          <w:tcPr>
            <w:tcW w:w="1974" w:type="dxa"/>
            <w:vMerge w:val="continue"/>
            <w:tcBorders>
              <w:top w:val="single" w:color="000000" w:sz="4" w:space="0"/>
              <w:left w:val="single" w:color="000000" w:sz="4" w:space="0"/>
              <w:bottom w:val="single" w:color="000000" w:sz="4" w:space="0"/>
              <w:right w:val="single" w:color="000000" w:sz="4" w:space="0"/>
            </w:tcBorders>
            <w:vAlign w:val="center"/>
          </w:tcPr>
          <w:p w14:paraId="2F7B9D47">
            <w:pPr>
              <w:spacing w:line="240" w:lineRule="auto"/>
              <w:ind w:firstLine="480"/>
              <w:jc w:val="center"/>
              <w:rPr>
                <w:rFonts w:ascii="Times New Roman" w:hAnsi="Times New Roman" w:cs="方正仿宋_GBK"/>
                <w:color w:val="auto"/>
                <w:sz w:val="24"/>
                <w:szCs w:val="24"/>
              </w:rPr>
            </w:pPr>
          </w:p>
        </w:tc>
        <w:tc>
          <w:tcPr>
            <w:tcW w:w="2580" w:type="dxa"/>
            <w:tcBorders>
              <w:top w:val="single" w:color="000000" w:sz="4" w:space="0"/>
              <w:left w:val="single" w:color="000000" w:sz="4" w:space="0"/>
              <w:bottom w:val="single" w:color="000000" w:sz="4" w:space="0"/>
              <w:right w:val="single" w:color="000000" w:sz="4" w:space="0"/>
            </w:tcBorders>
            <w:vAlign w:val="center"/>
          </w:tcPr>
          <w:p w14:paraId="78BC326F">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水电机房</w:t>
            </w:r>
          </w:p>
        </w:tc>
        <w:tc>
          <w:tcPr>
            <w:tcW w:w="540" w:type="dxa"/>
            <w:tcBorders>
              <w:top w:val="single" w:color="000000" w:sz="4" w:space="0"/>
              <w:left w:val="single" w:color="000000" w:sz="4" w:space="0"/>
              <w:bottom w:val="single" w:color="000000" w:sz="4" w:space="0"/>
              <w:right w:val="single" w:color="000000" w:sz="4" w:space="0"/>
            </w:tcBorders>
            <w:vAlign w:val="center"/>
          </w:tcPr>
          <w:p w14:paraId="754C9A08">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24CD01EE">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30461F9C">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1BA292F0">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32E017EA">
        <w:tblPrEx>
          <w:tblCellMar>
            <w:top w:w="0" w:type="dxa"/>
            <w:left w:w="108" w:type="dxa"/>
            <w:bottom w:w="0" w:type="dxa"/>
            <w:right w:w="108" w:type="dxa"/>
          </w:tblCellMar>
        </w:tblPrEx>
        <w:trPr>
          <w:trHeight w:val="23" w:hRule="atLeast"/>
        </w:trPr>
        <w:tc>
          <w:tcPr>
            <w:tcW w:w="1123" w:type="dxa"/>
            <w:vMerge w:val="restart"/>
            <w:tcBorders>
              <w:top w:val="single" w:color="000000" w:sz="4" w:space="0"/>
              <w:left w:val="single" w:color="000000" w:sz="4" w:space="0"/>
              <w:bottom w:val="single" w:color="000000" w:sz="4" w:space="0"/>
              <w:right w:val="single" w:color="000000" w:sz="4" w:space="0"/>
            </w:tcBorders>
            <w:vAlign w:val="center"/>
          </w:tcPr>
          <w:p w14:paraId="5428B828">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绿地与开敞空间用地（14地类）</w:t>
            </w:r>
          </w:p>
        </w:tc>
        <w:tc>
          <w:tcPr>
            <w:tcW w:w="1974" w:type="dxa"/>
            <w:tcBorders>
              <w:top w:val="single" w:color="000000" w:sz="4" w:space="0"/>
              <w:left w:val="single" w:color="000000" w:sz="4" w:space="0"/>
              <w:bottom w:val="single" w:color="000000" w:sz="4" w:space="0"/>
              <w:right w:val="single" w:color="000000" w:sz="4" w:space="0"/>
            </w:tcBorders>
            <w:vAlign w:val="center"/>
          </w:tcPr>
          <w:p w14:paraId="6EFF9D12">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公园绿地</w:t>
            </w:r>
          </w:p>
        </w:tc>
        <w:tc>
          <w:tcPr>
            <w:tcW w:w="2580" w:type="dxa"/>
            <w:tcBorders>
              <w:top w:val="single" w:color="000000" w:sz="4" w:space="0"/>
              <w:left w:val="single" w:color="000000" w:sz="4" w:space="0"/>
              <w:bottom w:val="single" w:color="000000" w:sz="4" w:space="0"/>
              <w:right w:val="single" w:color="000000" w:sz="4" w:space="0"/>
            </w:tcBorders>
            <w:vAlign w:val="center"/>
          </w:tcPr>
          <w:p w14:paraId="377E66A7">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小型农村公园</w:t>
            </w:r>
          </w:p>
        </w:tc>
        <w:tc>
          <w:tcPr>
            <w:tcW w:w="540" w:type="dxa"/>
            <w:tcBorders>
              <w:top w:val="single" w:color="000000" w:sz="4" w:space="0"/>
              <w:left w:val="single" w:color="000000" w:sz="4" w:space="0"/>
              <w:bottom w:val="single" w:color="000000" w:sz="4" w:space="0"/>
              <w:right w:val="single" w:color="000000" w:sz="4" w:space="0"/>
            </w:tcBorders>
            <w:vAlign w:val="center"/>
          </w:tcPr>
          <w:p w14:paraId="52A41D7D">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1797BCA5">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5C6232B2">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132E28A8">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4AB39C6B">
        <w:tblPrEx>
          <w:tblCellMar>
            <w:top w:w="0" w:type="dxa"/>
            <w:left w:w="108" w:type="dxa"/>
            <w:bottom w:w="0" w:type="dxa"/>
            <w:right w:w="108" w:type="dxa"/>
          </w:tblCellMar>
        </w:tblPrEx>
        <w:trPr>
          <w:trHeight w:val="23" w:hRule="atLeast"/>
        </w:trPr>
        <w:tc>
          <w:tcPr>
            <w:tcW w:w="1123" w:type="dxa"/>
            <w:vMerge w:val="continue"/>
            <w:tcBorders>
              <w:top w:val="single" w:color="000000" w:sz="4" w:space="0"/>
              <w:left w:val="single" w:color="000000" w:sz="4" w:space="0"/>
              <w:bottom w:val="single" w:color="000000" w:sz="4" w:space="0"/>
              <w:right w:val="single" w:color="000000" w:sz="4" w:space="0"/>
            </w:tcBorders>
            <w:vAlign w:val="center"/>
          </w:tcPr>
          <w:p w14:paraId="4F7A648B">
            <w:pPr>
              <w:spacing w:line="240" w:lineRule="auto"/>
              <w:ind w:firstLine="480"/>
              <w:jc w:val="center"/>
              <w:rPr>
                <w:rFonts w:ascii="Times New Roman" w:hAnsi="Times New Roman" w:cs="方正仿宋_GBK"/>
                <w:color w:val="auto"/>
                <w:sz w:val="24"/>
                <w:szCs w:val="24"/>
              </w:rPr>
            </w:pPr>
          </w:p>
        </w:tc>
        <w:tc>
          <w:tcPr>
            <w:tcW w:w="1974" w:type="dxa"/>
            <w:tcBorders>
              <w:top w:val="single" w:color="000000" w:sz="4" w:space="0"/>
              <w:left w:val="single" w:color="000000" w:sz="4" w:space="0"/>
              <w:bottom w:val="single" w:color="000000" w:sz="4" w:space="0"/>
              <w:right w:val="single" w:color="000000" w:sz="4" w:space="0"/>
            </w:tcBorders>
            <w:vAlign w:val="center"/>
          </w:tcPr>
          <w:p w14:paraId="0CBEFD6D">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广场用地</w:t>
            </w:r>
          </w:p>
        </w:tc>
        <w:tc>
          <w:tcPr>
            <w:tcW w:w="2580" w:type="dxa"/>
            <w:tcBorders>
              <w:top w:val="single" w:color="000000" w:sz="4" w:space="0"/>
              <w:left w:val="single" w:color="000000" w:sz="4" w:space="0"/>
              <w:bottom w:val="single" w:color="000000" w:sz="4" w:space="0"/>
              <w:right w:val="single" w:color="000000" w:sz="4" w:space="0"/>
            </w:tcBorders>
            <w:vAlign w:val="center"/>
          </w:tcPr>
          <w:p w14:paraId="25C1BDE4">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公共活动场地</w:t>
            </w:r>
          </w:p>
        </w:tc>
        <w:tc>
          <w:tcPr>
            <w:tcW w:w="540" w:type="dxa"/>
            <w:tcBorders>
              <w:top w:val="single" w:color="000000" w:sz="4" w:space="0"/>
              <w:left w:val="single" w:color="000000" w:sz="4" w:space="0"/>
              <w:bottom w:val="single" w:color="000000" w:sz="4" w:space="0"/>
              <w:right w:val="single" w:color="000000" w:sz="4" w:space="0"/>
            </w:tcBorders>
            <w:vAlign w:val="center"/>
          </w:tcPr>
          <w:p w14:paraId="31F0CB0C">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06B8B034">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20503409">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168A4C18">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2DBD5864">
        <w:tblPrEx>
          <w:tblCellMar>
            <w:top w:w="0" w:type="dxa"/>
            <w:left w:w="108" w:type="dxa"/>
            <w:bottom w:w="0" w:type="dxa"/>
            <w:right w:w="108" w:type="dxa"/>
          </w:tblCellMar>
        </w:tblPrEx>
        <w:trPr>
          <w:trHeight w:val="23" w:hRule="atLeast"/>
        </w:trPr>
        <w:tc>
          <w:tcPr>
            <w:tcW w:w="1123" w:type="dxa"/>
            <w:tcBorders>
              <w:top w:val="single" w:color="000000" w:sz="4" w:space="0"/>
              <w:left w:val="single" w:color="000000" w:sz="4" w:space="0"/>
              <w:bottom w:val="single" w:color="000000" w:sz="4" w:space="0"/>
              <w:right w:val="single" w:color="000000" w:sz="4" w:space="0"/>
            </w:tcBorders>
            <w:vAlign w:val="center"/>
          </w:tcPr>
          <w:p w14:paraId="461C7777">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特殊用地（15地类）</w:t>
            </w:r>
          </w:p>
        </w:tc>
        <w:tc>
          <w:tcPr>
            <w:tcW w:w="1974" w:type="dxa"/>
            <w:tcBorders>
              <w:top w:val="single" w:color="000000" w:sz="4" w:space="0"/>
              <w:left w:val="single" w:color="000000" w:sz="4" w:space="0"/>
              <w:bottom w:val="single" w:color="000000" w:sz="4" w:space="0"/>
              <w:right w:val="single" w:color="000000" w:sz="4" w:space="0"/>
            </w:tcBorders>
            <w:vAlign w:val="center"/>
          </w:tcPr>
          <w:p w14:paraId="08C2EB53">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殡葬用地</w:t>
            </w:r>
          </w:p>
        </w:tc>
        <w:tc>
          <w:tcPr>
            <w:tcW w:w="2580" w:type="dxa"/>
            <w:tcBorders>
              <w:top w:val="single" w:color="000000" w:sz="4" w:space="0"/>
              <w:left w:val="single" w:color="000000" w:sz="4" w:space="0"/>
              <w:bottom w:val="single" w:color="000000" w:sz="4" w:space="0"/>
              <w:right w:val="single" w:color="000000" w:sz="4" w:space="0"/>
            </w:tcBorders>
            <w:vAlign w:val="center"/>
          </w:tcPr>
          <w:p w14:paraId="1607CFDB">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农村公益性墓地</w:t>
            </w:r>
          </w:p>
        </w:tc>
        <w:tc>
          <w:tcPr>
            <w:tcW w:w="540" w:type="dxa"/>
            <w:tcBorders>
              <w:top w:val="single" w:color="000000" w:sz="4" w:space="0"/>
              <w:left w:val="single" w:color="000000" w:sz="4" w:space="0"/>
              <w:bottom w:val="single" w:color="000000" w:sz="4" w:space="0"/>
              <w:right w:val="single" w:color="000000" w:sz="4" w:space="0"/>
            </w:tcBorders>
            <w:vAlign w:val="center"/>
          </w:tcPr>
          <w:p w14:paraId="4068955B">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097AD26F">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6B05CC10">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308286FA">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r w14:paraId="46F10EA2">
        <w:tblPrEx>
          <w:tblCellMar>
            <w:top w:w="0" w:type="dxa"/>
            <w:left w:w="108" w:type="dxa"/>
            <w:bottom w:w="0" w:type="dxa"/>
            <w:right w:w="108" w:type="dxa"/>
          </w:tblCellMar>
        </w:tblPrEx>
        <w:trPr>
          <w:trHeight w:val="23" w:hRule="atLeast"/>
        </w:trPr>
        <w:tc>
          <w:tcPr>
            <w:tcW w:w="3097" w:type="dxa"/>
            <w:gridSpan w:val="2"/>
            <w:tcBorders>
              <w:top w:val="single" w:color="000000" w:sz="4" w:space="0"/>
              <w:left w:val="single" w:color="000000" w:sz="4" w:space="0"/>
              <w:bottom w:val="single" w:color="000000" w:sz="4" w:space="0"/>
              <w:right w:val="single" w:color="000000" w:sz="4" w:space="0"/>
            </w:tcBorders>
            <w:vAlign w:val="center"/>
          </w:tcPr>
          <w:p w14:paraId="502CECF0">
            <w:pPr>
              <w:widowControl/>
              <w:spacing w:line="240" w:lineRule="auto"/>
              <w:ind w:firstLine="0" w:firstLineChars="0"/>
              <w:textAlignment w:val="center"/>
              <w:rPr>
                <w:rFonts w:ascii="Times New Roman" w:hAnsi="Times New Roman" w:cs="方正仿宋_GBK"/>
                <w:color w:val="auto"/>
                <w:kern w:val="0"/>
                <w:sz w:val="24"/>
                <w:szCs w:val="24"/>
                <w:lang w:bidi="ar"/>
              </w:rPr>
            </w:pPr>
          </w:p>
          <w:p w14:paraId="1645D083">
            <w:pPr>
              <w:pStyle w:val="2"/>
              <w:rPr>
                <w:rFonts w:ascii="Times New Roman" w:hAnsi="Times New Roman"/>
                <w:color w:val="auto"/>
              </w:rPr>
            </w:pPr>
          </w:p>
          <w:p w14:paraId="36051734">
            <w:pPr>
              <w:widowControl/>
              <w:spacing w:line="240" w:lineRule="auto"/>
              <w:ind w:firstLine="0" w:firstLineChars="0"/>
              <w:jc w:val="center"/>
              <w:textAlignment w:val="center"/>
              <w:rPr>
                <w:rFonts w:ascii="Times New Roman" w:hAnsi="Times New Roman" w:cs="方正仿宋_GBK"/>
                <w:color w:val="auto"/>
                <w:kern w:val="0"/>
                <w:sz w:val="24"/>
                <w:szCs w:val="24"/>
                <w:lang w:bidi="ar"/>
              </w:rPr>
            </w:pPr>
          </w:p>
          <w:p w14:paraId="2325B41D">
            <w:pPr>
              <w:widowControl/>
              <w:spacing w:line="240" w:lineRule="auto"/>
              <w:ind w:firstLine="0" w:firstLineChars="0"/>
              <w:jc w:val="center"/>
              <w:textAlignment w:val="center"/>
              <w:rPr>
                <w:rFonts w:ascii="Times New Roman" w:hAnsi="Times New Roman" w:cs="方正仿宋_GBK"/>
                <w:color w:val="auto"/>
                <w:kern w:val="0"/>
                <w:sz w:val="24"/>
                <w:szCs w:val="24"/>
                <w:lang w:bidi="ar"/>
              </w:rPr>
            </w:pPr>
            <w:r>
              <w:rPr>
                <w:rFonts w:hint="eastAsia" w:ascii="Times New Roman" w:hAnsi="Times New Roman" w:cs="方正仿宋_GBK"/>
                <w:color w:val="auto"/>
                <w:kern w:val="0"/>
                <w:sz w:val="24"/>
                <w:szCs w:val="24"/>
                <w:lang w:bidi="ar"/>
              </w:rPr>
              <w:t>小型建筑物、构筑物及设施</w:t>
            </w:r>
          </w:p>
          <w:p w14:paraId="56B99762">
            <w:pPr>
              <w:widowControl/>
              <w:spacing w:line="240" w:lineRule="auto"/>
              <w:ind w:firstLine="0" w:firstLineChars="0"/>
              <w:jc w:val="center"/>
              <w:textAlignment w:val="center"/>
              <w:rPr>
                <w:rFonts w:ascii="Times New Roman" w:hAnsi="Times New Roman" w:cs="方正仿宋_GBK"/>
                <w:color w:val="auto"/>
                <w:kern w:val="0"/>
                <w:sz w:val="24"/>
                <w:szCs w:val="24"/>
                <w:lang w:bidi="ar"/>
              </w:rPr>
            </w:pPr>
          </w:p>
          <w:p w14:paraId="54BEF450">
            <w:pPr>
              <w:widowControl/>
              <w:spacing w:line="240" w:lineRule="auto"/>
              <w:ind w:firstLine="0" w:firstLineChars="0"/>
              <w:jc w:val="center"/>
              <w:textAlignment w:val="center"/>
              <w:rPr>
                <w:rFonts w:ascii="Times New Roman" w:hAnsi="Times New Roman" w:cs="方正仿宋_GBK"/>
                <w:color w:val="auto"/>
                <w:kern w:val="0"/>
                <w:sz w:val="24"/>
                <w:szCs w:val="24"/>
                <w:lang w:bidi="ar"/>
              </w:rPr>
            </w:pPr>
          </w:p>
          <w:p w14:paraId="5922E2C5">
            <w:pPr>
              <w:widowControl/>
              <w:spacing w:line="240" w:lineRule="auto"/>
              <w:ind w:firstLine="0" w:firstLineChars="0"/>
              <w:jc w:val="center"/>
              <w:textAlignment w:val="center"/>
              <w:rPr>
                <w:rFonts w:ascii="Times New Roman" w:hAnsi="Times New Roman" w:cs="方正仿宋_GBK"/>
                <w:color w:val="auto"/>
                <w:kern w:val="0"/>
                <w:sz w:val="24"/>
                <w:szCs w:val="24"/>
                <w:lang w:bidi="ar"/>
              </w:rPr>
            </w:pPr>
          </w:p>
          <w:p w14:paraId="1E2327BC">
            <w:pPr>
              <w:widowControl/>
              <w:spacing w:line="240" w:lineRule="auto"/>
              <w:ind w:firstLine="0" w:firstLineChars="0"/>
              <w:jc w:val="center"/>
              <w:textAlignment w:val="center"/>
              <w:rPr>
                <w:rFonts w:ascii="Times New Roman" w:hAnsi="Times New Roman" w:cs="方正仿宋_GBK"/>
                <w:color w:val="auto"/>
                <w:kern w:val="0"/>
                <w:sz w:val="24"/>
                <w:szCs w:val="24"/>
                <w:lang w:bidi="ar"/>
              </w:rPr>
            </w:pPr>
          </w:p>
          <w:p w14:paraId="3256E5FE">
            <w:pPr>
              <w:widowControl/>
              <w:spacing w:line="240" w:lineRule="auto"/>
              <w:ind w:firstLine="0" w:firstLineChars="0"/>
              <w:jc w:val="center"/>
              <w:textAlignment w:val="center"/>
              <w:rPr>
                <w:rFonts w:ascii="Times New Roman" w:hAnsi="Times New Roman" w:cs="方正仿宋_GBK"/>
                <w:color w:val="auto"/>
                <w:kern w:val="0"/>
                <w:sz w:val="24"/>
                <w:szCs w:val="24"/>
                <w:lang w:bidi="ar"/>
              </w:rPr>
            </w:pPr>
          </w:p>
          <w:p w14:paraId="20C707FA">
            <w:pPr>
              <w:widowControl/>
              <w:spacing w:line="240" w:lineRule="auto"/>
              <w:ind w:firstLine="0" w:firstLineChars="0"/>
              <w:jc w:val="center"/>
              <w:textAlignment w:val="center"/>
              <w:rPr>
                <w:rFonts w:ascii="Times New Roman" w:hAnsi="Times New Roman" w:cs="方正仿宋_GBK"/>
                <w:color w:val="auto"/>
                <w:kern w:val="0"/>
                <w:sz w:val="24"/>
                <w:szCs w:val="24"/>
                <w:lang w:bidi="ar"/>
              </w:rPr>
            </w:pPr>
          </w:p>
          <w:p w14:paraId="6E21933C">
            <w:pPr>
              <w:widowControl/>
              <w:spacing w:line="240" w:lineRule="auto"/>
              <w:ind w:firstLine="0" w:firstLineChars="0"/>
              <w:jc w:val="center"/>
              <w:textAlignment w:val="center"/>
              <w:rPr>
                <w:rFonts w:ascii="Times New Roman" w:hAnsi="Times New Roman" w:cs="方正仿宋_GBK"/>
                <w:color w:val="auto"/>
                <w:kern w:val="0"/>
                <w:sz w:val="24"/>
                <w:szCs w:val="24"/>
                <w:lang w:bidi="ar"/>
              </w:rPr>
            </w:pPr>
          </w:p>
          <w:p w14:paraId="244818F7">
            <w:pPr>
              <w:widowControl/>
              <w:spacing w:line="240" w:lineRule="auto"/>
              <w:ind w:firstLine="0" w:firstLineChars="0"/>
              <w:jc w:val="center"/>
              <w:textAlignment w:val="center"/>
              <w:rPr>
                <w:rFonts w:ascii="Times New Roman" w:hAnsi="Times New Roman" w:cs="方正仿宋_GBK"/>
                <w:color w:val="auto"/>
                <w:kern w:val="0"/>
                <w:sz w:val="24"/>
                <w:szCs w:val="24"/>
                <w:lang w:bidi="ar"/>
              </w:rPr>
            </w:pPr>
          </w:p>
          <w:p w14:paraId="693A4720">
            <w:pPr>
              <w:widowControl/>
              <w:spacing w:line="240" w:lineRule="auto"/>
              <w:ind w:firstLine="0" w:firstLineChars="0"/>
              <w:jc w:val="center"/>
              <w:textAlignment w:val="center"/>
              <w:rPr>
                <w:rFonts w:ascii="Times New Roman" w:hAnsi="Times New Roman" w:cs="方正仿宋_GBK"/>
                <w:color w:val="auto"/>
                <w:kern w:val="0"/>
                <w:sz w:val="24"/>
                <w:szCs w:val="24"/>
                <w:lang w:bidi="ar"/>
              </w:rPr>
            </w:pPr>
          </w:p>
          <w:p w14:paraId="27385B0C">
            <w:pPr>
              <w:widowControl/>
              <w:spacing w:line="240" w:lineRule="auto"/>
              <w:ind w:firstLine="0" w:firstLineChars="0"/>
              <w:jc w:val="center"/>
              <w:textAlignment w:val="center"/>
              <w:rPr>
                <w:rFonts w:ascii="Times New Roman" w:hAnsi="Times New Roman" w:cs="方正仿宋_GBK"/>
                <w:color w:val="auto"/>
                <w:kern w:val="0"/>
                <w:sz w:val="24"/>
                <w:szCs w:val="24"/>
                <w:lang w:bidi="ar"/>
              </w:rPr>
            </w:pPr>
          </w:p>
          <w:p w14:paraId="57B702DA">
            <w:pPr>
              <w:widowControl/>
              <w:spacing w:line="240" w:lineRule="auto"/>
              <w:ind w:firstLine="0" w:firstLineChars="0"/>
              <w:textAlignment w:val="center"/>
              <w:rPr>
                <w:rFonts w:ascii="Times New Roman" w:hAnsi="Times New Roman" w:cs="方正仿宋_GBK"/>
                <w:color w:val="auto"/>
                <w:kern w:val="0"/>
                <w:sz w:val="24"/>
                <w:szCs w:val="24"/>
                <w:lang w:bidi="ar"/>
              </w:rPr>
            </w:pPr>
          </w:p>
          <w:p w14:paraId="40A859D7">
            <w:pPr>
              <w:widowControl/>
              <w:spacing w:line="240" w:lineRule="auto"/>
              <w:ind w:firstLine="0" w:firstLineChars="0"/>
              <w:textAlignment w:val="center"/>
              <w:rPr>
                <w:rFonts w:ascii="Times New Roman" w:hAnsi="Times New Roman" w:cs="方正仿宋_GBK"/>
                <w:color w:val="auto"/>
                <w:kern w:val="0"/>
                <w:sz w:val="24"/>
                <w:szCs w:val="24"/>
                <w:lang w:bidi="ar"/>
              </w:rPr>
            </w:pPr>
          </w:p>
          <w:p w14:paraId="100A65F0">
            <w:pPr>
              <w:widowControl/>
              <w:spacing w:line="240" w:lineRule="auto"/>
              <w:ind w:firstLine="0" w:firstLineChars="0"/>
              <w:jc w:val="center"/>
              <w:textAlignment w:val="center"/>
              <w:rPr>
                <w:rFonts w:ascii="Times New Roman" w:hAnsi="Times New Roman" w:cs="方正仿宋_GBK"/>
                <w:color w:val="auto"/>
                <w:kern w:val="0"/>
                <w:sz w:val="24"/>
                <w:szCs w:val="24"/>
                <w:lang w:bidi="ar"/>
              </w:rPr>
            </w:pPr>
          </w:p>
          <w:p w14:paraId="7BC146B2">
            <w:pPr>
              <w:widowControl/>
              <w:spacing w:line="240" w:lineRule="auto"/>
              <w:ind w:firstLine="0" w:firstLineChars="0"/>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小型建筑物、构筑物及设施</w:t>
            </w:r>
          </w:p>
        </w:tc>
        <w:tc>
          <w:tcPr>
            <w:tcW w:w="2580" w:type="dxa"/>
            <w:tcBorders>
              <w:top w:val="single" w:color="000000" w:sz="4" w:space="0"/>
              <w:left w:val="single" w:color="000000" w:sz="4" w:space="0"/>
              <w:bottom w:val="single" w:color="000000" w:sz="4" w:space="0"/>
              <w:right w:val="single" w:color="000000" w:sz="4" w:space="0"/>
            </w:tcBorders>
            <w:vAlign w:val="center"/>
          </w:tcPr>
          <w:p w14:paraId="0313B238">
            <w:pPr>
              <w:widowControl/>
              <w:spacing w:line="240" w:lineRule="auto"/>
              <w:ind w:firstLine="0" w:firstLineChars="0"/>
              <w:jc w:val="center"/>
              <w:textAlignment w:val="center"/>
              <w:rPr>
                <w:rFonts w:ascii="Times New Roman" w:hAnsi="Times New Roman" w:cs="方正仿宋_GBK"/>
                <w:color w:val="auto"/>
                <w:sz w:val="24"/>
                <w:szCs w:val="24"/>
              </w:rPr>
            </w:pPr>
            <w:r>
              <w:rPr>
                <w:rFonts w:hint="eastAsia" w:ascii="Times New Roman" w:hAnsi="Times New Roman" w:cs="方正仿宋_GBK"/>
                <w:color w:val="auto"/>
                <w:kern w:val="0"/>
                <w:sz w:val="24"/>
                <w:szCs w:val="24"/>
                <w:lang w:bidi="ar"/>
              </w:rPr>
              <w:t>在确保农地农用、不破坏生态环境和自然景观、不影响安全的前提下，对列入乡村振兴规划、计划或项目库，具有农林业生产服务功能的不固化地面的平台、栈道、登山道，零星分散单体占地面积不超过200平方米的亭、公厕、污水处理、垃圾储运、供电、供气、通讯等设施，在不涉及占用耕地和永久基本农田、不占用生态保护红线的情况下，可按原用途管理。占地面积不超过60平方米直接为农业生产服务的小型灌溉泵站、小型排涝泵站、高位水池等，在不涉及占用永久基本农田的情况下，可按原用途管理。对于不涉及占用耕地的树屋、竹屋等简易可拆卸设施，或者利用天然洞穴等地下空间建 设的旅游设施，不需要办理不动产登记手续的，在不破坏农业生产条件和不影响规划实施的前提下，可按原用途管理。</w:t>
            </w:r>
          </w:p>
        </w:tc>
        <w:tc>
          <w:tcPr>
            <w:tcW w:w="540" w:type="dxa"/>
            <w:tcBorders>
              <w:top w:val="single" w:color="000000" w:sz="4" w:space="0"/>
              <w:left w:val="single" w:color="000000" w:sz="4" w:space="0"/>
              <w:bottom w:val="single" w:color="000000" w:sz="4" w:space="0"/>
              <w:right w:val="single" w:color="000000" w:sz="4" w:space="0"/>
            </w:tcBorders>
            <w:vAlign w:val="center"/>
          </w:tcPr>
          <w:p w14:paraId="0DED079A">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1D1AFD97">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510" w:type="dxa"/>
            <w:tcBorders>
              <w:top w:val="single" w:color="000000" w:sz="4" w:space="0"/>
              <w:left w:val="single" w:color="000000" w:sz="4" w:space="0"/>
              <w:bottom w:val="single" w:color="000000" w:sz="4" w:space="0"/>
              <w:right w:val="single" w:color="000000" w:sz="4" w:space="0"/>
            </w:tcBorders>
            <w:vAlign w:val="center"/>
          </w:tcPr>
          <w:p w14:paraId="03CD0744">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c>
          <w:tcPr>
            <w:tcW w:w="1561" w:type="dxa"/>
            <w:tcBorders>
              <w:top w:val="single" w:color="000000" w:sz="4" w:space="0"/>
              <w:left w:val="single" w:color="000000" w:sz="4" w:space="0"/>
              <w:bottom w:val="single" w:color="000000" w:sz="4" w:space="0"/>
              <w:right w:val="single" w:color="000000" w:sz="4" w:space="0"/>
            </w:tcBorders>
            <w:vAlign w:val="center"/>
          </w:tcPr>
          <w:p w14:paraId="3ADDE06A">
            <w:pPr>
              <w:widowControl/>
              <w:spacing w:line="240" w:lineRule="auto"/>
              <w:ind w:firstLine="0" w:firstLineChars="0"/>
              <w:jc w:val="center"/>
              <w:textAlignment w:val="center"/>
              <w:rPr>
                <w:rFonts w:ascii="Times New Roman" w:hAnsi="Times New Roman" w:cs="方正仿宋_GBK"/>
                <w:color w:val="auto"/>
                <w:sz w:val="21"/>
                <w:szCs w:val="21"/>
              </w:rPr>
            </w:pPr>
            <w:r>
              <w:rPr>
                <w:rFonts w:hint="eastAsia" w:ascii="Times New Roman" w:hAnsi="Times New Roman" w:cs="方正仿宋_GBK"/>
                <w:color w:val="auto"/>
                <w:kern w:val="0"/>
                <w:sz w:val="21"/>
                <w:szCs w:val="21"/>
                <w:lang w:bidi="ar"/>
              </w:rPr>
              <w:t>—</w:t>
            </w:r>
          </w:p>
        </w:tc>
      </w:tr>
    </w:tbl>
    <w:p w14:paraId="33E79939">
      <w:pPr>
        <w:spacing w:line="240" w:lineRule="auto"/>
        <w:ind w:firstLine="0" w:firstLineChars="0"/>
        <w:rPr>
          <w:rFonts w:ascii="Times New Roman" w:hAnsi="Times New Roman" w:cs="方正仿宋_GBK"/>
          <w:sz w:val="22"/>
          <w:szCs w:val="22"/>
        </w:rPr>
      </w:pPr>
      <w:r>
        <w:rPr>
          <w:rFonts w:hint="eastAsia" w:ascii="Times New Roman" w:hAnsi="Times New Roman" w:cs="方正仿宋_GBK"/>
          <w:sz w:val="22"/>
          <w:szCs w:val="22"/>
        </w:rPr>
        <w:t>注：1</w:t>
      </w:r>
      <w:r>
        <w:rPr>
          <w:rFonts w:hint="eastAsia" w:ascii="Times New Roman" w:hAnsi="Times New Roman" w:cs="方正仿宋_GBK"/>
          <w:sz w:val="22"/>
          <w:szCs w:val="22"/>
          <w:lang w:val="en-US" w:eastAsia="zh-CN"/>
        </w:rPr>
        <w:t>.</w:t>
      </w:r>
      <w:r>
        <w:rPr>
          <w:rFonts w:hint="eastAsia" w:ascii="Times New Roman" w:hAnsi="Times New Roman" w:cs="方正仿宋_GBK"/>
          <w:sz w:val="22"/>
          <w:szCs w:val="22"/>
        </w:rPr>
        <w:t>“√”表示直接以“通则”条文规定作为规划依据；“+”表示以“通则”条文规定及重点地块图则作为规划依据；“—”表示可免于办理许可。</w:t>
      </w:r>
    </w:p>
    <w:p w14:paraId="607B4830">
      <w:pPr>
        <w:spacing w:line="240" w:lineRule="auto"/>
        <w:ind w:firstLine="0" w:firstLineChars="0"/>
        <w:rPr>
          <w:rFonts w:ascii="Times New Roman" w:hAnsi="Times New Roman" w:cs="方正仿宋_GBK"/>
          <w:sz w:val="22"/>
          <w:szCs w:val="22"/>
        </w:rPr>
      </w:pPr>
      <w:r>
        <w:rPr>
          <w:rFonts w:hint="eastAsia" w:ascii="Times New Roman" w:hAnsi="Times New Roman" w:cs="方正仿宋_GBK"/>
          <w:sz w:val="22"/>
          <w:szCs w:val="22"/>
        </w:rPr>
        <w:t>2.表中“存量建设用地”指已依法依规批准且完成备案，已核发建设用地使用权权属证书的建设用地。“农村道路”指在农村范围内，宽度≥1.0m、≤8m，用于村间、田间交通运输，并在国家公路网络体系之外，以服务于农村农业生产为主要用途的道路（含机耕道）。</w:t>
      </w:r>
    </w:p>
    <w:p w14:paraId="714333D5">
      <w:pPr>
        <w:spacing w:line="240" w:lineRule="auto"/>
        <w:ind w:firstLine="0" w:firstLineChars="0"/>
        <w:rPr>
          <w:rFonts w:ascii="Times New Roman" w:hAnsi="Times New Roman" w:cs="方正仿宋_GBK"/>
          <w:sz w:val="22"/>
          <w:szCs w:val="22"/>
        </w:rPr>
      </w:pPr>
      <w:r>
        <w:rPr>
          <w:rFonts w:hint="eastAsia" w:ascii="Times New Roman" w:hAnsi="Times New Roman" w:cs="方正仿宋_GBK"/>
          <w:sz w:val="22"/>
          <w:szCs w:val="22"/>
        </w:rPr>
        <w:t>3.建设项目用地涉及集体经营性建设用地入市的，均以“通则”条文规定及重点地块图则作为规划依据。</w:t>
      </w:r>
    </w:p>
    <w:p w14:paraId="07743C72">
      <w:pPr>
        <w:ind w:firstLine="420"/>
        <w:rPr>
          <w:rFonts w:hint="eastAsia" w:eastAsia="仿宋"/>
          <w:sz w:val="21"/>
          <w:szCs w:val="21"/>
        </w:rPr>
      </w:pPr>
    </w:p>
    <w:p w14:paraId="7E5D6218">
      <w:pPr>
        <w:ind w:firstLine="420"/>
        <w:rPr>
          <w:rFonts w:eastAsia="仿宋"/>
          <w:sz w:val="21"/>
          <w:szCs w:val="21"/>
        </w:rPr>
      </w:pPr>
      <w:r>
        <w:rPr>
          <w:rFonts w:hint="eastAsia" w:eastAsia="仿宋"/>
          <w:sz w:val="21"/>
          <w:szCs w:val="21"/>
        </w:rPr>
        <w:br w:type="page"/>
      </w:r>
    </w:p>
    <w:p w14:paraId="34F48895">
      <w:pPr>
        <w:pStyle w:val="4"/>
        <w:spacing w:line="240" w:lineRule="auto"/>
        <w:jc w:val="left"/>
        <w:rPr>
          <w:rFonts w:eastAsia="方正仿宋_GBK" w:cs="方正仿宋_GB2312"/>
          <w:b w:val="0"/>
          <w:bCs/>
        </w:rPr>
      </w:pPr>
      <w:bookmarkStart w:id="80" w:name="_Toc8135"/>
      <w:bookmarkStart w:id="81" w:name="_Toc1056269487_WPSOffice_Level1"/>
      <w:bookmarkStart w:id="82" w:name="_Toc372263292_WPSOffice_Level1"/>
      <w:bookmarkStart w:id="83" w:name="_Toc326991509_WPSOffice_Level1"/>
      <w:bookmarkStart w:id="84" w:name="_Toc2086885231_WPSOffice_Level1"/>
      <w:bookmarkStart w:id="85" w:name="_Toc686142602_WPSOffice_Level1"/>
      <w:r>
        <w:rPr>
          <w:rFonts w:hint="eastAsia" w:eastAsia="方正仿宋_GBK" w:cs="方正仿宋_GB2312"/>
          <w:b w:val="0"/>
          <w:bCs/>
          <w:lang w:val="en-US" w:eastAsia="zh-CN"/>
        </w:rPr>
        <w:t>附录</w:t>
      </w:r>
      <w:r>
        <w:rPr>
          <w:rFonts w:hint="eastAsia" w:eastAsia="方正仿宋_GBK" w:cs="方正仿宋_GB2312"/>
          <w:b w:val="0"/>
          <w:bCs/>
        </w:rPr>
        <w:t>3</w:t>
      </w:r>
    </w:p>
    <w:p w14:paraId="2AEF7274">
      <w:pPr>
        <w:pStyle w:val="5"/>
        <w:ind w:firstLine="0" w:firstLineChars="0"/>
        <w:jc w:val="center"/>
        <w:rPr>
          <w:rFonts w:hint="default" w:ascii="Times New Roman" w:hAnsi="Times New Roman" w:eastAsia="方正小标宋_GBK" w:cs="方正小标宋_GBK"/>
          <w:b w:val="0"/>
          <w:bCs/>
          <w:kern w:val="44"/>
          <w:lang w:val="en-US" w:eastAsia="zh-CN"/>
        </w:rPr>
      </w:pPr>
      <w:r>
        <w:rPr>
          <w:rFonts w:hint="eastAsia" w:ascii="Times New Roman" w:hAnsi="Times New Roman" w:eastAsia="方正小标宋_GBK" w:cs="方正小标宋_GBK"/>
          <w:b w:val="0"/>
          <w:bCs/>
          <w:kern w:val="44"/>
          <w:lang w:eastAsia="zh-CN"/>
        </w:rPr>
        <w:t>确需占用或调整永久基本农田适用情形一览表</w:t>
      </w:r>
    </w:p>
    <w:tbl>
      <w:tblPr>
        <w:tblStyle w:val="23"/>
        <w:tblW w:w="4997" w:type="pct"/>
        <w:tblInd w:w="0" w:type="dxa"/>
        <w:tblLayout w:type="autofit"/>
        <w:tblCellMar>
          <w:top w:w="0" w:type="dxa"/>
          <w:left w:w="108" w:type="dxa"/>
          <w:bottom w:w="0" w:type="dxa"/>
          <w:right w:w="108" w:type="dxa"/>
        </w:tblCellMar>
      </w:tblPr>
      <w:tblGrid>
        <w:gridCol w:w="4014"/>
        <w:gridCol w:w="5042"/>
      </w:tblGrid>
      <w:tr w14:paraId="6B363AB4">
        <w:tblPrEx>
          <w:tblCellMar>
            <w:top w:w="0" w:type="dxa"/>
            <w:left w:w="108" w:type="dxa"/>
            <w:bottom w:w="0" w:type="dxa"/>
            <w:right w:w="108" w:type="dxa"/>
          </w:tblCellMar>
        </w:tblPrEx>
        <w:trPr>
          <w:trHeight w:val="90" w:hRule="atLeast"/>
          <w:tblHeader/>
        </w:trPr>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87FE7">
            <w:pPr>
              <w:widowControl/>
              <w:spacing w:line="240" w:lineRule="auto"/>
              <w:ind w:firstLine="0" w:firstLineChars="0"/>
              <w:jc w:val="center"/>
              <w:textAlignment w:val="center"/>
              <w:rPr>
                <w:rFonts w:hint="eastAsia" w:ascii="Times New Roman" w:hAnsi="Times New Roman" w:cs="方正仿宋_GBK"/>
                <w:kern w:val="0"/>
                <w:sz w:val="24"/>
                <w:szCs w:val="24"/>
                <w:lang w:val="en-US" w:eastAsia="zh-CN" w:bidi="ar"/>
              </w:rPr>
            </w:pPr>
            <w:r>
              <w:rPr>
                <w:rFonts w:hint="eastAsia" w:ascii="Times New Roman" w:hAnsi="Times New Roman" w:cs="方正仿宋_GBK"/>
                <w:kern w:val="0"/>
                <w:sz w:val="24"/>
                <w:szCs w:val="24"/>
                <w:lang w:val="en-US" w:eastAsia="zh-CN" w:bidi="ar"/>
              </w:rPr>
              <w:t>适用情形</w:t>
            </w:r>
          </w:p>
        </w:tc>
        <w:tc>
          <w:tcPr>
            <w:tcW w:w="2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6FF67">
            <w:pPr>
              <w:widowControl/>
              <w:spacing w:line="240" w:lineRule="auto"/>
              <w:ind w:firstLine="0" w:firstLineChars="0"/>
              <w:jc w:val="center"/>
              <w:textAlignment w:val="center"/>
              <w:rPr>
                <w:rFonts w:hint="eastAsia" w:ascii="Times New Roman" w:hAnsi="Times New Roman" w:cs="方正仿宋_GBK"/>
                <w:kern w:val="0"/>
                <w:sz w:val="24"/>
                <w:szCs w:val="24"/>
                <w:lang w:val="en-US" w:eastAsia="zh-CN" w:bidi="ar"/>
              </w:rPr>
            </w:pPr>
            <w:r>
              <w:rPr>
                <w:rFonts w:hint="eastAsia" w:ascii="Times New Roman" w:hAnsi="Times New Roman" w:cs="方正仿宋_GBK"/>
                <w:kern w:val="0"/>
                <w:sz w:val="24"/>
                <w:szCs w:val="24"/>
                <w:lang w:val="en-US" w:eastAsia="zh-CN" w:bidi="ar"/>
              </w:rPr>
              <w:t>审批流程</w:t>
            </w:r>
          </w:p>
        </w:tc>
      </w:tr>
      <w:tr w14:paraId="46CBF153">
        <w:tblPrEx>
          <w:tblCellMar>
            <w:top w:w="0" w:type="dxa"/>
            <w:left w:w="108" w:type="dxa"/>
            <w:bottom w:w="0" w:type="dxa"/>
            <w:right w:w="108" w:type="dxa"/>
          </w:tblCellMar>
        </w:tblPrEx>
        <w:trPr>
          <w:trHeight w:val="23" w:hRule="atLeast"/>
        </w:trPr>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FBE0F">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1.党中央、国务院明确支持的重大建设项目，中央军委及其有关部门批准的军事国防类项目，经国务院批准确需就地建设的遗址保护项目；</w:t>
            </w:r>
          </w:p>
          <w:p w14:paraId="6CF0DE6B">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2.按程序纳入国务院投资主管部门重大项目清单的用地项目，纳入国务院审批国土空间规划的机场、铁路、公路、水运、能源、水利等基础设施项目；</w:t>
            </w:r>
            <w:r>
              <w:rPr>
                <w:rFonts w:hint="eastAsia" w:ascii="Times New Roman" w:hAnsi="Times New Roman" w:cs="方正仿宋_GBK"/>
                <w:kern w:val="0"/>
                <w:sz w:val="24"/>
                <w:szCs w:val="24"/>
                <w:highlight w:val="none"/>
                <w:lang w:val="en-US" w:eastAsia="zh-CN" w:bidi="ar"/>
              </w:rPr>
              <w:br w:type="textWrapping"/>
            </w:r>
            <w:r>
              <w:rPr>
                <w:rFonts w:hint="eastAsia" w:ascii="Times New Roman" w:hAnsi="Times New Roman" w:cs="方正仿宋_GBK"/>
                <w:kern w:val="0"/>
                <w:sz w:val="24"/>
                <w:szCs w:val="24"/>
                <w:highlight w:val="none"/>
                <w:lang w:val="en-US" w:eastAsia="zh-CN" w:bidi="ar"/>
              </w:rPr>
              <w:t>3.法律、行政法规以及国务院自然资源主管部门规定的其他情形。</w:t>
            </w:r>
          </w:p>
        </w:tc>
        <w:tc>
          <w:tcPr>
            <w:tcW w:w="2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D16F3">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依法由国务院批准，办理农用地转用审批手续。</w:t>
            </w:r>
          </w:p>
        </w:tc>
      </w:tr>
      <w:tr w14:paraId="25D985B1">
        <w:tblPrEx>
          <w:tblCellMar>
            <w:top w:w="0" w:type="dxa"/>
            <w:left w:w="108" w:type="dxa"/>
            <w:bottom w:w="0" w:type="dxa"/>
            <w:right w:w="108" w:type="dxa"/>
          </w:tblCellMar>
        </w:tblPrEx>
        <w:trPr>
          <w:trHeight w:val="23" w:hRule="atLeast"/>
        </w:trPr>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F2147">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党中央、国务院批准设立的承担战略任务的重要功能平台、重大生态建设项目，为保障人民群众生命财产安全实施的重大居民迁建工程等。</w:t>
            </w:r>
          </w:p>
        </w:tc>
        <w:tc>
          <w:tcPr>
            <w:tcW w:w="2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1D46B">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由市规划自然资源局会同农业农村主管部门拟定永久基本农田调整补划方案，按照有关程序报国务院批准。</w:t>
            </w:r>
          </w:p>
        </w:tc>
      </w:tr>
      <w:tr w14:paraId="74C369A2">
        <w:tblPrEx>
          <w:tblCellMar>
            <w:top w:w="0" w:type="dxa"/>
            <w:left w:w="108" w:type="dxa"/>
            <w:bottom w:w="0" w:type="dxa"/>
            <w:right w:w="108" w:type="dxa"/>
          </w:tblCellMar>
        </w:tblPrEx>
        <w:trPr>
          <w:trHeight w:val="23" w:hRule="atLeast"/>
        </w:trPr>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C61EE">
            <w:pPr>
              <w:widowControl/>
              <w:spacing w:line="240" w:lineRule="auto"/>
              <w:ind w:firstLine="0" w:firstLineChars="0"/>
              <w:jc w:val="left"/>
              <w:textAlignment w:val="center"/>
              <w:rPr>
                <w:rFonts w:hint="default"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按照高标准农田建设规划实施的高标准农田建设项目开展必要的灌溉及排水设施、田间道路、农田防护林等农田基础设施配套建设，确需对少量永久基本农田布局进行调整。</w:t>
            </w:r>
          </w:p>
        </w:tc>
        <w:tc>
          <w:tcPr>
            <w:tcW w:w="2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57317">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1.由县人民政府负责组织编制永久基本农田调整补划方案，统筹落实补划任务；</w:t>
            </w:r>
          </w:p>
          <w:p w14:paraId="0947524D">
            <w:pPr>
              <w:widowControl/>
              <w:spacing w:line="240" w:lineRule="auto"/>
              <w:ind w:firstLine="0" w:firstLineChars="0"/>
              <w:jc w:val="left"/>
              <w:textAlignment w:val="center"/>
              <w:rPr>
                <w:rFonts w:hint="default"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2.高标准农田建设项目竣工验收后，由县规划自然局会同农业农村主管部门将永久基本农田调整补划方案逐级报市规划自然局备案，并由市规划自然局报国务院自然资源主管部门更新永久基本农田数据库。</w:t>
            </w:r>
          </w:p>
        </w:tc>
      </w:tr>
      <w:tr w14:paraId="6D11ACE3">
        <w:tblPrEx>
          <w:tblCellMar>
            <w:top w:w="0" w:type="dxa"/>
            <w:left w:w="108" w:type="dxa"/>
            <w:bottom w:w="0" w:type="dxa"/>
            <w:right w:w="108" w:type="dxa"/>
          </w:tblCellMar>
        </w:tblPrEx>
        <w:trPr>
          <w:trHeight w:val="23" w:hRule="atLeast"/>
        </w:trPr>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7F53E">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依据国土空间规划及相关规划对未利用、低效和闲置利用、损毁和退化土地及不合理利用土地实施土地综合整治，确需对少量永久基本农田布局进行优化调整。</w:t>
            </w:r>
          </w:p>
        </w:tc>
        <w:tc>
          <w:tcPr>
            <w:tcW w:w="2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F6950">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1.项目在实施方案制定或立项阶段，由县规划自然局会同农业农村主管部门拟定永久基本农田调整补划方案，按照有关规定逐级报市规划自然局审核同意后实施；</w:t>
            </w:r>
          </w:p>
          <w:p w14:paraId="37084D3E">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2.项目完成后，由市规划自然局会同有关部门组织验收，永久基本农田调整补划方案落实情况作为验收的重要内容；</w:t>
            </w:r>
          </w:p>
          <w:p w14:paraId="4243672B">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3.项目通过验收后，由市规划自然局报国务院自然资源主管部门更新永久基本农田数据库。</w:t>
            </w:r>
          </w:p>
        </w:tc>
      </w:tr>
      <w:tr w14:paraId="7D399575">
        <w:tblPrEx>
          <w:tblCellMar>
            <w:top w:w="0" w:type="dxa"/>
            <w:left w:w="108" w:type="dxa"/>
            <w:bottom w:w="0" w:type="dxa"/>
            <w:right w:w="108" w:type="dxa"/>
          </w:tblCellMar>
        </w:tblPrEx>
        <w:trPr>
          <w:trHeight w:val="23" w:hRule="atLeast"/>
        </w:trPr>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F8F63">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农村集体经济组织开展必要的灌溉及排水设施、农村道路、农田防护林等配套设施建设，确需对少量永久基本农田布局进行优化调整。</w:t>
            </w:r>
          </w:p>
        </w:tc>
        <w:tc>
          <w:tcPr>
            <w:tcW w:w="2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1C4B9">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1.农村集体经济按照农村集体经济组织章程规定，履行重大事项决议程序后，可以按年度向乡镇人民政府提出永久基本农田调整补划建议，乡镇人民政府结合实际情况对调整建议进行统筹，可以按年度向县规划自然资源局提出调整补划申请；</w:t>
            </w:r>
          </w:p>
          <w:p w14:paraId="38EF3829">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2.县规划自然资源局会同农业农村主管门对调整补划申请进行统筹，永久基本农田储备区耕地超过上级下达的永久基本农田保护任务1%比例的，可以结合实际情况拟定永久基本农田调整补划方案，逐级报市规划自然局、农业农村主管部门审核同意后实施；</w:t>
            </w:r>
          </w:p>
          <w:p w14:paraId="1C25B1C1">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3.配套设施建设完成后，由县规划自然资源局会同农业农村主管部门对永久基本农田调整补划方案落实情况进行核查；</w:t>
            </w:r>
          </w:p>
          <w:p w14:paraId="73A4A95C">
            <w:pPr>
              <w:widowControl/>
              <w:spacing w:line="240" w:lineRule="auto"/>
              <w:ind w:firstLine="0" w:firstLineChars="0"/>
              <w:jc w:val="left"/>
              <w:textAlignment w:val="center"/>
              <w:rPr>
                <w:rFonts w:hint="default"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4.核查通过后，经市规划自然局会同农业农村主管部门审核，报国务院自然资源主管部门更新永久基本农田数据库。</w:t>
            </w:r>
          </w:p>
        </w:tc>
      </w:tr>
      <w:tr w14:paraId="468046F5">
        <w:tblPrEx>
          <w:tblCellMar>
            <w:top w:w="0" w:type="dxa"/>
            <w:left w:w="108" w:type="dxa"/>
            <w:bottom w:w="0" w:type="dxa"/>
            <w:right w:w="108" w:type="dxa"/>
          </w:tblCellMar>
        </w:tblPrEx>
        <w:trPr>
          <w:trHeight w:val="23" w:hRule="atLeast"/>
        </w:trPr>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567EB">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根据永久基本农田年度评估结果，确需对少量永久基本农田布局进行优化调整。</w:t>
            </w:r>
          </w:p>
        </w:tc>
        <w:tc>
          <w:tcPr>
            <w:tcW w:w="2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4ADC2">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1.县规划自然资源局会同农业农村主管部门拟定永久基本农田保护红线年度调整补划方案，按照有关规定逐级报市规划自然局；</w:t>
            </w:r>
          </w:p>
          <w:p w14:paraId="3749B774">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2.市规划自然局会同农业农村主管部门审核同意后，报国务院自然资源主管部门更新永久基本农田数据库。</w:t>
            </w:r>
          </w:p>
        </w:tc>
      </w:tr>
      <w:tr w14:paraId="3A79C21F">
        <w:tblPrEx>
          <w:tblCellMar>
            <w:top w:w="0" w:type="dxa"/>
            <w:left w:w="108" w:type="dxa"/>
            <w:bottom w:w="0" w:type="dxa"/>
            <w:right w:w="108" w:type="dxa"/>
          </w:tblCellMar>
        </w:tblPrEx>
        <w:trPr>
          <w:trHeight w:val="23" w:hRule="atLeast"/>
        </w:trPr>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9C0A0">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依法可以按照原地类管理的架空电力传输线路、通信设施涉及的点状杆、塔确实难以避让永久基本农田。</w:t>
            </w:r>
          </w:p>
        </w:tc>
        <w:tc>
          <w:tcPr>
            <w:tcW w:w="2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AB28B">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铺设方案应当对永久基本农田的不可避让性以及对耕作的影响进行论证，报县规划自然资源局备案并加强监管。</w:t>
            </w:r>
          </w:p>
        </w:tc>
      </w:tr>
      <w:tr w14:paraId="783B0E9B">
        <w:tblPrEx>
          <w:tblCellMar>
            <w:top w:w="0" w:type="dxa"/>
            <w:left w:w="108" w:type="dxa"/>
            <w:bottom w:w="0" w:type="dxa"/>
            <w:right w:w="108" w:type="dxa"/>
          </w:tblCellMar>
        </w:tblPrEx>
        <w:trPr>
          <w:trHeight w:val="23" w:hRule="atLeast"/>
        </w:trPr>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947C7">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因技术误差等原因将不符合划定要求的地块误划入永久基本农田的。</w:t>
            </w:r>
          </w:p>
          <w:p w14:paraId="7271CB61">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p>
        </w:tc>
        <w:tc>
          <w:tcPr>
            <w:tcW w:w="2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3CB7E">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1.由县规划自然资源局会同农业农村主管部门进行认定，逐级报市规划自然资局；</w:t>
            </w:r>
          </w:p>
          <w:p w14:paraId="427F14E9">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2.市规划自然资源局会同农业农村主管部门审核同意后，报国务院自然资源主管部门更新永久基本农田数据库；</w:t>
            </w:r>
          </w:p>
          <w:p w14:paraId="24BF49FA">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3.涉及补划的，由县级人民政府在永久基本农田年度评估中统筹落实。</w:t>
            </w:r>
          </w:p>
        </w:tc>
      </w:tr>
      <w:tr w14:paraId="3007FA7B">
        <w:tblPrEx>
          <w:tblCellMar>
            <w:top w:w="0" w:type="dxa"/>
            <w:left w:w="108" w:type="dxa"/>
            <w:bottom w:w="0" w:type="dxa"/>
            <w:right w:w="108" w:type="dxa"/>
          </w:tblCellMar>
        </w:tblPrEx>
        <w:trPr>
          <w:trHeight w:val="23" w:hRule="atLeast"/>
        </w:trPr>
        <w:tc>
          <w:tcPr>
            <w:tcW w:w="2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5B166">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全国矿产资源规划明确的战略性矿产，以及地热、矿泉水等不造成永久基本农田损毁的非战略性矿产。</w:t>
            </w:r>
          </w:p>
        </w:tc>
        <w:tc>
          <w:tcPr>
            <w:tcW w:w="2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02411">
            <w:pPr>
              <w:widowControl/>
              <w:spacing w:line="240" w:lineRule="auto"/>
              <w:ind w:firstLine="0" w:firstLineChars="0"/>
              <w:jc w:val="left"/>
              <w:textAlignment w:val="center"/>
              <w:rPr>
                <w:rFonts w:hint="eastAsia" w:ascii="Times New Roman" w:hAnsi="Times New Roman" w:cs="方正仿宋_GBK"/>
                <w:kern w:val="0"/>
                <w:sz w:val="24"/>
                <w:szCs w:val="24"/>
                <w:highlight w:val="none"/>
                <w:lang w:val="en-US" w:eastAsia="zh-CN" w:bidi="ar"/>
              </w:rPr>
            </w:pPr>
            <w:r>
              <w:rPr>
                <w:rFonts w:hint="eastAsia" w:ascii="Times New Roman" w:hAnsi="Times New Roman" w:cs="方正仿宋_GBK"/>
                <w:kern w:val="0"/>
                <w:sz w:val="24"/>
                <w:szCs w:val="24"/>
                <w:highlight w:val="none"/>
                <w:lang w:val="en-US" w:eastAsia="zh-CN" w:bidi="ar"/>
              </w:rPr>
              <w:t>允许在永久基本农田上设立矿业权，按照矿业权相关程序执行</w:t>
            </w:r>
            <w:r>
              <w:rPr>
                <w:rFonts w:hint="eastAsia" w:cs="方正仿宋_GBK"/>
                <w:kern w:val="0"/>
                <w:sz w:val="24"/>
                <w:szCs w:val="24"/>
                <w:highlight w:val="none"/>
                <w:lang w:val="en-US" w:eastAsia="zh-CN" w:bidi="ar"/>
              </w:rPr>
              <w:t>。</w:t>
            </w:r>
          </w:p>
        </w:tc>
      </w:tr>
    </w:tbl>
    <w:p w14:paraId="1E2765AF">
      <w:pPr>
        <w:spacing w:line="240" w:lineRule="auto"/>
        <w:ind w:firstLine="0" w:firstLineChars="0"/>
        <w:rPr>
          <w:rFonts w:hint="eastAsia" w:ascii="方正仿宋_GBK" w:hAnsi="方正仿宋_GBK" w:eastAsia="方正仿宋_GBK" w:cs="方正仿宋_GBK"/>
          <w:sz w:val="22"/>
          <w:szCs w:val="22"/>
          <w:lang w:val="en-US" w:eastAsia="zh-CN"/>
        </w:rPr>
        <w:sectPr>
          <w:footerReference r:id="rId7" w:type="default"/>
          <w:pgSz w:w="11906" w:h="16838"/>
          <w:pgMar w:top="1701" w:right="1474" w:bottom="1191" w:left="1587" w:header="851" w:footer="992" w:gutter="0"/>
          <w:pgNumType w:start="1"/>
          <w:cols w:space="425" w:num="1"/>
          <w:docGrid w:type="lines" w:linePitch="312" w:charSpace="0"/>
        </w:sectPr>
      </w:pPr>
      <w:r>
        <w:rPr>
          <w:rFonts w:hint="eastAsia" w:ascii="方正仿宋_GBK" w:hAnsi="方正仿宋_GBK" w:cs="方正仿宋_GBK"/>
          <w:sz w:val="22"/>
          <w:szCs w:val="22"/>
        </w:rPr>
        <w:t>注：</w:t>
      </w:r>
      <w:r>
        <w:rPr>
          <w:rFonts w:hint="eastAsia" w:ascii="方正仿宋_GBK" w:hAnsi="方正仿宋_GBK" w:cs="方正仿宋_GBK"/>
          <w:sz w:val="22"/>
          <w:szCs w:val="22"/>
          <w:lang w:eastAsia="zh-CN"/>
        </w:rPr>
        <w:t>上</w:t>
      </w:r>
      <w:r>
        <w:rPr>
          <w:rFonts w:hint="eastAsia" w:ascii="方正仿宋_GBK" w:hAnsi="方正仿宋_GBK" w:cs="方正仿宋_GBK"/>
          <w:sz w:val="22"/>
          <w:szCs w:val="22"/>
        </w:rPr>
        <w:t>表</w:t>
      </w:r>
      <w:r>
        <w:rPr>
          <w:rFonts w:hint="eastAsia" w:ascii="方正仿宋_GBK" w:hAnsi="方正仿宋_GBK" w:cs="方正仿宋_GBK"/>
          <w:sz w:val="22"/>
          <w:szCs w:val="22"/>
          <w:lang w:eastAsia="zh-CN"/>
        </w:rPr>
        <w:t>列举以外、符合政策规定的情形按照《永久基本农田保护红线管理办法》等执行。</w:t>
      </w:r>
    </w:p>
    <w:p w14:paraId="6BD3DC03">
      <w:pPr>
        <w:pStyle w:val="4"/>
        <w:spacing w:line="240" w:lineRule="auto"/>
        <w:jc w:val="left"/>
        <w:rPr>
          <w:rFonts w:hint="default" w:eastAsia="方正仿宋_GBK" w:cs="方正仿宋_GB2312"/>
          <w:b w:val="0"/>
          <w:bCs/>
          <w:lang w:val="en-US"/>
        </w:rPr>
      </w:pPr>
      <w:r>
        <w:rPr>
          <w:rFonts w:hint="eastAsia" w:eastAsia="方正仿宋_GBK" w:cs="方正仿宋_GB2312"/>
          <w:b w:val="0"/>
          <w:bCs/>
          <w:lang w:val="en-US" w:eastAsia="zh-CN"/>
        </w:rPr>
        <w:t>附录4</w:t>
      </w:r>
    </w:p>
    <w:p w14:paraId="7E1599E5">
      <w:pPr>
        <w:pStyle w:val="5"/>
        <w:ind w:firstLine="0" w:firstLineChars="0"/>
        <w:jc w:val="center"/>
        <w:rPr>
          <w:rFonts w:hint="eastAsia" w:eastAsia="方正仿宋_GBK" w:cs="方正仿宋_GB2312"/>
          <w:b w:val="0"/>
          <w:bCs/>
          <w:lang w:val="en-US" w:eastAsia="zh-CN"/>
        </w:rPr>
      </w:pPr>
      <w:r>
        <w:rPr>
          <w:rFonts w:hint="eastAsia" w:ascii="Times New Roman" w:hAnsi="Times New Roman" w:eastAsia="方正小标宋_GBK" w:cs="方正小标宋_GBK"/>
          <w:b w:val="0"/>
          <w:bCs/>
          <w:kern w:val="44"/>
          <w:lang w:eastAsia="zh-CN"/>
        </w:rPr>
        <w:t>生态保护红线内允许开展活动范围一览表</w:t>
      </w:r>
    </w:p>
    <w:tbl>
      <w:tblPr>
        <w:tblStyle w:val="23"/>
        <w:tblW w:w="4997" w:type="pct"/>
        <w:tblInd w:w="0" w:type="dxa"/>
        <w:tblLayout w:type="autofit"/>
        <w:tblCellMar>
          <w:top w:w="0" w:type="dxa"/>
          <w:left w:w="108" w:type="dxa"/>
          <w:bottom w:w="0" w:type="dxa"/>
          <w:right w:w="108" w:type="dxa"/>
        </w:tblCellMar>
      </w:tblPr>
      <w:tblGrid>
        <w:gridCol w:w="1594"/>
        <w:gridCol w:w="7462"/>
      </w:tblGrid>
      <w:tr w14:paraId="69565425">
        <w:tblPrEx>
          <w:tblCellMar>
            <w:top w:w="0" w:type="dxa"/>
            <w:left w:w="108" w:type="dxa"/>
            <w:bottom w:w="0" w:type="dxa"/>
            <w:right w:w="108" w:type="dxa"/>
          </w:tblCellMar>
        </w:tblPrEx>
        <w:trPr>
          <w:trHeight w:val="23" w:hRule="atLeast"/>
          <w:tblHeader/>
        </w:trPr>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C4805">
            <w:pPr>
              <w:widowControl/>
              <w:spacing w:line="240" w:lineRule="auto"/>
              <w:ind w:firstLine="0" w:firstLineChars="0"/>
              <w:jc w:val="center"/>
              <w:textAlignment w:val="center"/>
              <w:rPr>
                <w:rFonts w:hint="eastAsia" w:ascii="方正仿宋_GBK" w:hAnsi="方正仿宋_GBK" w:cs="方正仿宋_GBK"/>
                <w:kern w:val="0"/>
                <w:sz w:val="24"/>
                <w:szCs w:val="24"/>
                <w:lang w:val="en-US" w:eastAsia="zh-CN" w:bidi="ar"/>
              </w:rPr>
            </w:pPr>
            <w:r>
              <w:rPr>
                <w:rFonts w:hint="eastAsia" w:ascii="方正仿宋_GBK" w:hAnsi="方正仿宋_GBK" w:cs="方正仿宋_GBK"/>
                <w:kern w:val="0"/>
                <w:sz w:val="24"/>
                <w:szCs w:val="24"/>
                <w:lang w:val="en-US" w:eastAsia="zh-CN" w:bidi="ar"/>
              </w:rPr>
              <w:t>类型</w:t>
            </w:r>
          </w:p>
        </w:tc>
        <w:tc>
          <w:tcPr>
            <w:tcW w:w="41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86ED2">
            <w:pPr>
              <w:widowControl/>
              <w:spacing w:line="240" w:lineRule="auto"/>
              <w:ind w:firstLine="0" w:firstLineChars="0"/>
              <w:jc w:val="center"/>
              <w:textAlignment w:val="center"/>
              <w:rPr>
                <w:rFonts w:hint="eastAsia" w:ascii="方正仿宋_GBK" w:hAnsi="方正仿宋_GBK" w:cs="方正仿宋_GBK"/>
                <w:kern w:val="0"/>
                <w:sz w:val="24"/>
                <w:szCs w:val="24"/>
                <w:lang w:val="en-US" w:eastAsia="zh-CN" w:bidi="ar"/>
              </w:rPr>
            </w:pPr>
            <w:r>
              <w:rPr>
                <w:rFonts w:hint="eastAsia" w:ascii="方正仿宋_GBK" w:hAnsi="方正仿宋_GBK" w:cs="方正仿宋_GBK"/>
                <w:kern w:val="0"/>
                <w:sz w:val="24"/>
                <w:szCs w:val="24"/>
                <w:lang w:val="en-US" w:eastAsia="zh-CN" w:bidi="ar"/>
              </w:rPr>
              <w:t>适用情形</w:t>
            </w:r>
          </w:p>
        </w:tc>
      </w:tr>
      <w:tr w14:paraId="7E7C9D58">
        <w:tblPrEx>
          <w:tblCellMar>
            <w:top w:w="0" w:type="dxa"/>
            <w:left w:w="108" w:type="dxa"/>
            <w:bottom w:w="0" w:type="dxa"/>
            <w:right w:w="108" w:type="dxa"/>
          </w:tblCellMar>
        </w:tblPrEx>
        <w:trPr>
          <w:trHeight w:val="23" w:hRule="atLeast"/>
        </w:trPr>
        <w:tc>
          <w:tcPr>
            <w:tcW w:w="880" w:type="pct"/>
            <w:vMerge w:val="restart"/>
            <w:tcBorders>
              <w:top w:val="single" w:color="000000" w:sz="4" w:space="0"/>
              <w:left w:val="single" w:color="000000" w:sz="4" w:space="0"/>
              <w:right w:val="single" w:color="000000" w:sz="4" w:space="0"/>
            </w:tcBorders>
            <w:shd w:val="clear" w:color="auto" w:fill="auto"/>
            <w:vAlign w:val="center"/>
          </w:tcPr>
          <w:p w14:paraId="2EBE0C89">
            <w:pPr>
              <w:widowControl/>
              <w:spacing w:line="240" w:lineRule="auto"/>
              <w:ind w:firstLine="0" w:firstLineChars="0"/>
              <w:jc w:val="center"/>
              <w:textAlignment w:val="center"/>
              <w:rPr>
                <w:rFonts w:hint="default" w:eastAsia="方正仿宋_GBK"/>
                <w:highlight w:val="none"/>
                <w:lang w:val="en-US" w:eastAsia="zh-CN"/>
              </w:rPr>
            </w:pPr>
            <w:r>
              <w:rPr>
                <w:rFonts w:hint="default" w:ascii="方正仿宋_GBK" w:hAnsi="方正仿宋_GBK" w:cs="方正仿宋_GBK"/>
                <w:kern w:val="0"/>
                <w:sz w:val="24"/>
                <w:szCs w:val="24"/>
                <w:highlight w:val="none"/>
                <w:lang w:val="en-US" w:eastAsia="zh-CN" w:bidi="ar"/>
              </w:rPr>
              <w:t>允许开展的有限人为活动范围</w:t>
            </w:r>
          </w:p>
        </w:tc>
        <w:tc>
          <w:tcPr>
            <w:tcW w:w="41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8BE4B">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r>
              <w:rPr>
                <w:rFonts w:hint="eastAsia" w:ascii="方正仿宋_GBK" w:hAnsi="方正仿宋_GBK" w:cs="方正仿宋_GBK"/>
                <w:kern w:val="0"/>
                <w:sz w:val="24"/>
                <w:szCs w:val="24"/>
                <w:highlight w:val="none"/>
                <w:lang w:val="en-US" w:eastAsia="zh-CN" w:bidi="ar"/>
              </w:rPr>
              <w:t>管护巡护、保护执法、科学研究、调查监测、测绘导航、防灾减灾救灾、军事国防、疫情防控等活动及相关的必要设施修筑。</w:t>
            </w:r>
          </w:p>
        </w:tc>
      </w:tr>
      <w:tr w14:paraId="1B986E77">
        <w:tblPrEx>
          <w:tblCellMar>
            <w:top w:w="0" w:type="dxa"/>
            <w:left w:w="108" w:type="dxa"/>
            <w:bottom w:w="0" w:type="dxa"/>
            <w:right w:w="108" w:type="dxa"/>
          </w:tblCellMar>
        </w:tblPrEx>
        <w:trPr>
          <w:trHeight w:val="23" w:hRule="atLeast"/>
        </w:trPr>
        <w:tc>
          <w:tcPr>
            <w:tcW w:w="880" w:type="pct"/>
            <w:vMerge w:val="continue"/>
            <w:tcBorders>
              <w:left w:val="single" w:color="000000" w:sz="4" w:space="0"/>
              <w:right w:val="single" w:color="000000" w:sz="4" w:space="0"/>
            </w:tcBorders>
            <w:shd w:val="clear" w:color="auto" w:fill="auto"/>
            <w:vAlign w:val="center"/>
          </w:tcPr>
          <w:p w14:paraId="7E641D90">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p>
        </w:tc>
        <w:tc>
          <w:tcPr>
            <w:tcW w:w="41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798C5">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r>
              <w:rPr>
                <w:rFonts w:hint="eastAsia" w:ascii="方正仿宋_GBK" w:hAnsi="方正仿宋_GBK" w:cs="方正仿宋_GBK"/>
                <w:kern w:val="0"/>
                <w:sz w:val="24"/>
                <w:szCs w:val="24"/>
                <w:highlight w:val="none"/>
                <w:lang w:val="en-US" w:eastAsia="zh-CN" w:bidi="ar"/>
              </w:rPr>
              <w:t>原住居民和其他合法权益主体在不扩大现有建设用地（以“三调”及国土调查年度变更数据确定的建设用地范围为准）、耕地、水产养殖规模和放牧强度的前提下，开展种植、放牧、捕捞、养殖等活动，修筑生产生活设施。包括修筑住房和供电、供气、供水、供热、通信、广电、交通、水利、污水处理、垃圾储运等生产生活设施，以及直接为林业生产经营服务的工程设施。</w:t>
            </w:r>
          </w:p>
        </w:tc>
      </w:tr>
      <w:tr w14:paraId="4AA4836F">
        <w:tblPrEx>
          <w:tblCellMar>
            <w:top w:w="0" w:type="dxa"/>
            <w:left w:w="108" w:type="dxa"/>
            <w:bottom w:w="0" w:type="dxa"/>
            <w:right w:w="108" w:type="dxa"/>
          </w:tblCellMar>
        </w:tblPrEx>
        <w:trPr>
          <w:trHeight w:val="23" w:hRule="atLeast"/>
        </w:trPr>
        <w:tc>
          <w:tcPr>
            <w:tcW w:w="880" w:type="pct"/>
            <w:vMerge w:val="continue"/>
            <w:tcBorders>
              <w:left w:val="single" w:color="000000" w:sz="4" w:space="0"/>
              <w:right w:val="single" w:color="000000" w:sz="4" w:space="0"/>
            </w:tcBorders>
            <w:shd w:val="clear" w:color="auto" w:fill="auto"/>
            <w:vAlign w:val="center"/>
          </w:tcPr>
          <w:p w14:paraId="06FC5C3A">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p>
        </w:tc>
        <w:tc>
          <w:tcPr>
            <w:tcW w:w="41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191BF">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r>
              <w:rPr>
                <w:rFonts w:hint="eastAsia" w:ascii="方正仿宋_GBK" w:hAnsi="方正仿宋_GBK" w:cs="方正仿宋_GBK"/>
                <w:kern w:val="0"/>
                <w:sz w:val="24"/>
                <w:szCs w:val="24"/>
                <w:highlight w:val="none"/>
                <w:lang w:val="en-US" w:eastAsia="zh-CN" w:bidi="ar"/>
              </w:rPr>
              <w:t>经依法批准的考古调查发掘、古生物化石调查发掘、标本采集和文物保护活动。</w:t>
            </w:r>
          </w:p>
        </w:tc>
      </w:tr>
      <w:tr w14:paraId="2B31F00B">
        <w:tblPrEx>
          <w:tblCellMar>
            <w:top w:w="0" w:type="dxa"/>
            <w:left w:w="108" w:type="dxa"/>
            <w:bottom w:w="0" w:type="dxa"/>
            <w:right w:w="108" w:type="dxa"/>
          </w:tblCellMar>
        </w:tblPrEx>
        <w:trPr>
          <w:trHeight w:val="23" w:hRule="atLeast"/>
        </w:trPr>
        <w:tc>
          <w:tcPr>
            <w:tcW w:w="880" w:type="pct"/>
            <w:vMerge w:val="continue"/>
            <w:tcBorders>
              <w:left w:val="single" w:color="000000" w:sz="4" w:space="0"/>
              <w:right w:val="single" w:color="000000" w:sz="4" w:space="0"/>
            </w:tcBorders>
            <w:shd w:val="clear" w:color="auto" w:fill="auto"/>
            <w:vAlign w:val="center"/>
          </w:tcPr>
          <w:p w14:paraId="3D7D4B1B">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p>
        </w:tc>
        <w:tc>
          <w:tcPr>
            <w:tcW w:w="41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EC43D">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r>
              <w:rPr>
                <w:rFonts w:hint="eastAsia" w:ascii="方正仿宋_GBK" w:hAnsi="方正仿宋_GBK" w:cs="方正仿宋_GBK"/>
                <w:kern w:val="0"/>
                <w:sz w:val="24"/>
                <w:szCs w:val="24"/>
                <w:highlight w:val="none"/>
                <w:lang w:val="en-US" w:eastAsia="zh-CN" w:bidi="ar"/>
              </w:rPr>
              <w:t>按规定对人工商品林进行抚育采伐，或以提升森林质量、优化栖息地、建设生物防火隔离带等为目的的树种更新，依法开展的竹林采伐经营， 森林防火通道。</w:t>
            </w:r>
          </w:p>
        </w:tc>
      </w:tr>
      <w:tr w14:paraId="20F0B15F">
        <w:tblPrEx>
          <w:tblCellMar>
            <w:top w:w="0" w:type="dxa"/>
            <w:left w:w="108" w:type="dxa"/>
            <w:bottom w:w="0" w:type="dxa"/>
            <w:right w:w="108" w:type="dxa"/>
          </w:tblCellMar>
        </w:tblPrEx>
        <w:trPr>
          <w:trHeight w:val="23" w:hRule="atLeast"/>
        </w:trPr>
        <w:tc>
          <w:tcPr>
            <w:tcW w:w="880" w:type="pct"/>
            <w:vMerge w:val="continue"/>
            <w:tcBorders>
              <w:left w:val="single" w:color="000000" w:sz="4" w:space="0"/>
              <w:right w:val="single" w:color="000000" w:sz="4" w:space="0"/>
            </w:tcBorders>
            <w:shd w:val="clear" w:color="auto" w:fill="auto"/>
            <w:vAlign w:val="center"/>
          </w:tcPr>
          <w:p w14:paraId="3E81838C">
            <w:pPr>
              <w:widowControl/>
              <w:spacing w:line="240" w:lineRule="auto"/>
              <w:ind w:firstLine="0" w:firstLineChars="0"/>
              <w:jc w:val="left"/>
              <w:textAlignment w:val="center"/>
              <w:rPr>
                <w:rFonts w:hint="default" w:ascii="方正仿宋_GBK" w:hAnsi="方正仿宋_GBK" w:cs="方正仿宋_GBK"/>
                <w:kern w:val="0"/>
                <w:sz w:val="24"/>
                <w:szCs w:val="24"/>
                <w:highlight w:val="none"/>
                <w:lang w:val="en-US" w:eastAsia="zh-CN" w:bidi="ar"/>
              </w:rPr>
            </w:pPr>
          </w:p>
        </w:tc>
        <w:tc>
          <w:tcPr>
            <w:tcW w:w="41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33F8A">
            <w:pPr>
              <w:widowControl/>
              <w:spacing w:line="240" w:lineRule="auto"/>
              <w:ind w:firstLine="0" w:firstLineChars="0"/>
              <w:jc w:val="left"/>
              <w:textAlignment w:val="center"/>
              <w:rPr>
                <w:rFonts w:hint="default" w:ascii="方正仿宋_GBK" w:hAnsi="方正仿宋_GBK" w:cs="方正仿宋_GBK"/>
                <w:kern w:val="0"/>
                <w:sz w:val="24"/>
                <w:szCs w:val="24"/>
                <w:highlight w:val="none"/>
                <w:lang w:val="en-US" w:eastAsia="zh-CN" w:bidi="ar"/>
              </w:rPr>
            </w:pPr>
            <w:r>
              <w:rPr>
                <w:rFonts w:hint="default" w:ascii="方正仿宋_GBK" w:hAnsi="方正仿宋_GBK" w:cs="方正仿宋_GBK"/>
                <w:kern w:val="0"/>
                <w:sz w:val="24"/>
                <w:szCs w:val="24"/>
                <w:highlight w:val="none"/>
                <w:lang w:val="en-US" w:eastAsia="zh-CN" w:bidi="ar"/>
              </w:rPr>
              <w:t>不破坏生态功能的适度参观旅游、科普宣教及符合相关规划的配套性服务设施和相关的必要公共设施建设及维护。包括供电、供气、供水、供热、通信、广电、污水处理、垃圾储运、公共卫生、简易休憩、安全防护、应急避难、医疗救护、电子监控等设施和标识标志牌、道路（含索道）、生态停车场、必要的旅游管理及服务用房、生态文物展示馆、科普馆、宣教中心。</w:t>
            </w:r>
          </w:p>
        </w:tc>
      </w:tr>
      <w:tr w14:paraId="5692349A">
        <w:tblPrEx>
          <w:tblCellMar>
            <w:top w:w="0" w:type="dxa"/>
            <w:left w:w="108" w:type="dxa"/>
            <w:bottom w:w="0" w:type="dxa"/>
            <w:right w:w="108" w:type="dxa"/>
          </w:tblCellMar>
        </w:tblPrEx>
        <w:trPr>
          <w:trHeight w:val="23" w:hRule="atLeast"/>
        </w:trPr>
        <w:tc>
          <w:tcPr>
            <w:tcW w:w="880" w:type="pct"/>
            <w:vMerge w:val="continue"/>
            <w:tcBorders>
              <w:left w:val="single" w:color="000000" w:sz="4" w:space="0"/>
              <w:right w:val="single" w:color="000000" w:sz="4" w:space="0"/>
            </w:tcBorders>
            <w:shd w:val="clear" w:color="auto" w:fill="auto"/>
            <w:vAlign w:val="center"/>
          </w:tcPr>
          <w:p w14:paraId="56397775">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p>
        </w:tc>
        <w:tc>
          <w:tcPr>
            <w:tcW w:w="41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C240A">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r>
              <w:rPr>
                <w:rFonts w:hint="eastAsia" w:ascii="方正仿宋_GBK" w:hAnsi="方正仿宋_GBK" w:cs="方正仿宋_GBK"/>
                <w:kern w:val="0"/>
                <w:sz w:val="24"/>
                <w:szCs w:val="24"/>
                <w:highlight w:val="none"/>
                <w:lang w:val="en-US" w:eastAsia="zh-CN" w:bidi="ar"/>
              </w:rPr>
              <w:t>必须且无法避让、符合县级以上国土空间规划的线性基础设施、通讯和防洪、供水设施建设和船舶航行、航道疏浚清淤等活动，包括公路、铁路、堤坝、航道、桥梁、隧道、电缆 （光缆）、油气、供水管线等基础设施及输变电、通信基站、广电发射台等点状附属设施、轨道交通、港口码头、风电、以防洪或供水为主要功能的水利设施。已有的合法水利、交通运输等设 施运行维护改造。</w:t>
            </w:r>
          </w:p>
        </w:tc>
      </w:tr>
      <w:tr w14:paraId="050CA605">
        <w:tblPrEx>
          <w:tblCellMar>
            <w:top w:w="0" w:type="dxa"/>
            <w:left w:w="108" w:type="dxa"/>
            <w:bottom w:w="0" w:type="dxa"/>
            <w:right w:w="108" w:type="dxa"/>
          </w:tblCellMar>
        </w:tblPrEx>
        <w:trPr>
          <w:trHeight w:val="23" w:hRule="atLeast"/>
        </w:trPr>
        <w:tc>
          <w:tcPr>
            <w:tcW w:w="880" w:type="pct"/>
            <w:vMerge w:val="continue"/>
            <w:tcBorders>
              <w:left w:val="single" w:color="000000" w:sz="4" w:space="0"/>
              <w:right w:val="single" w:color="000000" w:sz="4" w:space="0"/>
            </w:tcBorders>
            <w:shd w:val="clear" w:color="auto" w:fill="auto"/>
            <w:vAlign w:val="center"/>
          </w:tcPr>
          <w:p w14:paraId="084DC80C">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p>
        </w:tc>
        <w:tc>
          <w:tcPr>
            <w:tcW w:w="41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85172">
            <w:pPr>
              <w:widowControl/>
              <w:spacing w:line="240" w:lineRule="auto"/>
              <w:ind w:firstLine="0" w:firstLineChars="0"/>
              <w:jc w:val="left"/>
              <w:textAlignment w:val="center"/>
              <w:rPr>
                <w:rFonts w:hint="default" w:ascii="方正仿宋_GBK" w:hAnsi="方正仿宋_GBK" w:cs="方正仿宋_GBK"/>
                <w:kern w:val="0"/>
                <w:sz w:val="24"/>
                <w:szCs w:val="24"/>
                <w:highlight w:val="none"/>
                <w:lang w:val="en-US" w:eastAsia="zh-CN" w:bidi="ar"/>
              </w:rPr>
            </w:pPr>
            <w:r>
              <w:rPr>
                <w:rFonts w:hint="default" w:ascii="方正仿宋_GBK" w:hAnsi="方正仿宋_GBK" w:cs="方正仿宋_GBK"/>
                <w:kern w:val="0"/>
                <w:sz w:val="24"/>
                <w:szCs w:val="24"/>
                <w:highlight w:val="none"/>
                <w:lang w:val="en-US" w:eastAsia="zh-CN" w:bidi="ar"/>
              </w:rPr>
              <w:t>依据县级以上国土空间规划和生态保护修复专项规划开展的生态复。</w:t>
            </w:r>
          </w:p>
        </w:tc>
      </w:tr>
      <w:tr w14:paraId="1B65665A">
        <w:tblPrEx>
          <w:tblCellMar>
            <w:top w:w="0" w:type="dxa"/>
            <w:left w:w="108" w:type="dxa"/>
            <w:bottom w:w="0" w:type="dxa"/>
            <w:right w:w="108" w:type="dxa"/>
          </w:tblCellMar>
        </w:tblPrEx>
        <w:trPr>
          <w:trHeight w:val="23" w:hRule="atLeast"/>
        </w:trPr>
        <w:tc>
          <w:tcPr>
            <w:tcW w:w="880" w:type="pct"/>
            <w:vMerge w:val="continue"/>
            <w:tcBorders>
              <w:left w:val="single" w:color="000000" w:sz="4" w:space="0"/>
              <w:bottom w:val="single" w:color="000000" w:sz="4" w:space="0"/>
              <w:right w:val="single" w:color="000000" w:sz="4" w:space="0"/>
            </w:tcBorders>
            <w:shd w:val="clear" w:color="auto" w:fill="auto"/>
            <w:vAlign w:val="center"/>
          </w:tcPr>
          <w:p w14:paraId="65F4EA50">
            <w:pPr>
              <w:widowControl/>
              <w:spacing w:line="240" w:lineRule="auto"/>
              <w:ind w:firstLine="0" w:firstLineChars="0"/>
              <w:jc w:val="left"/>
              <w:textAlignment w:val="center"/>
              <w:rPr>
                <w:rFonts w:hint="eastAsia" w:ascii="方正仿宋_GBK" w:hAnsi="方正仿宋_GBK" w:eastAsia="方正仿宋_GBK" w:cs="方正仿宋_GBK"/>
                <w:color w:val="000000"/>
                <w:kern w:val="0"/>
                <w:sz w:val="24"/>
                <w:szCs w:val="24"/>
                <w:highlight w:val="none"/>
                <w:lang w:val="en-US" w:eastAsia="zh-CN" w:bidi="ar"/>
              </w:rPr>
            </w:pPr>
          </w:p>
        </w:tc>
        <w:tc>
          <w:tcPr>
            <w:tcW w:w="41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5A784">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r>
              <w:rPr>
                <w:rFonts w:hint="eastAsia" w:ascii="方正仿宋_GBK" w:hAnsi="方正仿宋_GBK" w:cs="方正仿宋_GBK"/>
                <w:kern w:val="0"/>
                <w:sz w:val="24"/>
                <w:szCs w:val="24"/>
                <w:highlight w:val="none"/>
                <w:lang w:val="en-US" w:eastAsia="zh-CN" w:bidi="ar"/>
              </w:rPr>
              <w:t>法律法规规定允许的其他人为活动。</w:t>
            </w:r>
          </w:p>
        </w:tc>
      </w:tr>
      <w:tr w14:paraId="1BC532C3">
        <w:tblPrEx>
          <w:tblCellMar>
            <w:top w:w="0" w:type="dxa"/>
            <w:left w:w="108" w:type="dxa"/>
            <w:bottom w:w="0" w:type="dxa"/>
            <w:right w:w="108" w:type="dxa"/>
          </w:tblCellMar>
        </w:tblPrEx>
        <w:trPr>
          <w:trHeight w:val="23" w:hRule="atLeast"/>
        </w:trPr>
        <w:tc>
          <w:tcPr>
            <w:tcW w:w="880" w:type="pct"/>
            <w:vMerge w:val="restart"/>
            <w:tcBorders>
              <w:top w:val="single" w:color="000000" w:sz="4" w:space="0"/>
              <w:left w:val="single" w:color="000000" w:sz="4" w:space="0"/>
              <w:right w:val="single" w:color="000000" w:sz="4" w:space="0"/>
            </w:tcBorders>
            <w:shd w:val="clear" w:color="auto" w:fill="auto"/>
            <w:vAlign w:val="center"/>
          </w:tcPr>
          <w:p w14:paraId="4CEAF74B">
            <w:pPr>
              <w:widowControl/>
              <w:spacing w:line="240" w:lineRule="auto"/>
              <w:ind w:firstLine="0" w:firstLineChars="0"/>
              <w:jc w:val="center"/>
              <w:textAlignment w:val="center"/>
              <w:rPr>
                <w:rFonts w:hint="eastAsia" w:ascii="方正仿宋_GBK" w:hAnsi="方正仿宋_GBK" w:eastAsia="方正仿宋_GBK" w:cs="方正仿宋_GBK"/>
                <w:color w:val="000000"/>
                <w:kern w:val="0"/>
                <w:sz w:val="24"/>
                <w:szCs w:val="24"/>
                <w:highlight w:val="none"/>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允许占用生态保护红线的国家重大项目范围</w:t>
            </w:r>
          </w:p>
        </w:tc>
        <w:tc>
          <w:tcPr>
            <w:tcW w:w="41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F0457">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r>
              <w:rPr>
                <w:rFonts w:hint="eastAsia" w:ascii="方正仿宋_GBK" w:hAnsi="方正仿宋_GBK" w:cs="方正仿宋_GBK"/>
                <w:kern w:val="0"/>
                <w:sz w:val="24"/>
                <w:szCs w:val="24"/>
                <w:highlight w:val="none"/>
                <w:lang w:val="en-US" w:eastAsia="zh-CN" w:bidi="ar"/>
              </w:rPr>
              <w:t>党中央、 国务院发布文件或批准规划中明确具体名称的项目和国务院批准的项目。</w:t>
            </w:r>
          </w:p>
        </w:tc>
      </w:tr>
      <w:tr w14:paraId="0BDC89DD">
        <w:tblPrEx>
          <w:tblCellMar>
            <w:top w:w="0" w:type="dxa"/>
            <w:left w:w="108" w:type="dxa"/>
            <w:bottom w:w="0" w:type="dxa"/>
            <w:right w:w="108" w:type="dxa"/>
          </w:tblCellMar>
        </w:tblPrEx>
        <w:trPr>
          <w:trHeight w:val="23" w:hRule="atLeast"/>
        </w:trPr>
        <w:tc>
          <w:tcPr>
            <w:tcW w:w="880" w:type="pct"/>
            <w:vMerge w:val="continue"/>
            <w:tcBorders>
              <w:left w:val="single" w:color="000000" w:sz="4" w:space="0"/>
              <w:right w:val="single" w:color="000000" w:sz="4" w:space="0"/>
            </w:tcBorders>
            <w:shd w:val="clear" w:color="auto" w:fill="auto"/>
            <w:vAlign w:val="center"/>
          </w:tcPr>
          <w:p w14:paraId="3E860656">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p>
        </w:tc>
        <w:tc>
          <w:tcPr>
            <w:tcW w:w="41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15C1E">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r>
              <w:rPr>
                <w:rFonts w:hint="eastAsia" w:ascii="方正仿宋_GBK" w:hAnsi="方正仿宋_GBK" w:cs="方正仿宋_GBK"/>
                <w:kern w:val="0"/>
                <w:sz w:val="24"/>
                <w:szCs w:val="24"/>
                <w:highlight w:val="none"/>
                <w:lang w:val="en-US" w:eastAsia="zh-CN" w:bidi="ar"/>
              </w:rPr>
              <w:t>中央军委及其有关部门批准的军事国防项目。</w:t>
            </w:r>
          </w:p>
        </w:tc>
      </w:tr>
      <w:tr w14:paraId="7FF60963">
        <w:tblPrEx>
          <w:tblCellMar>
            <w:top w:w="0" w:type="dxa"/>
            <w:left w:w="108" w:type="dxa"/>
            <w:bottom w:w="0" w:type="dxa"/>
            <w:right w:w="108" w:type="dxa"/>
          </w:tblCellMar>
        </w:tblPrEx>
        <w:trPr>
          <w:trHeight w:val="23" w:hRule="atLeast"/>
        </w:trPr>
        <w:tc>
          <w:tcPr>
            <w:tcW w:w="880" w:type="pct"/>
            <w:vMerge w:val="continue"/>
            <w:tcBorders>
              <w:left w:val="single" w:color="000000" w:sz="4" w:space="0"/>
              <w:right w:val="single" w:color="000000" w:sz="4" w:space="0"/>
            </w:tcBorders>
            <w:shd w:val="clear" w:color="auto" w:fill="auto"/>
            <w:vAlign w:val="center"/>
          </w:tcPr>
          <w:p w14:paraId="29B2B5B4">
            <w:pPr>
              <w:widowControl/>
              <w:spacing w:line="240" w:lineRule="auto"/>
              <w:ind w:firstLine="0" w:firstLineChars="0"/>
              <w:jc w:val="left"/>
              <w:textAlignment w:val="center"/>
              <w:rPr>
                <w:rFonts w:hint="eastAsia" w:ascii="方正仿宋_GBK" w:hAnsi="方正仿宋_GBK" w:cs="方正仿宋_GBK"/>
                <w:kern w:val="0"/>
                <w:sz w:val="24"/>
                <w:szCs w:val="24"/>
                <w:lang w:val="en-US" w:eastAsia="zh-CN" w:bidi="ar"/>
              </w:rPr>
            </w:pPr>
          </w:p>
        </w:tc>
        <w:tc>
          <w:tcPr>
            <w:tcW w:w="41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8AC97">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r>
              <w:rPr>
                <w:rFonts w:hint="eastAsia" w:ascii="方正仿宋_GBK" w:hAnsi="方正仿宋_GBK" w:cs="方正仿宋_GBK"/>
                <w:kern w:val="0"/>
                <w:sz w:val="24"/>
                <w:szCs w:val="24"/>
                <w:highlight w:val="none"/>
                <w:lang w:val="en-US" w:eastAsia="zh-CN" w:bidi="ar"/>
              </w:rPr>
              <w:t>国家级规划明确的交通、水利项目。</w:t>
            </w:r>
          </w:p>
        </w:tc>
      </w:tr>
      <w:tr w14:paraId="1E569904">
        <w:tblPrEx>
          <w:tblCellMar>
            <w:top w:w="0" w:type="dxa"/>
            <w:left w:w="108" w:type="dxa"/>
            <w:bottom w:w="0" w:type="dxa"/>
            <w:right w:w="108" w:type="dxa"/>
          </w:tblCellMar>
        </w:tblPrEx>
        <w:trPr>
          <w:trHeight w:val="23" w:hRule="atLeast"/>
        </w:trPr>
        <w:tc>
          <w:tcPr>
            <w:tcW w:w="880" w:type="pct"/>
            <w:vMerge w:val="continue"/>
            <w:tcBorders>
              <w:left w:val="single" w:color="000000" w:sz="4" w:space="0"/>
              <w:right w:val="single" w:color="000000" w:sz="4" w:space="0"/>
            </w:tcBorders>
            <w:shd w:val="clear" w:color="auto" w:fill="auto"/>
            <w:vAlign w:val="center"/>
          </w:tcPr>
          <w:p w14:paraId="52062725">
            <w:pPr>
              <w:widowControl/>
              <w:spacing w:line="240" w:lineRule="auto"/>
              <w:ind w:firstLine="0" w:firstLineChars="0"/>
              <w:jc w:val="left"/>
              <w:textAlignment w:val="center"/>
              <w:rPr>
                <w:rFonts w:hint="eastAsia" w:ascii="方正仿宋_GBK" w:hAnsi="方正仿宋_GBK" w:cs="方正仿宋_GBK"/>
                <w:kern w:val="0"/>
                <w:sz w:val="24"/>
                <w:szCs w:val="24"/>
                <w:lang w:val="en-US" w:eastAsia="zh-CN" w:bidi="ar"/>
              </w:rPr>
            </w:pPr>
          </w:p>
        </w:tc>
        <w:tc>
          <w:tcPr>
            <w:tcW w:w="41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87E2A">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r>
              <w:rPr>
                <w:rFonts w:hint="eastAsia" w:ascii="方正仿宋_GBK" w:hAnsi="方正仿宋_GBK" w:cs="方正仿宋_GBK"/>
                <w:kern w:val="0"/>
                <w:sz w:val="24"/>
                <w:szCs w:val="24"/>
                <w:highlight w:val="none"/>
                <w:lang w:val="en-US" w:eastAsia="zh-CN" w:bidi="ar"/>
              </w:rPr>
              <w:t>国家级规划明确的电网项目， 国家级规划明确的且符合国家产业政策的能源矿产勘查开采、油气管线、水电、核电项目。</w:t>
            </w:r>
          </w:p>
        </w:tc>
      </w:tr>
      <w:tr w14:paraId="20D5528D">
        <w:tblPrEx>
          <w:tblCellMar>
            <w:top w:w="0" w:type="dxa"/>
            <w:left w:w="108" w:type="dxa"/>
            <w:bottom w:w="0" w:type="dxa"/>
            <w:right w:w="108" w:type="dxa"/>
          </w:tblCellMar>
        </w:tblPrEx>
        <w:trPr>
          <w:trHeight w:val="23" w:hRule="atLeast"/>
        </w:trPr>
        <w:tc>
          <w:tcPr>
            <w:tcW w:w="880" w:type="pct"/>
            <w:vMerge w:val="continue"/>
            <w:tcBorders>
              <w:left w:val="single" w:color="000000" w:sz="4" w:space="0"/>
              <w:right w:val="single" w:color="000000" w:sz="4" w:space="0"/>
            </w:tcBorders>
            <w:shd w:val="clear" w:color="auto" w:fill="auto"/>
            <w:vAlign w:val="center"/>
          </w:tcPr>
          <w:p w14:paraId="2E8C20E2">
            <w:pPr>
              <w:widowControl/>
              <w:spacing w:line="240" w:lineRule="auto"/>
              <w:ind w:firstLine="0" w:firstLineChars="0"/>
              <w:jc w:val="left"/>
              <w:textAlignment w:val="center"/>
              <w:rPr>
                <w:rFonts w:hint="eastAsia" w:ascii="方正仿宋_GBK" w:hAnsi="方正仿宋_GBK" w:cs="方正仿宋_GBK"/>
                <w:kern w:val="0"/>
                <w:sz w:val="24"/>
                <w:szCs w:val="24"/>
                <w:lang w:val="en-US" w:eastAsia="zh-CN" w:bidi="ar"/>
              </w:rPr>
            </w:pPr>
          </w:p>
        </w:tc>
        <w:tc>
          <w:tcPr>
            <w:tcW w:w="41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406A7">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r>
              <w:rPr>
                <w:rFonts w:hint="eastAsia" w:ascii="方正仿宋_GBK" w:hAnsi="方正仿宋_GBK" w:cs="方正仿宋_GBK"/>
                <w:kern w:val="0"/>
                <w:sz w:val="24"/>
                <w:szCs w:val="24"/>
                <w:highlight w:val="none"/>
                <w:lang w:val="en-US" w:eastAsia="zh-CN" w:bidi="ar"/>
              </w:rPr>
              <w:t>为贯彻落实党中央、国务院重大决策部署， 国务院投资主管部门或国务院投资主管部门会同有关部门确认的交通、能源、水利等基础设施项目。</w:t>
            </w:r>
          </w:p>
        </w:tc>
      </w:tr>
      <w:tr w14:paraId="7C78C069">
        <w:tblPrEx>
          <w:tblCellMar>
            <w:top w:w="0" w:type="dxa"/>
            <w:left w:w="108" w:type="dxa"/>
            <w:bottom w:w="0" w:type="dxa"/>
            <w:right w:w="108" w:type="dxa"/>
          </w:tblCellMar>
        </w:tblPrEx>
        <w:trPr>
          <w:trHeight w:val="23" w:hRule="atLeast"/>
        </w:trPr>
        <w:tc>
          <w:tcPr>
            <w:tcW w:w="880" w:type="pct"/>
            <w:vMerge w:val="continue"/>
            <w:tcBorders>
              <w:left w:val="single" w:color="000000" w:sz="4" w:space="0"/>
              <w:bottom w:val="single" w:color="000000" w:sz="4" w:space="0"/>
              <w:right w:val="single" w:color="000000" w:sz="4" w:space="0"/>
            </w:tcBorders>
            <w:shd w:val="clear" w:color="auto" w:fill="auto"/>
            <w:vAlign w:val="center"/>
          </w:tcPr>
          <w:p w14:paraId="3A7712AE">
            <w:pPr>
              <w:widowControl/>
              <w:spacing w:line="240" w:lineRule="auto"/>
              <w:ind w:firstLine="0" w:firstLineChars="0"/>
              <w:jc w:val="left"/>
              <w:textAlignment w:val="center"/>
              <w:rPr>
                <w:rFonts w:hint="eastAsia" w:ascii="方正仿宋_GBK" w:hAnsi="方正仿宋_GBK" w:cs="方正仿宋_GBK"/>
                <w:kern w:val="0"/>
                <w:sz w:val="24"/>
                <w:szCs w:val="24"/>
                <w:lang w:val="en-US" w:eastAsia="zh-CN" w:bidi="ar"/>
              </w:rPr>
            </w:pPr>
          </w:p>
        </w:tc>
        <w:tc>
          <w:tcPr>
            <w:tcW w:w="41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C4902">
            <w:pPr>
              <w:widowControl/>
              <w:spacing w:line="240" w:lineRule="auto"/>
              <w:ind w:firstLine="0" w:firstLineChars="0"/>
              <w:jc w:val="left"/>
              <w:textAlignment w:val="center"/>
              <w:rPr>
                <w:rFonts w:hint="eastAsia" w:ascii="方正仿宋_GBK" w:hAnsi="方正仿宋_GBK" w:cs="方正仿宋_GBK"/>
                <w:kern w:val="0"/>
                <w:sz w:val="24"/>
                <w:szCs w:val="24"/>
                <w:highlight w:val="none"/>
                <w:lang w:val="en-US" w:eastAsia="zh-CN" w:bidi="ar"/>
              </w:rPr>
            </w:pPr>
            <w:r>
              <w:rPr>
                <w:rFonts w:hint="eastAsia" w:ascii="方正仿宋_GBK" w:hAnsi="方正仿宋_GBK" w:cs="方正仿宋_GBK"/>
                <w:kern w:val="0"/>
                <w:sz w:val="24"/>
                <w:szCs w:val="24"/>
                <w:highlight w:val="none"/>
                <w:lang w:val="en-US" w:eastAsia="zh-CN" w:bidi="ar"/>
              </w:rPr>
              <w:t>按照国家重大项目用地保障工作机制要求，国家发展改革委会同有关部门确认的需中央加大建设用地保障力度，确实难以避让的国家重大项目。</w:t>
            </w:r>
          </w:p>
        </w:tc>
      </w:tr>
    </w:tbl>
    <w:p w14:paraId="38828B0E">
      <w:pPr>
        <w:spacing w:line="240" w:lineRule="auto"/>
        <w:ind w:firstLine="0" w:firstLineChars="0"/>
        <w:rPr>
          <w:rFonts w:hint="eastAsia" w:ascii="方正仿宋_GBK" w:hAnsi="方正仿宋_GBK" w:eastAsia="方正仿宋_GBK" w:cs="方正仿宋_GBK"/>
          <w:sz w:val="22"/>
          <w:szCs w:val="22"/>
          <w:lang w:val="en-US" w:eastAsia="zh-CN"/>
        </w:rPr>
        <w:sectPr>
          <w:footerReference r:id="rId8" w:type="default"/>
          <w:pgSz w:w="11906" w:h="16838"/>
          <w:pgMar w:top="1701" w:right="1474" w:bottom="1191" w:left="1587" w:header="851" w:footer="992" w:gutter="0"/>
          <w:pgNumType w:start="1"/>
          <w:cols w:space="425" w:num="1"/>
          <w:docGrid w:type="lines" w:linePitch="312" w:charSpace="0"/>
        </w:sectPr>
      </w:pPr>
      <w:r>
        <w:rPr>
          <w:rFonts w:hint="eastAsia" w:ascii="方正仿宋_GBK" w:hAnsi="方正仿宋_GBK" w:cs="方正仿宋_GBK"/>
          <w:sz w:val="22"/>
          <w:szCs w:val="22"/>
        </w:rPr>
        <w:t>注：</w:t>
      </w:r>
      <w:r>
        <w:rPr>
          <w:rFonts w:hint="eastAsia" w:ascii="方正仿宋_GBK" w:hAnsi="方正仿宋_GBK" w:cs="方正仿宋_GBK"/>
          <w:sz w:val="22"/>
          <w:szCs w:val="22"/>
          <w:lang w:eastAsia="zh-CN"/>
        </w:rPr>
        <w:t>上</w:t>
      </w:r>
      <w:r>
        <w:rPr>
          <w:rFonts w:hint="eastAsia" w:ascii="方正仿宋_GBK" w:hAnsi="方正仿宋_GBK" w:cs="方正仿宋_GBK"/>
          <w:sz w:val="22"/>
          <w:szCs w:val="22"/>
        </w:rPr>
        <w:t>表</w:t>
      </w:r>
      <w:r>
        <w:rPr>
          <w:rFonts w:hint="eastAsia" w:ascii="方正仿宋_GBK" w:hAnsi="方正仿宋_GBK" w:cs="方正仿宋_GBK"/>
          <w:sz w:val="22"/>
          <w:szCs w:val="22"/>
          <w:lang w:eastAsia="zh-CN"/>
        </w:rPr>
        <w:t>列举以外、符合政策规定的情形按照《自然资源部 生态环境部 国家林业和草原局关于加强生态保护红线管理的通知（试行）》《重庆市规划和自然资源局 重庆市生态环境局 重庆市林业局关于加强生态保护红线实施管理的通知》等执行。</w:t>
      </w:r>
    </w:p>
    <w:p w14:paraId="7E515CA2">
      <w:pPr>
        <w:pStyle w:val="4"/>
        <w:spacing w:line="240" w:lineRule="auto"/>
        <w:jc w:val="left"/>
        <w:rPr>
          <w:rFonts w:hint="default" w:eastAsia="方正仿宋_GBK" w:cs="方正仿宋_GB2312"/>
          <w:b w:val="0"/>
          <w:bCs/>
          <w:lang w:val="en-US"/>
        </w:rPr>
      </w:pPr>
      <w:r>
        <w:rPr>
          <w:rFonts w:hint="eastAsia" w:eastAsia="方正仿宋_GBK" w:cs="方正仿宋_GB2312"/>
          <w:b w:val="0"/>
          <w:bCs/>
          <w:lang w:val="en-US" w:eastAsia="zh-CN"/>
        </w:rPr>
        <w:t>附录</w:t>
      </w:r>
      <w:bookmarkEnd w:id="80"/>
      <w:r>
        <w:rPr>
          <w:rFonts w:hint="eastAsia" w:eastAsia="方正仿宋_GBK" w:cs="方正仿宋_GB2312"/>
          <w:b w:val="0"/>
          <w:bCs/>
          <w:lang w:val="en-US" w:eastAsia="zh-CN"/>
        </w:rPr>
        <w:t>5</w:t>
      </w:r>
    </w:p>
    <w:p w14:paraId="706E3B8B">
      <w:pPr>
        <w:pStyle w:val="5"/>
        <w:ind w:firstLine="0" w:firstLineChars="0"/>
        <w:jc w:val="center"/>
        <w:rPr>
          <w:rFonts w:ascii="Times New Roman" w:hAnsi="Times New Roman" w:eastAsia="方正小标宋_GBK" w:cs="方正小标宋_GBK"/>
          <w:b w:val="0"/>
          <w:bCs/>
          <w:kern w:val="44"/>
        </w:rPr>
      </w:pPr>
      <w:bookmarkStart w:id="86" w:name="_Toc2013134563_WPSOffice_Level2"/>
      <w:bookmarkStart w:id="87" w:name="_Toc1035974118_WPSOffice_Level2"/>
      <w:bookmarkStart w:id="88" w:name="_Toc5743"/>
      <w:bookmarkStart w:id="89" w:name="_Toc1380561974_WPSOffice_Level2"/>
      <w:r>
        <w:rPr>
          <w:rFonts w:hint="eastAsia" w:ascii="Times New Roman" w:hAnsi="Times New Roman" w:eastAsia="方正小标宋_GBK" w:cs="方正小标宋_GBK"/>
          <w:b w:val="0"/>
          <w:bCs/>
          <w:kern w:val="44"/>
        </w:rPr>
        <w:t>乡村地区负面管控清单</w:t>
      </w:r>
      <w:bookmarkEnd w:id="86"/>
      <w:bookmarkEnd w:id="87"/>
      <w:bookmarkEnd w:id="88"/>
      <w:bookmarkEnd w:id="89"/>
    </w:p>
    <w:tbl>
      <w:tblPr>
        <w:tblStyle w:val="23"/>
        <w:tblW w:w="8849" w:type="dxa"/>
        <w:tblInd w:w="102" w:type="dxa"/>
        <w:tblLayout w:type="fixed"/>
        <w:tblCellMar>
          <w:top w:w="0" w:type="dxa"/>
          <w:left w:w="108" w:type="dxa"/>
          <w:bottom w:w="0" w:type="dxa"/>
          <w:right w:w="108" w:type="dxa"/>
        </w:tblCellMar>
      </w:tblPr>
      <w:tblGrid>
        <w:gridCol w:w="1192"/>
        <w:gridCol w:w="7657"/>
      </w:tblGrid>
      <w:tr w14:paraId="7CA0F947">
        <w:tblPrEx>
          <w:tblCellMar>
            <w:top w:w="0" w:type="dxa"/>
            <w:left w:w="108" w:type="dxa"/>
            <w:bottom w:w="0" w:type="dxa"/>
            <w:right w:w="108" w:type="dxa"/>
          </w:tblCellMar>
        </w:tblPrEx>
        <w:trPr>
          <w:trHeight w:val="3526" w:hRule="atLeast"/>
        </w:trPr>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823CE">
            <w:pPr>
              <w:widowControl/>
              <w:spacing w:line="240" w:lineRule="auto"/>
              <w:ind w:firstLine="0" w:firstLineChars="0"/>
              <w:jc w:val="center"/>
              <w:textAlignment w:val="center"/>
              <w:rPr>
                <w:rFonts w:ascii="Times New Roman" w:hAnsi="Times New Roman" w:cs="方正仿宋_GBK"/>
                <w:b/>
                <w:bCs/>
                <w:sz w:val="24"/>
                <w:szCs w:val="24"/>
              </w:rPr>
            </w:pPr>
            <w:r>
              <w:rPr>
                <w:rFonts w:hint="eastAsia" w:ascii="Times New Roman" w:hAnsi="Times New Roman" w:cs="方正仿宋_GBK"/>
                <w:b/>
                <w:bCs/>
                <w:kern w:val="0"/>
                <w:sz w:val="24"/>
                <w:szCs w:val="24"/>
                <w:lang w:bidi="ar"/>
              </w:rPr>
              <w:t>永久基本农田占用</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6EAFA">
            <w:pPr>
              <w:widowControl/>
              <w:spacing w:line="240" w:lineRule="auto"/>
              <w:ind w:firstLine="0" w:firstLineChars="0"/>
              <w:jc w:val="left"/>
              <w:textAlignment w:val="center"/>
              <w:rPr>
                <w:rFonts w:ascii="Times New Roman" w:hAnsi="Times New Roman" w:cs="方正仿宋_GBK"/>
                <w:sz w:val="24"/>
                <w:szCs w:val="24"/>
              </w:rPr>
            </w:pPr>
            <w:r>
              <w:rPr>
                <w:rFonts w:hint="eastAsia" w:ascii="Times New Roman" w:hAnsi="Times New Roman" w:cs="方正仿宋_GBK"/>
                <w:kern w:val="0"/>
                <w:sz w:val="24"/>
                <w:szCs w:val="24"/>
                <w:lang w:bidi="ar"/>
              </w:rPr>
              <w:t>1.永久基本农田不得转为林地、草地、园地等其他农用地及农业设施建设用地；</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2.严禁占用永久基本农田发展林果业和挖塘养鱼；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3.严禁占用永久基本农田种植苗木、草皮等用于绿化装饰以及其他破坏耕作层的植物；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4.严禁占用永久基本农田挖湖造景、建设绿化带；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5.严禁新增占用永久基本农田建设畜禽养殖设施、水产养殖设施和破坏耕作层的种植业设施；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6.严禁任何单位和个人在永久基本农田上建窑、建房、建坟、挖砂、采石、取土、堆放固体废弃物或者进行其他破坏永久基本农田的活动；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7.严禁在城乡建设中以单个项目占用为目的擅自调整永久基本农田。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8.其他法律、法规、国家政策文件规定的限制和禁止情形。</w:t>
            </w:r>
          </w:p>
        </w:tc>
      </w:tr>
      <w:tr w14:paraId="0E13319B">
        <w:tblPrEx>
          <w:tblCellMar>
            <w:top w:w="0" w:type="dxa"/>
            <w:left w:w="108" w:type="dxa"/>
            <w:bottom w:w="0" w:type="dxa"/>
            <w:right w:w="108" w:type="dxa"/>
          </w:tblCellMar>
        </w:tblPrEx>
        <w:trPr>
          <w:trHeight w:val="3563" w:hRule="atLeast"/>
        </w:trPr>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E00EE">
            <w:pPr>
              <w:widowControl/>
              <w:spacing w:line="240" w:lineRule="auto"/>
              <w:ind w:firstLine="0" w:firstLineChars="0"/>
              <w:jc w:val="center"/>
              <w:textAlignment w:val="center"/>
              <w:rPr>
                <w:rFonts w:ascii="Times New Roman" w:hAnsi="Times New Roman" w:cs="方正仿宋_GBK"/>
                <w:b/>
                <w:bCs/>
                <w:sz w:val="24"/>
                <w:szCs w:val="24"/>
              </w:rPr>
            </w:pPr>
            <w:r>
              <w:rPr>
                <w:rFonts w:hint="eastAsia" w:ascii="Times New Roman" w:hAnsi="Times New Roman" w:cs="方正仿宋_GBK"/>
                <w:b/>
                <w:bCs/>
                <w:kern w:val="0"/>
                <w:sz w:val="24"/>
                <w:szCs w:val="24"/>
                <w:lang w:bidi="ar"/>
              </w:rPr>
              <w:t>一般耕地占用</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027DD">
            <w:pPr>
              <w:widowControl/>
              <w:spacing w:line="240" w:lineRule="auto"/>
              <w:ind w:firstLine="0" w:firstLineChars="0"/>
              <w:jc w:val="left"/>
              <w:textAlignment w:val="center"/>
              <w:rPr>
                <w:rFonts w:ascii="Times New Roman" w:hAnsi="Times New Roman" w:cs="方正仿宋_GBK"/>
                <w:sz w:val="24"/>
                <w:szCs w:val="24"/>
              </w:rPr>
            </w:pPr>
            <w:r>
              <w:rPr>
                <w:rFonts w:hint="eastAsia" w:ascii="Times New Roman" w:hAnsi="Times New Roman" w:cs="方正仿宋_GBK"/>
                <w:kern w:val="0"/>
                <w:sz w:val="24"/>
                <w:szCs w:val="24"/>
                <w:lang w:bidi="ar"/>
              </w:rPr>
              <w:t xml:space="preserve">1.不得在一般耕地上挖湖造景、种植草皮；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2.不得在国家批准的生态退耕规划和计划外擅自扩大退耕还林还草还湿还湖规模；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3.不得违规超标准在铁路、公路等用地红线外，以及河渠两侧、水库周边占用一般耕地种树建设绿化带；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4.未经批准不得占用一般耕地实施国土绿化；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5.未经批准工商企业等社会资本不得将通过流转获得土地经营权的一般耕地转为林地、园地等其他农用地；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6.禁止占用耕地建窑、建坟或者擅自在耕地上建房、挖砂、采石、采矿、取土等；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7.严禁以设施农业为名占用耕地违法违规建设与农业发展无关的设施；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8.严禁在农业大棚内违法违规占用耕地建设住宅、餐饮、娱乐等非农设施；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9.其他法律、法规、国家政策文件规定的限制和禁止情形。</w:t>
            </w:r>
          </w:p>
        </w:tc>
      </w:tr>
      <w:tr w14:paraId="7DD64598">
        <w:tblPrEx>
          <w:tblCellMar>
            <w:top w:w="0" w:type="dxa"/>
            <w:left w:w="108" w:type="dxa"/>
            <w:bottom w:w="0" w:type="dxa"/>
            <w:right w:w="108" w:type="dxa"/>
          </w:tblCellMar>
        </w:tblPrEx>
        <w:trPr>
          <w:trHeight w:val="1818" w:hRule="atLeast"/>
        </w:trPr>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1A595">
            <w:pPr>
              <w:widowControl/>
              <w:spacing w:line="240" w:lineRule="auto"/>
              <w:ind w:firstLine="0" w:firstLineChars="0"/>
              <w:jc w:val="center"/>
              <w:textAlignment w:val="center"/>
              <w:rPr>
                <w:rFonts w:ascii="Times New Roman" w:hAnsi="Times New Roman" w:cs="方正仿宋_GBK"/>
                <w:b/>
                <w:bCs/>
                <w:sz w:val="24"/>
                <w:szCs w:val="24"/>
              </w:rPr>
            </w:pPr>
            <w:r>
              <w:rPr>
                <w:rFonts w:hint="eastAsia" w:ascii="Times New Roman" w:hAnsi="Times New Roman" w:cs="方正仿宋_GBK"/>
                <w:b/>
                <w:bCs/>
                <w:kern w:val="0"/>
                <w:sz w:val="24"/>
                <w:szCs w:val="24"/>
                <w:lang w:bidi="ar"/>
              </w:rPr>
              <w:t>生态空间</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7FD83">
            <w:pPr>
              <w:widowControl/>
              <w:spacing w:line="240" w:lineRule="auto"/>
              <w:ind w:firstLine="0" w:firstLineChars="0"/>
              <w:jc w:val="left"/>
              <w:textAlignment w:val="center"/>
              <w:rPr>
                <w:rFonts w:ascii="Times New Roman" w:hAnsi="Times New Roman" w:cs="方正仿宋_GBK"/>
                <w:sz w:val="24"/>
                <w:szCs w:val="24"/>
              </w:rPr>
            </w:pPr>
            <w:r>
              <w:rPr>
                <w:rFonts w:hint="eastAsia" w:ascii="Times New Roman" w:hAnsi="Times New Roman" w:cs="方正仿宋_GBK"/>
                <w:kern w:val="0"/>
                <w:sz w:val="24"/>
                <w:szCs w:val="24"/>
                <w:lang w:bidi="ar"/>
              </w:rPr>
              <w:t xml:space="preserve">1.严禁以土地综合整治名义调整生态保护红线；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2.严禁破坏生态环境砍树挖山填湖，严禁违法占用林地、湿地、草地，不得采伐古树名木，不得以整治名义擅自毁林开垦；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3.禁止毁坏森林、草原开垦耕地，禁止围湖造田和侵占江河滩地；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4.禁止违法占用、损害自然岸线；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5.各类建设项目不得使用Ⅰ级保护林地；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6.其他法律、法规、国家政策文件规定的限制和禁止情形。</w:t>
            </w:r>
          </w:p>
        </w:tc>
      </w:tr>
      <w:tr w14:paraId="258A98F9">
        <w:tblPrEx>
          <w:tblCellMar>
            <w:top w:w="0" w:type="dxa"/>
            <w:left w:w="108" w:type="dxa"/>
            <w:bottom w:w="0" w:type="dxa"/>
            <w:right w:w="108" w:type="dxa"/>
          </w:tblCellMar>
        </w:tblPrEx>
        <w:trPr>
          <w:trHeight w:val="90" w:hRule="atLeast"/>
        </w:trPr>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14693">
            <w:pPr>
              <w:widowControl/>
              <w:spacing w:line="240" w:lineRule="auto"/>
              <w:ind w:firstLine="0" w:firstLineChars="0"/>
              <w:jc w:val="center"/>
              <w:textAlignment w:val="center"/>
              <w:rPr>
                <w:rFonts w:ascii="Times New Roman" w:hAnsi="Times New Roman" w:cs="方正仿宋_GBK"/>
                <w:b/>
                <w:bCs/>
                <w:sz w:val="24"/>
                <w:szCs w:val="24"/>
              </w:rPr>
            </w:pPr>
            <w:r>
              <w:rPr>
                <w:rFonts w:hint="eastAsia" w:ascii="Times New Roman" w:hAnsi="Times New Roman" w:cs="方正仿宋_GBK"/>
                <w:b/>
                <w:bCs/>
                <w:kern w:val="0"/>
                <w:sz w:val="24"/>
                <w:szCs w:val="24"/>
                <w:lang w:bidi="ar"/>
              </w:rPr>
              <w:t>文物保护</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52FBC">
            <w:pPr>
              <w:widowControl/>
              <w:spacing w:line="240" w:lineRule="auto"/>
              <w:ind w:firstLine="0" w:firstLineChars="0"/>
              <w:jc w:val="left"/>
              <w:textAlignment w:val="center"/>
              <w:rPr>
                <w:rFonts w:ascii="Times New Roman" w:hAnsi="Times New Roman" w:cs="方正仿宋_GBK"/>
                <w:sz w:val="24"/>
                <w:szCs w:val="24"/>
              </w:rPr>
            </w:pPr>
            <w:r>
              <w:rPr>
                <w:rFonts w:hint="eastAsia" w:ascii="Times New Roman" w:hAnsi="Times New Roman" w:cs="方正仿宋_GBK"/>
                <w:kern w:val="0"/>
                <w:sz w:val="24"/>
                <w:szCs w:val="24"/>
                <w:lang w:bidi="ar"/>
              </w:rPr>
              <w:t xml:space="preserve">1.禁止在文物保护单位保护范围内进行新建、改建、扩建工程（抢险加固工程除外），禁止破坏文物本体、挖掘地下文物、堆放易燃易爆物品；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2.禁止在文物保护单位建设控制地带内建设与文物历史风貌不协调的高层建筑、工业设施，禁止擅自拆除、迁移文物建筑；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3.禁止损毁文物保护单位标志、界桩；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4.禁止未经文物行政部门批准，擅自对文物建筑进行修缮、装饰及改变文物建筑原有结构、材质、外观。</w:t>
            </w:r>
          </w:p>
        </w:tc>
      </w:tr>
      <w:tr w14:paraId="7418403D">
        <w:tblPrEx>
          <w:tblCellMar>
            <w:top w:w="0" w:type="dxa"/>
            <w:left w:w="108" w:type="dxa"/>
            <w:bottom w:w="0" w:type="dxa"/>
            <w:right w:w="108" w:type="dxa"/>
          </w:tblCellMar>
        </w:tblPrEx>
        <w:trPr>
          <w:trHeight w:val="4624" w:hRule="atLeast"/>
        </w:trPr>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B7C5">
            <w:pPr>
              <w:widowControl/>
              <w:spacing w:line="240" w:lineRule="auto"/>
              <w:ind w:firstLine="0" w:firstLineChars="0"/>
              <w:jc w:val="center"/>
              <w:textAlignment w:val="center"/>
              <w:rPr>
                <w:rFonts w:ascii="Times New Roman" w:hAnsi="Times New Roman" w:cs="方正仿宋_GBK"/>
                <w:b/>
                <w:bCs/>
                <w:sz w:val="24"/>
                <w:szCs w:val="24"/>
              </w:rPr>
            </w:pPr>
            <w:r>
              <w:rPr>
                <w:rFonts w:hint="eastAsia" w:ascii="Times New Roman" w:hAnsi="Times New Roman" w:cs="方正仿宋_GBK"/>
                <w:b/>
                <w:bCs/>
                <w:kern w:val="0"/>
                <w:sz w:val="24"/>
                <w:szCs w:val="24"/>
                <w:lang w:bidi="ar"/>
              </w:rPr>
              <w:t>农村建房</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90593">
            <w:pPr>
              <w:widowControl/>
              <w:spacing w:line="240" w:lineRule="auto"/>
              <w:ind w:firstLine="0" w:firstLineChars="0"/>
              <w:jc w:val="left"/>
              <w:textAlignment w:val="center"/>
              <w:rPr>
                <w:rFonts w:ascii="Times New Roman" w:hAnsi="Times New Roman" w:cs="方正仿宋_GBK"/>
                <w:sz w:val="24"/>
                <w:szCs w:val="24"/>
              </w:rPr>
            </w:pPr>
            <w:r>
              <w:rPr>
                <w:rFonts w:hint="eastAsia" w:ascii="Times New Roman" w:hAnsi="Times New Roman" w:cs="方正仿宋_GBK"/>
                <w:kern w:val="0"/>
                <w:sz w:val="24"/>
                <w:szCs w:val="24"/>
                <w:lang w:bidi="ar"/>
              </w:rPr>
              <w:t xml:space="preserve">1.不准占用永久基本农田建房；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2.不准强占多占耕地建房；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3.不准买卖、流转耕地违法建房；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4.不准在承包耕地上违法建房；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5.不准巧立名目违法占用耕地建房；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6.不准违反“一户一宅”规定占用耕地建房；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7.不准非法出售占用耕地建设的房屋；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8.不准违法审批占用耕地建房；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9.不允许城镇居民到农村购买农房、宅基地，不允许退休干部到农村占地建房；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10.严禁借流转之名违法违规圈占、买卖宅基地；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11.禁止违背农村村民意愿强制流转宅基地，禁止违法收回农村村民依法取得的宅基地，禁止以退出宅基地作为农村村民进城落户的条件，不得强制农民搬迁和上楼居住；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12.严禁违背农民意愿撤并村庄、搞大社区；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13.其他法律、法规、国家政策文件规定的限制和禁止情形。</w:t>
            </w:r>
          </w:p>
        </w:tc>
      </w:tr>
      <w:tr w14:paraId="3C999C42">
        <w:tblPrEx>
          <w:tblCellMar>
            <w:top w:w="0" w:type="dxa"/>
            <w:left w:w="108" w:type="dxa"/>
            <w:bottom w:w="0" w:type="dxa"/>
            <w:right w:w="108" w:type="dxa"/>
          </w:tblCellMar>
        </w:tblPrEx>
        <w:trPr>
          <w:trHeight w:val="1588" w:hRule="atLeast"/>
        </w:trPr>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B89A2">
            <w:pPr>
              <w:widowControl/>
              <w:spacing w:line="240" w:lineRule="auto"/>
              <w:ind w:firstLine="0" w:firstLineChars="0"/>
              <w:jc w:val="center"/>
              <w:textAlignment w:val="center"/>
              <w:rPr>
                <w:rFonts w:ascii="Times New Roman" w:hAnsi="Times New Roman" w:cs="方正仿宋_GBK"/>
                <w:b/>
                <w:bCs/>
                <w:sz w:val="24"/>
                <w:szCs w:val="24"/>
              </w:rPr>
            </w:pPr>
            <w:r>
              <w:rPr>
                <w:rFonts w:hint="eastAsia" w:ascii="Times New Roman" w:hAnsi="Times New Roman" w:cs="方正仿宋_GBK"/>
                <w:b/>
                <w:bCs/>
                <w:kern w:val="0"/>
                <w:sz w:val="24"/>
                <w:szCs w:val="24"/>
                <w:lang w:bidi="ar"/>
              </w:rPr>
              <w:t>农村产业用地</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99B7D">
            <w:pPr>
              <w:widowControl/>
              <w:spacing w:line="240" w:lineRule="auto"/>
              <w:ind w:firstLine="0" w:firstLineChars="0"/>
              <w:jc w:val="left"/>
              <w:textAlignment w:val="center"/>
              <w:rPr>
                <w:rFonts w:ascii="Times New Roman" w:hAnsi="Times New Roman" w:cs="方正仿宋_GBK"/>
                <w:sz w:val="24"/>
                <w:szCs w:val="24"/>
              </w:rPr>
            </w:pPr>
            <w:r>
              <w:rPr>
                <w:rFonts w:hint="eastAsia" w:ascii="Times New Roman" w:hAnsi="Times New Roman" w:cs="方正仿宋_GBK"/>
                <w:kern w:val="0"/>
                <w:sz w:val="24"/>
                <w:szCs w:val="24"/>
                <w:lang w:bidi="ar"/>
              </w:rPr>
              <w:t xml:space="preserve">1.不得占用永久基本农田；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2.商品住宅、别墅、庄园、公寓等房地产项目；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3.国家淘汰类产能、不符合生态环境保护要求的高污染产业项目；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4.列入《市场准入负面清单（2025年版）》禁止准入类的项目； </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5.其他法律、法规、政策文件规定的限制和禁止情形。</w:t>
            </w:r>
          </w:p>
        </w:tc>
      </w:tr>
      <w:tr w14:paraId="20242744">
        <w:tblPrEx>
          <w:tblCellMar>
            <w:top w:w="0" w:type="dxa"/>
            <w:left w:w="108" w:type="dxa"/>
            <w:bottom w:w="0" w:type="dxa"/>
            <w:right w:w="108" w:type="dxa"/>
          </w:tblCellMar>
        </w:tblPrEx>
        <w:trPr>
          <w:trHeight w:val="200" w:hRule="atLeast"/>
        </w:trPr>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AE4F8">
            <w:pPr>
              <w:widowControl/>
              <w:spacing w:line="240" w:lineRule="auto"/>
              <w:ind w:firstLine="0" w:firstLineChars="0"/>
              <w:jc w:val="center"/>
              <w:textAlignment w:val="center"/>
              <w:rPr>
                <w:rFonts w:ascii="Times New Roman" w:hAnsi="Times New Roman" w:cs="方正仿宋_GBK"/>
                <w:b/>
                <w:bCs/>
                <w:sz w:val="24"/>
                <w:szCs w:val="24"/>
              </w:rPr>
            </w:pPr>
            <w:r>
              <w:rPr>
                <w:rFonts w:hint="eastAsia" w:ascii="Times New Roman" w:hAnsi="Times New Roman" w:cs="方正仿宋_GBK"/>
                <w:b/>
                <w:bCs/>
                <w:kern w:val="0"/>
                <w:sz w:val="24"/>
                <w:szCs w:val="24"/>
                <w:highlight w:val="none"/>
                <w:lang w:bidi="ar"/>
              </w:rPr>
              <w:t>建筑风貌</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4F12">
            <w:pPr>
              <w:widowControl/>
              <w:spacing w:line="240" w:lineRule="auto"/>
              <w:ind w:firstLine="0" w:firstLineChars="0"/>
              <w:jc w:val="left"/>
              <w:textAlignment w:val="center"/>
              <w:rPr>
                <w:rFonts w:ascii="Times New Roman" w:hAnsi="Times New Roman" w:cs="方正仿宋_GBK"/>
                <w:sz w:val="24"/>
                <w:szCs w:val="24"/>
              </w:rPr>
            </w:pPr>
            <w:r>
              <w:rPr>
                <w:rFonts w:hint="eastAsia" w:ascii="Times New Roman" w:hAnsi="Times New Roman" w:cs="方正仿宋_GBK"/>
                <w:kern w:val="0"/>
                <w:sz w:val="24"/>
                <w:szCs w:val="24"/>
                <w:lang w:bidi="ar"/>
              </w:rPr>
              <w:t>1.建筑布局不应过于分散，不应出现呆板的行列式布局形式；</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highlight w:val="none"/>
                <w:lang w:bidi="ar"/>
              </w:rPr>
              <w:t>2.不应修建体量庞大、横长矮胖、尺度夸张的建筑；</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3.禁止使用怪异、低俗夸张、与周边环境格格不入的建筑风格；</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4.不应使用与整体风貌不符的过于鲜艳的颜色；</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5.不宜出现裸露的水泥墙面，严禁墙身贴广告，不应出现阴阳面墙身；</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6.建筑墙面不宜采用瓷砖、大理石，建筑屋面不宜采用彩钢棚、石棉瓦，建筑门窗、栏杆等细部构件不宜采用花瓶柱、不锈钢等材料；</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7.不应新建尺度夸张、比例失调的大广场、大标志、大牌坊</w:t>
            </w:r>
            <w:r>
              <w:rPr>
                <w:rFonts w:hint="eastAsia" w:cs="方正仿宋_GBK"/>
                <w:kern w:val="0"/>
                <w:sz w:val="24"/>
                <w:szCs w:val="24"/>
                <w:lang w:eastAsia="zh-CN" w:bidi="ar"/>
              </w:rPr>
              <w:t>（</w:t>
            </w:r>
            <w:r>
              <w:rPr>
                <w:rFonts w:hint="eastAsia" w:ascii="Times New Roman" w:hAnsi="Times New Roman" w:cs="方正仿宋_GBK"/>
                <w:kern w:val="0"/>
                <w:sz w:val="24"/>
                <w:szCs w:val="24"/>
                <w:lang w:bidi="ar"/>
              </w:rPr>
              <w:t>门楼</w:t>
            </w:r>
            <w:r>
              <w:rPr>
                <w:rFonts w:hint="eastAsia" w:cs="方正仿宋_GBK"/>
                <w:kern w:val="0"/>
                <w:sz w:val="24"/>
                <w:szCs w:val="24"/>
                <w:lang w:eastAsia="zh-CN" w:bidi="ar"/>
              </w:rPr>
              <w:t>）</w:t>
            </w:r>
            <w:r>
              <w:rPr>
                <w:rFonts w:hint="eastAsia" w:ascii="Times New Roman" w:hAnsi="Times New Roman" w:cs="方正仿宋_GBK"/>
                <w:kern w:val="0"/>
                <w:sz w:val="24"/>
                <w:szCs w:val="24"/>
                <w:lang w:bidi="ar"/>
              </w:rPr>
              <w:t>等“形象工程”；</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8.其他法律、法规、政策文件规定的限制和禁止情形。</w:t>
            </w:r>
          </w:p>
        </w:tc>
      </w:tr>
      <w:bookmarkEnd w:id="81"/>
      <w:bookmarkEnd w:id="82"/>
      <w:bookmarkEnd w:id="83"/>
      <w:bookmarkEnd w:id="84"/>
      <w:bookmarkEnd w:id="85"/>
    </w:tbl>
    <w:p w14:paraId="0AF45077">
      <w:pPr>
        <w:pStyle w:val="4"/>
        <w:spacing w:line="240" w:lineRule="auto"/>
        <w:jc w:val="left"/>
        <w:rPr>
          <w:rFonts w:hint="eastAsia" w:eastAsia="方正仿宋_GBK" w:cs="方正仿宋_GB2312"/>
          <w:b w:val="0"/>
          <w:bCs/>
          <w:lang w:val="en-US" w:eastAsia="zh-CN"/>
        </w:rPr>
        <w:sectPr>
          <w:pgSz w:w="11906" w:h="16838"/>
          <w:pgMar w:top="1701" w:right="1474" w:bottom="1191" w:left="1587" w:header="851" w:footer="992" w:gutter="0"/>
          <w:pgNumType w:start="1"/>
          <w:cols w:space="425" w:num="1"/>
          <w:docGrid w:type="lines" w:linePitch="312" w:charSpace="0"/>
        </w:sectPr>
      </w:pPr>
      <w:bookmarkStart w:id="90" w:name="_Toc32683"/>
    </w:p>
    <w:p w14:paraId="70007BBF">
      <w:pPr>
        <w:pStyle w:val="4"/>
        <w:spacing w:line="240" w:lineRule="auto"/>
        <w:jc w:val="left"/>
        <w:rPr>
          <w:rFonts w:hint="default" w:eastAsia="方正仿宋_GBK"/>
          <w:b w:val="0"/>
          <w:sz w:val="30"/>
          <w:szCs w:val="44"/>
          <w:lang w:val="en-US"/>
        </w:rPr>
      </w:pPr>
      <w:r>
        <w:rPr>
          <w:rFonts w:hint="eastAsia" w:eastAsia="方正仿宋_GBK" w:cs="方正仿宋_GB2312"/>
          <w:b w:val="0"/>
          <w:bCs/>
          <w:lang w:val="en-US" w:eastAsia="zh-CN"/>
        </w:rPr>
        <w:t>附录</w:t>
      </w:r>
      <w:bookmarkEnd w:id="90"/>
      <w:r>
        <w:rPr>
          <w:rFonts w:hint="eastAsia" w:eastAsia="方正仿宋_GBK" w:cs="方正仿宋_GB2312"/>
          <w:b w:val="0"/>
          <w:bCs/>
          <w:lang w:val="en-US" w:eastAsia="zh-CN"/>
        </w:rPr>
        <w:t>6</w:t>
      </w:r>
    </w:p>
    <w:p w14:paraId="041800CA">
      <w:pPr>
        <w:pStyle w:val="5"/>
        <w:ind w:firstLine="0" w:firstLineChars="0"/>
        <w:jc w:val="center"/>
        <w:rPr>
          <w:rFonts w:ascii="Times New Roman" w:hAnsi="Times New Roman" w:eastAsia="方正小标宋_GBK" w:cs="方正小标宋_GBK"/>
          <w:b w:val="0"/>
          <w:bCs/>
          <w:kern w:val="44"/>
        </w:rPr>
      </w:pPr>
      <w:bookmarkStart w:id="91" w:name="_Toc12684"/>
      <w:r>
        <w:rPr>
          <w:rFonts w:hint="eastAsia" w:ascii="Times New Roman" w:hAnsi="Times New Roman" w:eastAsia="方正小标宋_GBK" w:cs="方正小标宋_GBK"/>
          <w:b w:val="0"/>
          <w:bCs/>
          <w:kern w:val="44"/>
        </w:rPr>
        <w:t>核心规划指标表</w:t>
      </w:r>
      <w:bookmarkEnd w:id="91"/>
    </w:p>
    <w:tbl>
      <w:tblPr>
        <w:tblStyle w:val="23"/>
        <w:tblW w:w="9157"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2111"/>
        <w:gridCol w:w="1349"/>
        <w:gridCol w:w="1845"/>
        <w:gridCol w:w="1350"/>
        <w:gridCol w:w="1590"/>
      </w:tblGrid>
      <w:tr w14:paraId="3EF6F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2" w:type="dxa"/>
            <w:noWrap/>
            <w:vAlign w:val="center"/>
          </w:tcPr>
          <w:p w14:paraId="6269947D">
            <w:pPr>
              <w:widowControl/>
              <w:ind w:firstLine="0" w:firstLineChars="0"/>
              <w:jc w:val="center"/>
              <w:textAlignment w:val="center"/>
              <w:rPr>
                <w:rFonts w:ascii="Times New Roman" w:hAnsi="Times New Roman" w:cs="方正仿宋_GBK"/>
                <w:b/>
                <w:bCs/>
                <w:sz w:val="24"/>
                <w:szCs w:val="24"/>
                <w:highlight w:val="none"/>
              </w:rPr>
            </w:pPr>
            <w:r>
              <w:rPr>
                <w:rFonts w:hint="eastAsia" w:ascii="Times New Roman" w:hAnsi="Times New Roman" w:cs="方正仿宋_GBK"/>
                <w:b/>
                <w:bCs/>
                <w:kern w:val="0"/>
                <w:sz w:val="24"/>
                <w:szCs w:val="24"/>
                <w:highlight w:val="none"/>
                <w:lang w:bidi="ar"/>
              </w:rPr>
              <w:t>序号</w:t>
            </w:r>
          </w:p>
        </w:tc>
        <w:tc>
          <w:tcPr>
            <w:tcW w:w="2111" w:type="dxa"/>
            <w:noWrap/>
            <w:vAlign w:val="center"/>
          </w:tcPr>
          <w:p w14:paraId="7578313D">
            <w:pPr>
              <w:widowControl/>
              <w:ind w:firstLine="0" w:firstLineChars="0"/>
              <w:jc w:val="center"/>
              <w:textAlignment w:val="center"/>
              <w:rPr>
                <w:rFonts w:ascii="Times New Roman" w:hAnsi="Times New Roman" w:cs="方正仿宋_GBK"/>
                <w:b/>
                <w:bCs/>
                <w:sz w:val="24"/>
                <w:szCs w:val="24"/>
                <w:highlight w:val="none"/>
              </w:rPr>
            </w:pPr>
            <w:r>
              <w:rPr>
                <w:rFonts w:hint="eastAsia" w:ascii="Times New Roman" w:hAnsi="Times New Roman" w:cs="方正仿宋_GBK"/>
                <w:b/>
                <w:bCs/>
                <w:kern w:val="0"/>
                <w:sz w:val="24"/>
                <w:szCs w:val="24"/>
                <w:highlight w:val="none"/>
                <w:lang w:bidi="ar"/>
              </w:rPr>
              <w:t>指标项</w:t>
            </w:r>
          </w:p>
        </w:tc>
        <w:tc>
          <w:tcPr>
            <w:tcW w:w="1349" w:type="dxa"/>
            <w:noWrap/>
            <w:vAlign w:val="center"/>
          </w:tcPr>
          <w:p w14:paraId="7E5579C9">
            <w:pPr>
              <w:widowControl/>
              <w:ind w:firstLine="0" w:firstLineChars="0"/>
              <w:jc w:val="center"/>
              <w:textAlignment w:val="center"/>
              <w:rPr>
                <w:rFonts w:ascii="Times New Roman" w:hAnsi="Times New Roman" w:cs="方正仿宋_GBK"/>
                <w:b/>
                <w:bCs/>
                <w:sz w:val="24"/>
                <w:szCs w:val="24"/>
                <w:highlight w:val="none"/>
              </w:rPr>
            </w:pPr>
            <w:r>
              <w:rPr>
                <w:rFonts w:hint="eastAsia" w:ascii="Times New Roman" w:hAnsi="Times New Roman" w:cs="方正仿宋_GBK"/>
                <w:b/>
                <w:bCs/>
                <w:kern w:val="0"/>
                <w:sz w:val="24"/>
                <w:szCs w:val="24"/>
                <w:highlight w:val="none"/>
                <w:lang w:bidi="ar"/>
              </w:rPr>
              <w:t>指标属性</w:t>
            </w:r>
          </w:p>
        </w:tc>
        <w:tc>
          <w:tcPr>
            <w:tcW w:w="1845" w:type="dxa"/>
            <w:noWrap/>
            <w:vAlign w:val="center"/>
          </w:tcPr>
          <w:p w14:paraId="5BFA0C15">
            <w:pPr>
              <w:widowControl/>
              <w:ind w:firstLine="0" w:firstLineChars="0"/>
              <w:jc w:val="center"/>
              <w:textAlignment w:val="center"/>
              <w:rPr>
                <w:rFonts w:ascii="Times New Roman" w:hAnsi="Times New Roman" w:cs="方正仿宋_GBK"/>
                <w:b/>
                <w:bCs/>
                <w:sz w:val="24"/>
                <w:szCs w:val="24"/>
                <w:highlight w:val="none"/>
              </w:rPr>
            </w:pPr>
            <w:r>
              <w:rPr>
                <w:rFonts w:hint="eastAsia" w:ascii="Times New Roman" w:hAnsi="Times New Roman" w:cs="方正仿宋_GBK"/>
                <w:b/>
                <w:bCs/>
                <w:kern w:val="0"/>
                <w:sz w:val="24"/>
                <w:szCs w:val="24"/>
                <w:highlight w:val="none"/>
                <w:lang w:bidi="ar"/>
              </w:rPr>
              <w:t>指标层级</w:t>
            </w:r>
          </w:p>
        </w:tc>
        <w:tc>
          <w:tcPr>
            <w:tcW w:w="1350" w:type="dxa"/>
            <w:noWrap/>
            <w:vAlign w:val="center"/>
          </w:tcPr>
          <w:p w14:paraId="6D6D0D0D">
            <w:pPr>
              <w:widowControl/>
              <w:ind w:firstLine="0" w:firstLineChars="0"/>
              <w:jc w:val="center"/>
              <w:textAlignment w:val="center"/>
              <w:rPr>
                <w:rFonts w:ascii="Times New Roman" w:hAnsi="Times New Roman" w:cs="方正仿宋_GBK"/>
                <w:b/>
                <w:bCs/>
                <w:sz w:val="24"/>
                <w:szCs w:val="24"/>
                <w:highlight w:val="none"/>
              </w:rPr>
            </w:pPr>
            <w:r>
              <w:rPr>
                <w:rFonts w:hint="eastAsia" w:ascii="Times New Roman" w:hAnsi="Times New Roman" w:cs="方正仿宋_GBK"/>
                <w:b/>
                <w:bCs/>
                <w:kern w:val="0"/>
                <w:sz w:val="24"/>
                <w:szCs w:val="24"/>
                <w:highlight w:val="none"/>
                <w:lang w:bidi="ar"/>
              </w:rPr>
              <w:t>单位</w:t>
            </w:r>
          </w:p>
        </w:tc>
        <w:tc>
          <w:tcPr>
            <w:tcW w:w="1590" w:type="dxa"/>
            <w:noWrap/>
            <w:vAlign w:val="center"/>
          </w:tcPr>
          <w:p w14:paraId="6B5886E7">
            <w:pPr>
              <w:widowControl/>
              <w:ind w:firstLine="0" w:firstLineChars="0"/>
              <w:jc w:val="center"/>
              <w:textAlignment w:val="center"/>
              <w:rPr>
                <w:rFonts w:ascii="Times New Roman" w:hAnsi="Times New Roman" w:cs="方正仿宋_GBK"/>
                <w:b/>
                <w:bCs/>
                <w:sz w:val="24"/>
                <w:szCs w:val="24"/>
                <w:highlight w:val="yellow"/>
              </w:rPr>
            </w:pPr>
            <w:r>
              <w:rPr>
                <w:rFonts w:hint="eastAsia" w:ascii="Times New Roman" w:hAnsi="Times New Roman" w:cs="方正仿宋_GBK"/>
                <w:b/>
                <w:bCs/>
                <w:kern w:val="0"/>
                <w:sz w:val="24"/>
                <w:szCs w:val="24"/>
                <w:highlight w:val="none"/>
                <w:lang w:bidi="ar"/>
              </w:rPr>
              <w:t>规划指标</w:t>
            </w:r>
          </w:p>
        </w:tc>
      </w:tr>
      <w:tr w14:paraId="64EF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12" w:type="dxa"/>
            <w:noWrap/>
            <w:vAlign w:val="center"/>
          </w:tcPr>
          <w:p w14:paraId="73EA7CF1">
            <w:pPr>
              <w:pStyle w:val="37"/>
              <w:rPr>
                <w:rFonts w:ascii="Times New Roman" w:hAnsi="Times New Roman"/>
                <w:highlight w:val="none"/>
              </w:rPr>
            </w:pPr>
            <w:r>
              <w:rPr>
                <w:rFonts w:hint="eastAsia" w:ascii="Times New Roman" w:hAnsi="Times New Roman"/>
                <w:highlight w:val="none"/>
              </w:rPr>
              <w:t>1</w:t>
            </w:r>
          </w:p>
        </w:tc>
        <w:tc>
          <w:tcPr>
            <w:tcW w:w="2111" w:type="dxa"/>
            <w:noWrap/>
            <w:vAlign w:val="center"/>
          </w:tcPr>
          <w:p w14:paraId="51A916A4">
            <w:pPr>
              <w:pStyle w:val="37"/>
              <w:rPr>
                <w:rFonts w:ascii="Times New Roman" w:hAnsi="Times New Roman"/>
                <w:highlight w:val="none"/>
              </w:rPr>
            </w:pPr>
            <w:r>
              <w:rPr>
                <w:rFonts w:hint="eastAsia" w:ascii="Times New Roman" w:hAnsi="Times New Roman"/>
                <w:highlight w:val="none"/>
              </w:rPr>
              <w:t>耕地保有量</w:t>
            </w:r>
          </w:p>
        </w:tc>
        <w:tc>
          <w:tcPr>
            <w:tcW w:w="1349" w:type="dxa"/>
            <w:noWrap/>
            <w:vAlign w:val="center"/>
          </w:tcPr>
          <w:p w14:paraId="4BE96701">
            <w:pPr>
              <w:pStyle w:val="37"/>
              <w:rPr>
                <w:rFonts w:ascii="Times New Roman" w:hAnsi="Times New Roman"/>
                <w:highlight w:val="none"/>
              </w:rPr>
            </w:pPr>
            <w:r>
              <w:rPr>
                <w:rFonts w:hint="eastAsia" w:ascii="Times New Roman" w:hAnsi="Times New Roman"/>
                <w:highlight w:val="none"/>
              </w:rPr>
              <w:t>约束性</w:t>
            </w:r>
          </w:p>
        </w:tc>
        <w:tc>
          <w:tcPr>
            <w:tcW w:w="1845" w:type="dxa"/>
            <w:vAlign w:val="center"/>
          </w:tcPr>
          <w:p w14:paraId="23646F67">
            <w:pPr>
              <w:pStyle w:val="37"/>
              <w:rPr>
                <w:rFonts w:ascii="Times New Roman" w:hAnsi="Times New Roman"/>
                <w:highlight w:val="none"/>
              </w:rPr>
            </w:pPr>
            <w:r>
              <w:rPr>
                <w:rFonts w:hint="eastAsia" w:ascii="Times New Roman" w:hAnsi="Times New Roman"/>
                <w:highlight w:val="none"/>
              </w:rPr>
              <w:t>“通则”</w:t>
            </w:r>
          </w:p>
          <w:p w14:paraId="02686BE2">
            <w:pPr>
              <w:pStyle w:val="37"/>
              <w:rPr>
                <w:rFonts w:hint="eastAsia" w:ascii="Times New Roman" w:hAnsi="Times New Roman" w:eastAsia="方正仿宋_GBK"/>
                <w:highlight w:val="none"/>
                <w:lang w:eastAsia="zh-CN"/>
              </w:rPr>
            </w:pPr>
            <w:r>
              <w:rPr>
                <w:rFonts w:hint="eastAsia" w:ascii="Times New Roman" w:hAnsi="Times New Roman"/>
                <w:highlight w:val="none"/>
              </w:rPr>
              <w:t>适用范围内</w:t>
            </w:r>
          </w:p>
        </w:tc>
        <w:tc>
          <w:tcPr>
            <w:tcW w:w="1350" w:type="dxa"/>
            <w:noWrap/>
            <w:vAlign w:val="center"/>
          </w:tcPr>
          <w:p w14:paraId="29BF0FAE">
            <w:pPr>
              <w:pStyle w:val="37"/>
              <w:rPr>
                <w:rFonts w:hint="eastAsia" w:ascii="Times New Roman" w:hAnsi="Times New Roman" w:eastAsia="方正仿宋_GBK"/>
                <w:highlight w:val="none"/>
                <w:lang w:eastAsia="zh-CN"/>
              </w:rPr>
            </w:pPr>
            <w:r>
              <w:rPr>
                <w:rFonts w:hint="eastAsia"/>
                <w:highlight w:val="none"/>
                <w:lang w:eastAsia="zh-CN"/>
              </w:rPr>
              <w:t>万亩</w:t>
            </w:r>
          </w:p>
        </w:tc>
        <w:tc>
          <w:tcPr>
            <w:tcW w:w="1590" w:type="dxa"/>
            <w:vAlign w:val="center"/>
          </w:tcPr>
          <w:p w14:paraId="5F63F611">
            <w:pPr>
              <w:pStyle w:val="37"/>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50.79</w:t>
            </w:r>
          </w:p>
        </w:tc>
      </w:tr>
      <w:tr w14:paraId="5C5A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12" w:type="dxa"/>
            <w:noWrap/>
            <w:vAlign w:val="center"/>
          </w:tcPr>
          <w:p w14:paraId="7BFAA3D0">
            <w:pPr>
              <w:pStyle w:val="37"/>
              <w:rPr>
                <w:rFonts w:ascii="Times New Roman" w:hAnsi="Times New Roman"/>
                <w:highlight w:val="none"/>
              </w:rPr>
            </w:pPr>
            <w:r>
              <w:rPr>
                <w:rFonts w:hint="eastAsia" w:ascii="Times New Roman" w:hAnsi="Times New Roman"/>
                <w:highlight w:val="none"/>
              </w:rPr>
              <w:t>2</w:t>
            </w:r>
          </w:p>
        </w:tc>
        <w:tc>
          <w:tcPr>
            <w:tcW w:w="2111" w:type="dxa"/>
            <w:noWrap/>
            <w:vAlign w:val="center"/>
          </w:tcPr>
          <w:p w14:paraId="61EF3777">
            <w:pPr>
              <w:pStyle w:val="37"/>
              <w:rPr>
                <w:rFonts w:ascii="Times New Roman" w:hAnsi="Times New Roman"/>
                <w:highlight w:val="none"/>
              </w:rPr>
            </w:pPr>
            <w:r>
              <w:rPr>
                <w:rFonts w:hint="eastAsia" w:ascii="Times New Roman" w:hAnsi="Times New Roman"/>
                <w:highlight w:val="none"/>
              </w:rPr>
              <w:t>永久基本农田</w:t>
            </w:r>
          </w:p>
        </w:tc>
        <w:tc>
          <w:tcPr>
            <w:tcW w:w="1349" w:type="dxa"/>
            <w:noWrap/>
            <w:vAlign w:val="center"/>
          </w:tcPr>
          <w:p w14:paraId="7CD0FEE1">
            <w:pPr>
              <w:pStyle w:val="37"/>
              <w:rPr>
                <w:rFonts w:ascii="Times New Roman" w:hAnsi="Times New Roman"/>
                <w:highlight w:val="none"/>
              </w:rPr>
            </w:pPr>
            <w:r>
              <w:rPr>
                <w:rFonts w:hint="eastAsia" w:ascii="Times New Roman" w:hAnsi="Times New Roman"/>
                <w:highlight w:val="none"/>
              </w:rPr>
              <w:t>约束性</w:t>
            </w:r>
          </w:p>
        </w:tc>
        <w:tc>
          <w:tcPr>
            <w:tcW w:w="1845" w:type="dxa"/>
            <w:vMerge w:val="restart"/>
            <w:vAlign w:val="center"/>
          </w:tcPr>
          <w:p w14:paraId="0F610CE7">
            <w:pPr>
              <w:pStyle w:val="37"/>
              <w:rPr>
                <w:rFonts w:ascii="Times New Roman" w:hAnsi="Times New Roman"/>
                <w:highlight w:val="none"/>
              </w:rPr>
            </w:pPr>
            <w:r>
              <w:rPr>
                <w:rFonts w:hint="eastAsia" w:ascii="Times New Roman" w:hAnsi="Times New Roman"/>
                <w:highlight w:val="none"/>
                <w:lang w:eastAsia="zh-CN"/>
              </w:rPr>
              <w:t>县域范围内</w:t>
            </w:r>
          </w:p>
        </w:tc>
        <w:tc>
          <w:tcPr>
            <w:tcW w:w="1350" w:type="dxa"/>
            <w:noWrap/>
            <w:vAlign w:val="center"/>
          </w:tcPr>
          <w:p w14:paraId="208A7F4A">
            <w:pPr>
              <w:pStyle w:val="37"/>
              <w:rPr>
                <w:rFonts w:hint="eastAsia" w:ascii="Times New Roman" w:hAnsi="Times New Roman" w:eastAsia="方正仿宋_GBK"/>
                <w:highlight w:val="none"/>
                <w:lang w:eastAsia="zh-CN"/>
              </w:rPr>
            </w:pPr>
            <w:r>
              <w:rPr>
                <w:rFonts w:hint="eastAsia"/>
                <w:highlight w:val="none"/>
                <w:lang w:eastAsia="zh-CN"/>
              </w:rPr>
              <w:t>万亩</w:t>
            </w:r>
          </w:p>
        </w:tc>
        <w:tc>
          <w:tcPr>
            <w:tcW w:w="1590" w:type="dxa"/>
            <w:noWrap/>
            <w:vAlign w:val="center"/>
          </w:tcPr>
          <w:p w14:paraId="209866E9">
            <w:pPr>
              <w:pStyle w:val="37"/>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28.40</w:t>
            </w:r>
          </w:p>
        </w:tc>
      </w:tr>
      <w:tr w14:paraId="1877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12" w:type="dxa"/>
            <w:noWrap/>
            <w:vAlign w:val="center"/>
          </w:tcPr>
          <w:p w14:paraId="1CC43547">
            <w:pPr>
              <w:pStyle w:val="37"/>
              <w:rPr>
                <w:rFonts w:ascii="Times New Roman" w:hAnsi="Times New Roman"/>
                <w:highlight w:val="none"/>
              </w:rPr>
            </w:pPr>
            <w:r>
              <w:rPr>
                <w:rFonts w:hint="eastAsia" w:ascii="Times New Roman" w:hAnsi="Times New Roman"/>
                <w:highlight w:val="none"/>
              </w:rPr>
              <w:t>3</w:t>
            </w:r>
          </w:p>
        </w:tc>
        <w:tc>
          <w:tcPr>
            <w:tcW w:w="2111" w:type="dxa"/>
            <w:noWrap/>
            <w:vAlign w:val="center"/>
          </w:tcPr>
          <w:p w14:paraId="36DBF8CC">
            <w:pPr>
              <w:pStyle w:val="37"/>
              <w:rPr>
                <w:rFonts w:ascii="Times New Roman" w:hAnsi="Times New Roman"/>
                <w:highlight w:val="none"/>
              </w:rPr>
            </w:pPr>
            <w:r>
              <w:rPr>
                <w:rFonts w:hint="eastAsia" w:ascii="Times New Roman" w:hAnsi="Times New Roman"/>
                <w:highlight w:val="none"/>
              </w:rPr>
              <w:t>生态保护红线</w:t>
            </w:r>
          </w:p>
        </w:tc>
        <w:tc>
          <w:tcPr>
            <w:tcW w:w="1349" w:type="dxa"/>
            <w:noWrap/>
            <w:vAlign w:val="center"/>
          </w:tcPr>
          <w:p w14:paraId="01A0CF55">
            <w:pPr>
              <w:pStyle w:val="37"/>
              <w:rPr>
                <w:rFonts w:ascii="Times New Roman" w:hAnsi="Times New Roman"/>
                <w:highlight w:val="none"/>
              </w:rPr>
            </w:pPr>
            <w:r>
              <w:rPr>
                <w:rFonts w:hint="eastAsia" w:ascii="Times New Roman" w:hAnsi="Times New Roman"/>
                <w:highlight w:val="none"/>
              </w:rPr>
              <w:t>约束性</w:t>
            </w:r>
          </w:p>
        </w:tc>
        <w:tc>
          <w:tcPr>
            <w:tcW w:w="1845" w:type="dxa"/>
            <w:vMerge w:val="continue"/>
            <w:vAlign w:val="center"/>
          </w:tcPr>
          <w:p w14:paraId="1785ABA1">
            <w:pPr>
              <w:pStyle w:val="37"/>
              <w:rPr>
                <w:rFonts w:ascii="Times New Roman" w:hAnsi="Times New Roman"/>
                <w:highlight w:val="none"/>
              </w:rPr>
            </w:pPr>
          </w:p>
        </w:tc>
        <w:tc>
          <w:tcPr>
            <w:tcW w:w="1350" w:type="dxa"/>
            <w:noWrap/>
            <w:vAlign w:val="center"/>
          </w:tcPr>
          <w:p w14:paraId="5B8056B2">
            <w:pPr>
              <w:pStyle w:val="37"/>
              <w:rPr>
                <w:rFonts w:ascii="Times New Roman" w:hAnsi="Times New Roman"/>
                <w:highlight w:val="none"/>
              </w:rPr>
            </w:pPr>
            <w:r>
              <w:rPr>
                <w:rFonts w:hint="eastAsia" w:ascii="Times New Roman" w:hAnsi="Times New Roman"/>
                <w:highlight w:val="none"/>
              </w:rPr>
              <w:t>平方千米</w:t>
            </w:r>
          </w:p>
        </w:tc>
        <w:tc>
          <w:tcPr>
            <w:tcW w:w="1590" w:type="dxa"/>
            <w:vAlign w:val="center"/>
          </w:tcPr>
          <w:p w14:paraId="1A7730AD">
            <w:pPr>
              <w:pStyle w:val="37"/>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2068.32</w:t>
            </w:r>
          </w:p>
        </w:tc>
      </w:tr>
      <w:tr w14:paraId="5B0C9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12" w:type="dxa"/>
            <w:noWrap/>
            <w:vAlign w:val="center"/>
          </w:tcPr>
          <w:p w14:paraId="75A924AF">
            <w:pPr>
              <w:pStyle w:val="37"/>
              <w:rPr>
                <w:rFonts w:ascii="Times New Roman" w:hAnsi="Times New Roman"/>
                <w:highlight w:val="none"/>
              </w:rPr>
            </w:pPr>
            <w:r>
              <w:rPr>
                <w:rFonts w:hint="eastAsia" w:ascii="Times New Roman" w:hAnsi="Times New Roman"/>
                <w:highlight w:val="none"/>
              </w:rPr>
              <w:t>4</w:t>
            </w:r>
          </w:p>
        </w:tc>
        <w:tc>
          <w:tcPr>
            <w:tcW w:w="2111" w:type="dxa"/>
            <w:noWrap/>
            <w:vAlign w:val="center"/>
          </w:tcPr>
          <w:p w14:paraId="0FAB1DB2">
            <w:pPr>
              <w:pStyle w:val="37"/>
              <w:rPr>
                <w:rFonts w:ascii="Times New Roman" w:hAnsi="Times New Roman"/>
                <w:highlight w:val="none"/>
              </w:rPr>
            </w:pPr>
            <w:r>
              <w:rPr>
                <w:rFonts w:hint="eastAsia" w:ascii="Times New Roman" w:hAnsi="Times New Roman"/>
                <w:highlight w:val="none"/>
              </w:rPr>
              <w:t>村庄用地规模</w:t>
            </w:r>
          </w:p>
        </w:tc>
        <w:tc>
          <w:tcPr>
            <w:tcW w:w="1349" w:type="dxa"/>
            <w:noWrap/>
            <w:vAlign w:val="center"/>
          </w:tcPr>
          <w:p w14:paraId="677D5A07">
            <w:pPr>
              <w:pStyle w:val="37"/>
              <w:rPr>
                <w:rFonts w:ascii="Times New Roman" w:hAnsi="Times New Roman"/>
                <w:highlight w:val="none"/>
              </w:rPr>
            </w:pPr>
            <w:r>
              <w:rPr>
                <w:rFonts w:hint="eastAsia" w:ascii="Times New Roman" w:hAnsi="Times New Roman"/>
                <w:highlight w:val="none"/>
              </w:rPr>
              <w:t>预期性</w:t>
            </w:r>
          </w:p>
        </w:tc>
        <w:tc>
          <w:tcPr>
            <w:tcW w:w="1845" w:type="dxa"/>
            <w:vAlign w:val="center"/>
          </w:tcPr>
          <w:p w14:paraId="27B4F02A">
            <w:pPr>
              <w:pStyle w:val="37"/>
              <w:rPr>
                <w:rFonts w:ascii="Times New Roman" w:hAnsi="Times New Roman"/>
                <w:highlight w:val="none"/>
              </w:rPr>
            </w:pPr>
            <w:r>
              <w:rPr>
                <w:rFonts w:hint="eastAsia" w:ascii="Times New Roman" w:hAnsi="Times New Roman"/>
                <w:highlight w:val="none"/>
              </w:rPr>
              <w:t>“通则”</w:t>
            </w:r>
          </w:p>
          <w:p w14:paraId="3BAC646D">
            <w:pPr>
              <w:pStyle w:val="37"/>
              <w:rPr>
                <w:rFonts w:ascii="Times New Roman" w:hAnsi="Times New Roman"/>
                <w:highlight w:val="none"/>
              </w:rPr>
            </w:pPr>
            <w:r>
              <w:rPr>
                <w:rFonts w:hint="eastAsia" w:ascii="Times New Roman" w:hAnsi="Times New Roman"/>
                <w:highlight w:val="none"/>
              </w:rPr>
              <w:t>适用范围内</w:t>
            </w:r>
          </w:p>
        </w:tc>
        <w:tc>
          <w:tcPr>
            <w:tcW w:w="1350" w:type="dxa"/>
            <w:noWrap/>
            <w:vAlign w:val="center"/>
          </w:tcPr>
          <w:p w14:paraId="20F208A7">
            <w:pPr>
              <w:pStyle w:val="37"/>
              <w:rPr>
                <w:rFonts w:ascii="Times New Roman" w:hAnsi="Times New Roman"/>
                <w:highlight w:val="none"/>
              </w:rPr>
            </w:pPr>
            <w:r>
              <w:rPr>
                <w:rFonts w:hint="eastAsia" w:ascii="Times New Roman" w:hAnsi="Times New Roman"/>
                <w:highlight w:val="none"/>
              </w:rPr>
              <w:t>公顷</w:t>
            </w:r>
          </w:p>
        </w:tc>
        <w:tc>
          <w:tcPr>
            <w:tcW w:w="1590" w:type="dxa"/>
            <w:vAlign w:val="center"/>
          </w:tcPr>
          <w:p w14:paraId="7607D57E">
            <w:pPr>
              <w:pStyle w:val="37"/>
              <w:rPr>
                <w:rFonts w:hint="default" w:ascii="Times New Roman" w:hAnsi="Times New Roman" w:eastAsia="方正仿宋_GBK"/>
                <w:color w:val="auto"/>
                <w:highlight w:val="none"/>
                <w:lang w:val="en-US" w:eastAsia="zh-CN"/>
              </w:rPr>
            </w:pPr>
            <w:r>
              <w:rPr>
                <w:rFonts w:hint="eastAsia"/>
                <w:color w:val="auto"/>
                <w:highlight w:val="none"/>
                <w:lang w:val="en-US" w:eastAsia="zh-CN"/>
              </w:rPr>
              <w:t>8397.48</w:t>
            </w:r>
          </w:p>
        </w:tc>
      </w:tr>
      <w:tr w14:paraId="5BA5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12" w:type="dxa"/>
            <w:noWrap/>
            <w:vAlign w:val="center"/>
          </w:tcPr>
          <w:p w14:paraId="325EDE3A">
            <w:pPr>
              <w:pStyle w:val="37"/>
              <w:rPr>
                <w:rFonts w:ascii="Times New Roman" w:hAnsi="Times New Roman"/>
                <w:highlight w:val="none"/>
              </w:rPr>
            </w:pPr>
            <w:r>
              <w:rPr>
                <w:rFonts w:hint="eastAsia" w:ascii="Times New Roman" w:hAnsi="Times New Roman"/>
                <w:highlight w:val="none"/>
              </w:rPr>
              <w:t>5</w:t>
            </w:r>
          </w:p>
        </w:tc>
        <w:tc>
          <w:tcPr>
            <w:tcW w:w="2111" w:type="dxa"/>
            <w:noWrap/>
            <w:vAlign w:val="center"/>
          </w:tcPr>
          <w:p w14:paraId="65073178">
            <w:pPr>
              <w:pStyle w:val="37"/>
              <w:rPr>
                <w:rFonts w:ascii="Times New Roman" w:hAnsi="Times New Roman"/>
                <w:highlight w:val="none"/>
              </w:rPr>
            </w:pPr>
            <w:r>
              <w:rPr>
                <w:rFonts w:hint="eastAsia" w:ascii="Times New Roman" w:hAnsi="Times New Roman"/>
                <w:highlight w:val="none"/>
              </w:rPr>
              <w:t>自然保护地</w:t>
            </w:r>
          </w:p>
        </w:tc>
        <w:tc>
          <w:tcPr>
            <w:tcW w:w="1349" w:type="dxa"/>
            <w:noWrap/>
            <w:vAlign w:val="center"/>
          </w:tcPr>
          <w:p w14:paraId="2E957F1E">
            <w:pPr>
              <w:pStyle w:val="37"/>
              <w:rPr>
                <w:rFonts w:ascii="Times New Roman" w:hAnsi="Times New Roman"/>
                <w:highlight w:val="none"/>
              </w:rPr>
            </w:pPr>
            <w:r>
              <w:rPr>
                <w:rFonts w:hint="eastAsia" w:ascii="Times New Roman" w:hAnsi="Times New Roman"/>
                <w:highlight w:val="none"/>
              </w:rPr>
              <w:t>约束性</w:t>
            </w:r>
          </w:p>
        </w:tc>
        <w:tc>
          <w:tcPr>
            <w:tcW w:w="1845" w:type="dxa"/>
            <w:vAlign w:val="center"/>
          </w:tcPr>
          <w:p w14:paraId="0127A1D6">
            <w:pPr>
              <w:pStyle w:val="37"/>
              <w:rPr>
                <w:rFonts w:ascii="Times New Roman" w:hAnsi="Times New Roman"/>
                <w:highlight w:val="none"/>
              </w:rPr>
            </w:pPr>
            <w:r>
              <w:rPr>
                <w:rFonts w:hint="eastAsia" w:ascii="Times New Roman" w:hAnsi="Times New Roman"/>
                <w:highlight w:val="none"/>
                <w:lang w:eastAsia="zh-CN"/>
              </w:rPr>
              <w:t>县域范围内</w:t>
            </w:r>
          </w:p>
        </w:tc>
        <w:tc>
          <w:tcPr>
            <w:tcW w:w="1350" w:type="dxa"/>
            <w:noWrap/>
            <w:vAlign w:val="center"/>
          </w:tcPr>
          <w:p w14:paraId="16BCDA2F">
            <w:pPr>
              <w:pStyle w:val="37"/>
              <w:rPr>
                <w:rFonts w:ascii="Times New Roman" w:hAnsi="Times New Roman"/>
                <w:highlight w:val="none"/>
              </w:rPr>
            </w:pPr>
            <w:r>
              <w:rPr>
                <w:rFonts w:hint="eastAsia" w:ascii="Times New Roman" w:hAnsi="Times New Roman"/>
                <w:highlight w:val="none"/>
              </w:rPr>
              <w:t>平方千米</w:t>
            </w:r>
          </w:p>
        </w:tc>
        <w:tc>
          <w:tcPr>
            <w:tcW w:w="1590" w:type="dxa"/>
            <w:noWrap/>
            <w:vAlign w:val="center"/>
          </w:tcPr>
          <w:p w14:paraId="364E490E">
            <w:pPr>
              <w:pStyle w:val="37"/>
              <w:rPr>
                <w:rFonts w:hint="default" w:ascii="Times New Roman" w:hAnsi="Times New Roman" w:eastAsia="方正仿宋_GBK"/>
                <w:color w:val="auto"/>
                <w:highlight w:val="none"/>
                <w:lang w:val="en-US" w:eastAsia="zh-CN"/>
              </w:rPr>
            </w:pPr>
            <w:r>
              <w:rPr>
                <w:rFonts w:hint="eastAsia"/>
                <w:color w:val="auto"/>
                <w:highlight w:val="none"/>
                <w:lang w:val="en-US" w:eastAsia="zh-CN"/>
              </w:rPr>
              <w:t>786.12</w:t>
            </w:r>
          </w:p>
        </w:tc>
      </w:tr>
    </w:tbl>
    <w:p w14:paraId="2B5E307A">
      <w:pPr>
        <w:ind w:firstLine="0" w:firstLineChars="0"/>
      </w:pPr>
    </w:p>
    <w:p w14:paraId="47DF5689">
      <w:pPr>
        <w:widowControl/>
        <w:ind w:firstLine="0" w:firstLineChars="0"/>
        <w:textAlignment w:val="center"/>
        <w:rPr>
          <w:rFonts w:cs="方正仿宋_GB2312"/>
          <w:bCs/>
        </w:rPr>
      </w:pPr>
      <w:r>
        <w:rPr>
          <w:rFonts w:hint="eastAsia" w:cs="方正仿宋_GB2312"/>
          <w:bCs/>
        </w:rPr>
        <w:br w:type="page"/>
      </w:r>
    </w:p>
    <w:p w14:paraId="28D1C50A">
      <w:pPr>
        <w:pStyle w:val="4"/>
        <w:spacing w:line="240" w:lineRule="auto"/>
        <w:jc w:val="left"/>
        <w:rPr>
          <w:rFonts w:hint="default" w:ascii="方正仿宋_GB2312" w:hAnsi="方正仿宋_GB2312" w:eastAsia="方正仿宋_GB2312" w:cs="方正仿宋_GB2312"/>
          <w:b w:val="0"/>
          <w:bCs/>
          <w:lang w:val="en-US"/>
        </w:rPr>
      </w:pPr>
      <w:r>
        <w:rPr>
          <w:rFonts w:hint="eastAsia" w:ascii="方正仿宋_GB2312" w:hAnsi="方正仿宋_GB2312" w:eastAsia="方正仿宋_GB2312" w:cs="方正仿宋_GB2312"/>
          <w:b w:val="0"/>
          <w:bCs/>
          <w:lang w:val="en-US" w:eastAsia="zh-CN"/>
        </w:rPr>
        <w:t>附录7</w:t>
      </w:r>
    </w:p>
    <w:p w14:paraId="48AE6CA3">
      <w:pPr>
        <w:pStyle w:val="5"/>
        <w:ind w:firstLine="0" w:firstLineChars="0"/>
        <w:jc w:val="center"/>
      </w:pPr>
      <w:bookmarkStart w:id="92" w:name="_Toc1295"/>
      <w:r>
        <w:rPr>
          <w:rFonts w:hint="eastAsia" w:ascii="方正小标宋_GBK" w:hAnsi="方正小标宋_GBK" w:eastAsia="方正小标宋_GBK" w:cs="方正小标宋_GBK"/>
          <w:b w:val="0"/>
          <w:bCs/>
          <w:kern w:val="44"/>
          <w:sz w:val="36"/>
          <w:szCs w:val="36"/>
        </w:rPr>
        <w:t>乡村建设项目通用指标指引表</w:t>
      </w:r>
      <w:bookmarkEnd w:id="92"/>
    </w:p>
    <w:p w14:paraId="42528E5E">
      <w:r>
        <w:t>村民住房、乡村公共服务设施、市政公用设施、乡村产业等各类乡村建设用地</w:t>
      </w:r>
      <w:r>
        <w:rPr>
          <w:rFonts w:hint="eastAsia"/>
        </w:rPr>
        <w:t>应合理配置，适度开发，控制</w:t>
      </w:r>
      <w:r>
        <w:t>指标可参照下表执行。</w:t>
      </w:r>
    </w:p>
    <w:tbl>
      <w:tblPr>
        <w:tblStyle w:val="23"/>
        <w:tblW w:w="9240" w:type="dxa"/>
        <w:jc w:val="center"/>
        <w:tblLayout w:type="fixed"/>
        <w:tblCellMar>
          <w:top w:w="0" w:type="dxa"/>
          <w:left w:w="108" w:type="dxa"/>
          <w:bottom w:w="0" w:type="dxa"/>
          <w:right w:w="108" w:type="dxa"/>
        </w:tblCellMar>
      </w:tblPr>
      <w:tblGrid>
        <w:gridCol w:w="1374"/>
        <w:gridCol w:w="1450"/>
        <w:gridCol w:w="2487"/>
        <w:gridCol w:w="1900"/>
        <w:gridCol w:w="2029"/>
      </w:tblGrid>
      <w:tr w14:paraId="5F77BD7D">
        <w:tblPrEx>
          <w:tblCellMar>
            <w:top w:w="0" w:type="dxa"/>
            <w:left w:w="108" w:type="dxa"/>
            <w:bottom w:w="0" w:type="dxa"/>
            <w:right w:w="108" w:type="dxa"/>
          </w:tblCellMar>
        </w:tblPrEx>
        <w:trPr>
          <w:trHeight w:val="270" w:hRule="atLeast"/>
          <w:jc w:val="center"/>
        </w:trPr>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964218">
            <w:pPr>
              <w:pStyle w:val="37"/>
              <w:rPr>
                <w:rFonts w:ascii="Times New Roman" w:hAnsi="Times New Roman" w:cs="方正仿宋_GBK"/>
                <w:b/>
                <w:bCs/>
              </w:rPr>
            </w:pPr>
            <w:r>
              <w:rPr>
                <w:rFonts w:hint="eastAsia" w:ascii="Times New Roman" w:hAnsi="Times New Roman" w:cs="方正仿宋_GBK"/>
                <w:b/>
                <w:bCs/>
              </w:rPr>
              <w:t>用地类型</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43DC">
            <w:pPr>
              <w:pStyle w:val="37"/>
              <w:rPr>
                <w:rFonts w:ascii="Times New Roman" w:hAnsi="Times New Roman" w:cs="方正仿宋_GBK"/>
                <w:b/>
                <w:bCs/>
              </w:rPr>
            </w:pPr>
            <w:r>
              <w:rPr>
                <w:rFonts w:hint="eastAsia" w:ascii="Times New Roman" w:hAnsi="Times New Roman" w:cs="方正仿宋_GBK"/>
                <w:b/>
                <w:bCs/>
              </w:rPr>
              <w:t>容积率</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F4C95">
            <w:pPr>
              <w:pStyle w:val="37"/>
              <w:rPr>
                <w:rFonts w:ascii="Times New Roman" w:hAnsi="Times New Roman" w:cs="方正仿宋_GBK"/>
                <w:b/>
                <w:bCs/>
              </w:rPr>
            </w:pPr>
            <w:r>
              <w:rPr>
                <w:rFonts w:hint="eastAsia" w:ascii="Times New Roman" w:hAnsi="Times New Roman" w:cs="方正仿宋_GBK"/>
                <w:b/>
                <w:bCs/>
              </w:rPr>
              <w:t>建筑高度</w:t>
            </w:r>
          </w:p>
        </w:tc>
        <w:tc>
          <w:tcPr>
            <w:tcW w:w="2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4DE4F">
            <w:pPr>
              <w:pStyle w:val="37"/>
              <w:rPr>
                <w:rFonts w:ascii="Times New Roman" w:hAnsi="Times New Roman" w:cs="方正仿宋_GBK"/>
                <w:b/>
                <w:bCs/>
              </w:rPr>
            </w:pPr>
            <w:r>
              <w:rPr>
                <w:rFonts w:hint="eastAsia" w:ascii="Times New Roman" w:hAnsi="Times New Roman" w:cs="方正仿宋_GBK"/>
                <w:b/>
                <w:bCs/>
              </w:rPr>
              <w:t>建筑层数</w:t>
            </w:r>
          </w:p>
        </w:tc>
      </w:tr>
      <w:tr w14:paraId="6F243DBA">
        <w:tblPrEx>
          <w:tblCellMar>
            <w:top w:w="0" w:type="dxa"/>
            <w:left w:w="108" w:type="dxa"/>
            <w:bottom w:w="0" w:type="dxa"/>
            <w:right w:w="108" w:type="dxa"/>
          </w:tblCellMar>
        </w:tblPrEx>
        <w:trPr>
          <w:trHeight w:val="270" w:hRule="atLeast"/>
          <w:jc w:val="center"/>
        </w:trPr>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AA9C5">
            <w:pPr>
              <w:pStyle w:val="37"/>
              <w:rPr>
                <w:rFonts w:ascii="Times New Roman" w:hAnsi="Times New Roman"/>
              </w:rPr>
            </w:pPr>
            <w:r>
              <w:rPr>
                <w:rFonts w:hint="eastAsia" w:ascii="Times New Roman" w:hAnsi="Times New Roman"/>
              </w:rPr>
              <w:t>农村宅基地（0703）</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7592">
            <w:pPr>
              <w:pStyle w:val="37"/>
              <w:rPr>
                <w:rFonts w:ascii="Times New Roman" w:hAnsi="Times New Roman"/>
              </w:rPr>
            </w:pPr>
            <w:r>
              <w:rPr>
                <w:rFonts w:hint="eastAsia" w:ascii="Times New Roman" w:hAnsi="Times New Roman"/>
              </w:rPr>
              <w:t>—</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0220">
            <w:pPr>
              <w:pStyle w:val="37"/>
              <w:rPr>
                <w:rFonts w:ascii="Times New Roman" w:hAnsi="Times New Roman"/>
              </w:rPr>
            </w:pPr>
            <w:r>
              <w:rPr>
                <w:rFonts w:hint="eastAsia" w:ascii="Times New Roman" w:hAnsi="Times New Roman"/>
              </w:rPr>
              <w:t>≤12米</w:t>
            </w:r>
          </w:p>
        </w:tc>
        <w:tc>
          <w:tcPr>
            <w:tcW w:w="2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880C1">
            <w:pPr>
              <w:pStyle w:val="37"/>
              <w:rPr>
                <w:rFonts w:ascii="Times New Roman" w:hAnsi="Times New Roman"/>
              </w:rPr>
            </w:pPr>
            <w:r>
              <w:rPr>
                <w:rFonts w:hint="eastAsia" w:ascii="Times New Roman" w:hAnsi="Times New Roman"/>
              </w:rPr>
              <w:t>≤3层</w:t>
            </w:r>
          </w:p>
        </w:tc>
      </w:tr>
      <w:tr w14:paraId="632C5421">
        <w:tblPrEx>
          <w:tblCellMar>
            <w:top w:w="0" w:type="dxa"/>
            <w:left w:w="108" w:type="dxa"/>
            <w:bottom w:w="0" w:type="dxa"/>
            <w:right w:w="108" w:type="dxa"/>
          </w:tblCellMar>
        </w:tblPrEx>
        <w:trPr>
          <w:trHeight w:val="525" w:hRule="atLeast"/>
          <w:jc w:val="center"/>
        </w:trPr>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3282F">
            <w:pPr>
              <w:pStyle w:val="37"/>
              <w:rPr>
                <w:rFonts w:ascii="Times New Roman" w:hAnsi="Times New Roman"/>
              </w:rPr>
            </w:pPr>
            <w:r>
              <w:rPr>
                <w:rFonts w:hint="eastAsia" w:ascii="Times New Roman" w:hAnsi="Times New Roman"/>
              </w:rPr>
              <w:t>农村社区服务设施用地</w:t>
            </w:r>
            <w:r>
              <w:rPr>
                <w:rFonts w:hint="eastAsia" w:ascii="Times New Roman" w:hAnsi="Times New Roman"/>
              </w:rPr>
              <w:br w:type="textWrapping"/>
            </w:r>
            <w:r>
              <w:rPr>
                <w:rFonts w:hint="eastAsia" w:ascii="Times New Roman" w:hAnsi="Times New Roman"/>
              </w:rPr>
              <w:t>（0704）</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3796">
            <w:pPr>
              <w:pStyle w:val="37"/>
              <w:rPr>
                <w:rFonts w:ascii="Times New Roman" w:hAnsi="Times New Roman"/>
              </w:rPr>
            </w:pPr>
            <w:r>
              <w:rPr>
                <w:rFonts w:hint="eastAsia" w:ascii="Times New Roman" w:hAnsi="Times New Roman"/>
              </w:rPr>
              <w:t>结合方案合理性确定</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90821">
            <w:pPr>
              <w:pStyle w:val="37"/>
              <w:rPr>
                <w:rFonts w:ascii="Times New Roman" w:hAnsi="Times New Roman"/>
              </w:rPr>
            </w:pPr>
            <w:r>
              <w:rPr>
                <w:rFonts w:hint="eastAsia" w:ascii="Times New Roman" w:hAnsi="Times New Roman"/>
              </w:rPr>
              <w:t>不宜超过18米</w:t>
            </w:r>
          </w:p>
        </w:tc>
        <w:tc>
          <w:tcPr>
            <w:tcW w:w="2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2714">
            <w:pPr>
              <w:pStyle w:val="37"/>
              <w:rPr>
                <w:rFonts w:ascii="Times New Roman" w:hAnsi="Times New Roman"/>
              </w:rPr>
            </w:pPr>
            <w:r>
              <w:rPr>
                <w:rFonts w:hint="eastAsia" w:ascii="Times New Roman" w:hAnsi="Times New Roman"/>
              </w:rPr>
              <w:t>原则上不得建设高层建筑</w:t>
            </w:r>
          </w:p>
        </w:tc>
      </w:tr>
      <w:tr w14:paraId="4351B4D1">
        <w:tblPrEx>
          <w:tblCellMar>
            <w:top w:w="0" w:type="dxa"/>
            <w:left w:w="108" w:type="dxa"/>
            <w:bottom w:w="0" w:type="dxa"/>
            <w:right w:w="108" w:type="dxa"/>
          </w:tblCellMar>
        </w:tblPrEx>
        <w:trPr>
          <w:trHeight w:val="525" w:hRule="atLeast"/>
          <w:jc w:val="center"/>
        </w:trPr>
        <w:tc>
          <w:tcPr>
            <w:tcW w:w="13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7A7CF">
            <w:pPr>
              <w:pStyle w:val="37"/>
              <w:rPr>
                <w:rFonts w:ascii="Times New Roman" w:hAnsi="Times New Roman"/>
              </w:rPr>
            </w:pPr>
            <w:r>
              <w:rPr>
                <w:rFonts w:hint="eastAsia" w:ascii="Times New Roman" w:hAnsi="Times New Roman"/>
              </w:rPr>
              <w:t>公共管理与公共服务用地（08）</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1DED">
            <w:pPr>
              <w:pStyle w:val="37"/>
              <w:rPr>
                <w:rFonts w:ascii="Times New Roman" w:hAnsi="Times New Roman"/>
              </w:rPr>
            </w:pPr>
            <w:r>
              <w:rPr>
                <w:rFonts w:hint="eastAsia" w:ascii="Times New Roman" w:hAnsi="Times New Roman"/>
              </w:rPr>
              <w:t>幼儿园用地</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6CD5A">
            <w:pPr>
              <w:pStyle w:val="37"/>
              <w:rPr>
                <w:rFonts w:ascii="Times New Roman" w:hAnsi="Times New Roman"/>
              </w:rPr>
            </w:pPr>
            <w:r>
              <w:rPr>
                <w:rFonts w:hint="eastAsia" w:ascii="Times New Roman" w:hAnsi="Times New Roman"/>
              </w:rPr>
              <w:t>参照《幼儿园建设标准》执行</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09817">
            <w:pPr>
              <w:pStyle w:val="37"/>
              <w:rPr>
                <w:rFonts w:ascii="Times New Roman" w:hAnsi="Times New Roman"/>
              </w:rPr>
            </w:pPr>
            <w:r>
              <w:rPr>
                <w:rFonts w:hint="eastAsia" w:ascii="Times New Roman" w:hAnsi="Times New Roman"/>
              </w:rPr>
              <w:t>不宜超过18米</w:t>
            </w:r>
          </w:p>
        </w:tc>
        <w:tc>
          <w:tcPr>
            <w:tcW w:w="2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2F949">
            <w:pPr>
              <w:pStyle w:val="37"/>
              <w:rPr>
                <w:rFonts w:ascii="Times New Roman" w:hAnsi="Times New Roman"/>
              </w:rPr>
            </w:pPr>
            <w:r>
              <w:rPr>
                <w:rFonts w:hint="eastAsia" w:ascii="Times New Roman" w:hAnsi="Times New Roman"/>
              </w:rPr>
              <w:t>≤3层</w:t>
            </w:r>
          </w:p>
        </w:tc>
      </w:tr>
      <w:tr w14:paraId="5C1E9C84">
        <w:tblPrEx>
          <w:tblCellMar>
            <w:top w:w="0" w:type="dxa"/>
            <w:left w:w="108" w:type="dxa"/>
            <w:bottom w:w="0" w:type="dxa"/>
            <w:right w:w="108" w:type="dxa"/>
          </w:tblCellMar>
        </w:tblPrEx>
        <w:trPr>
          <w:trHeight w:val="525" w:hRule="atLeast"/>
          <w:jc w:val="center"/>
        </w:trPr>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10103">
            <w:pPr>
              <w:pStyle w:val="37"/>
              <w:rPr>
                <w:rFonts w:ascii="Times New Roman" w:hAnsi="Times New Roman"/>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1DE5">
            <w:pPr>
              <w:pStyle w:val="37"/>
              <w:rPr>
                <w:rFonts w:ascii="Times New Roman" w:hAnsi="Times New Roman"/>
              </w:rPr>
            </w:pPr>
            <w:r>
              <w:rPr>
                <w:rFonts w:hint="eastAsia" w:ascii="Times New Roman" w:hAnsi="Times New Roman"/>
              </w:rPr>
              <w:t>老年人社会福利用地</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B571A">
            <w:pPr>
              <w:pStyle w:val="37"/>
              <w:rPr>
                <w:rFonts w:ascii="Times New Roman" w:hAnsi="Times New Roman"/>
              </w:rPr>
            </w:pPr>
            <w:r>
              <w:rPr>
                <w:rFonts w:hint="eastAsia" w:ascii="Times New Roman" w:hAnsi="Times New Roman"/>
              </w:rPr>
              <w:t>结合方案合理性确定</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81A7F">
            <w:pPr>
              <w:pStyle w:val="37"/>
              <w:rPr>
                <w:rFonts w:ascii="Times New Roman" w:hAnsi="Times New Roman"/>
              </w:rPr>
            </w:pPr>
            <w:r>
              <w:rPr>
                <w:rFonts w:hint="eastAsia" w:ascii="Times New Roman" w:hAnsi="Times New Roman"/>
              </w:rPr>
              <w:t>不宜超过18米</w:t>
            </w:r>
          </w:p>
        </w:tc>
        <w:tc>
          <w:tcPr>
            <w:tcW w:w="2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7EC52">
            <w:pPr>
              <w:pStyle w:val="37"/>
              <w:rPr>
                <w:rFonts w:ascii="Times New Roman" w:hAnsi="Times New Roman"/>
              </w:rPr>
            </w:pPr>
            <w:r>
              <w:rPr>
                <w:rFonts w:hint="eastAsia" w:ascii="Times New Roman" w:hAnsi="Times New Roman"/>
              </w:rPr>
              <w:t>原则上不得建设高层建筑</w:t>
            </w:r>
          </w:p>
        </w:tc>
      </w:tr>
      <w:tr w14:paraId="68609973">
        <w:tblPrEx>
          <w:tblCellMar>
            <w:top w:w="0" w:type="dxa"/>
            <w:left w:w="108" w:type="dxa"/>
            <w:bottom w:w="0" w:type="dxa"/>
            <w:right w:w="108" w:type="dxa"/>
          </w:tblCellMar>
        </w:tblPrEx>
        <w:trPr>
          <w:trHeight w:val="525" w:hRule="atLeast"/>
          <w:jc w:val="center"/>
        </w:trPr>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D72F2E">
            <w:pPr>
              <w:pStyle w:val="37"/>
              <w:rPr>
                <w:rFonts w:ascii="Times New Roman" w:hAnsi="Times New Roman"/>
              </w:rPr>
            </w:pPr>
            <w:r>
              <w:rPr>
                <w:rFonts w:hint="eastAsia" w:ascii="Times New Roman" w:hAnsi="Times New Roman"/>
              </w:rPr>
              <w:t>商业服务业用地（09）</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24D5">
            <w:pPr>
              <w:pStyle w:val="37"/>
              <w:rPr>
                <w:rFonts w:ascii="Times New Roman" w:hAnsi="Times New Roman"/>
              </w:rPr>
            </w:pPr>
            <w:r>
              <w:rPr>
                <w:rFonts w:hint="eastAsia" w:ascii="Times New Roman" w:hAnsi="Times New Roman"/>
              </w:rPr>
              <w:t>宜为1.0~2.5</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19B00">
            <w:pPr>
              <w:pStyle w:val="37"/>
              <w:rPr>
                <w:rFonts w:ascii="Times New Roman" w:hAnsi="Times New Roman"/>
              </w:rPr>
            </w:pPr>
            <w:r>
              <w:rPr>
                <w:rFonts w:hint="eastAsia" w:ascii="Times New Roman" w:hAnsi="Times New Roman"/>
              </w:rPr>
              <w:t>不宜超过18米</w:t>
            </w:r>
          </w:p>
        </w:tc>
        <w:tc>
          <w:tcPr>
            <w:tcW w:w="2029" w:type="dxa"/>
            <w:tcBorders>
              <w:top w:val="single" w:color="000000" w:sz="4" w:space="0"/>
              <w:left w:val="single" w:color="000000" w:sz="4" w:space="0"/>
              <w:bottom w:val="nil"/>
              <w:right w:val="single" w:color="000000" w:sz="4" w:space="0"/>
            </w:tcBorders>
            <w:shd w:val="clear" w:color="auto" w:fill="auto"/>
            <w:vAlign w:val="center"/>
          </w:tcPr>
          <w:p w14:paraId="4965C41D">
            <w:pPr>
              <w:pStyle w:val="37"/>
              <w:rPr>
                <w:rFonts w:ascii="Times New Roman" w:hAnsi="Times New Roman"/>
              </w:rPr>
            </w:pPr>
            <w:r>
              <w:rPr>
                <w:rFonts w:hint="eastAsia" w:ascii="Times New Roman" w:hAnsi="Times New Roman"/>
              </w:rPr>
              <w:t>原则上不得建设高层建筑</w:t>
            </w:r>
          </w:p>
        </w:tc>
      </w:tr>
      <w:tr w14:paraId="1B9054E1">
        <w:tblPrEx>
          <w:tblCellMar>
            <w:top w:w="0" w:type="dxa"/>
            <w:left w:w="108" w:type="dxa"/>
            <w:bottom w:w="0" w:type="dxa"/>
            <w:right w:w="108" w:type="dxa"/>
          </w:tblCellMar>
        </w:tblPrEx>
        <w:trPr>
          <w:trHeight w:val="840" w:hRule="atLeast"/>
          <w:jc w:val="center"/>
        </w:trPr>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0B77C">
            <w:pPr>
              <w:pStyle w:val="37"/>
              <w:rPr>
                <w:rFonts w:ascii="Times New Roman" w:hAnsi="Times New Roman"/>
              </w:rPr>
            </w:pPr>
            <w:r>
              <w:rPr>
                <w:rFonts w:hint="eastAsia" w:ascii="Times New Roman" w:hAnsi="Times New Roman"/>
              </w:rPr>
              <w:t>工业用地（1001）</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BE97">
            <w:pPr>
              <w:pStyle w:val="37"/>
              <w:rPr>
                <w:rFonts w:ascii="Times New Roman" w:hAnsi="Times New Roman"/>
              </w:rPr>
            </w:pPr>
            <w:r>
              <w:rPr>
                <w:rFonts w:hint="eastAsia" w:ascii="Times New Roman" w:hAnsi="Times New Roman"/>
              </w:rPr>
              <w:t>参照《工业项目建设用地控制指标》执行</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67B06">
            <w:pPr>
              <w:pStyle w:val="37"/>
              <w:rPr>
                <w:rFonts w:ascii="Times New Roman" w:hAnsi="Times New Roman"/>
              </w:rPr>
            </w:pPr>
            <w:r>
              <w:rPr>
                <w:rFonts w:hint="eastAsia" w:ascii="Times New Roman" w:hAnsi="Times New Roman"/>
              </w:rPr>
              <w:t>不宜超过18米</w:t>
            </w:r>
          </w:p>
        </w:tc>
        <w:tc>
          <w:tcPr>
            <w:tcW w:w="2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5E70">
            <w:pPr>
              <w:pStyle w:val="37"/>
              <w:rPr>
                <w:rFonts w:ascii="Times New Roman" w:hAnsi="Times New Roman"/>
              </w:rPr>
            </w:pPr>
            <w:r>
              <w:rPr>
                <w:rFonts w:hint="eastAsia" w:ascii="Times New Roman" w:hAnsi="Times New Roman"/>
              </w:rPr>
              <w:t>原则上不得建设高层建筑</w:t>
            </w:r>
          </w:p>
        </w:tc>
      </w:tr>
      <w:tr w14:paraId="180E9500">
        <w:tblPrEx>
          <w:tblCellMar>
            <w:top w:w="0" w:type="dxa"/>
            <w:left w:w="108" w:type="dxa"/>
            <w:bottom w:w="0" w:type="dxa"/>
            <w:right w:w="108" w:type="dxa"/>
          </w:tblCellMar>
        </w:tblPrEx>
        <w:trPr>
          <w:trHeight w:val="660" w:hRule="atLeast"/>
          <w:jc w:val="center"/>
        </w:trPr>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12FE30">
            <w:pPr>
              <w:pStyle w:val="37"/>
              <w:rPr>
                <w:rFonts w:ascii="Times New Roman" w:hAnsi="Times New Roman"/>
              </w:rPr>
            </w:pPr>
            <w:r>
              <w:rPr>
                <w:rFonts w:hint="eastAsia" w:ascii="Times New Roman" w:hAnsi="Times New Roman"/>
              </w:rPr>
              <w:t>物流仓储用地（1101）</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2F97B">
            <w:pPr>
              <w:pStyle w:val="37"/>
              <w:rPr>
                <w:rFonts w:ascii="Times New Roman" w:hAnsi="Times New Roman"/>
              </w:rPr>
            </w:pPr>
            <w:r>
              <w:rPr>
                <w:rFonts w:hint="eastAsia" w:ascii="Times New Roman" w:hAnsi="Times New Roman"/>
              </w:rPr>
              <w:t>宜为1.0~1.5</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ED3BD">
            <w:pPr>
              <w:pStyle w:val="37"/>
              <w:rPr>
                <w:rFonts w:ascii="Times New Roman" w:hAnsi="Times New Roman"/>
              </w:rPr>
            </w:pPr>
            <w:r>
              <w:rPr>
                <w:rFonts w:hint="eastAsia" w:ascii="Times New Roman" w:hAnsi="Times New Roman"/>
              </w:rPr>
              <w:t>不宜超过18米</w:t>
            </w:r>
          </w:p>
        </w:tc>
        <w:tc>
          <w:tcPr>
            <w:tcW w:w="2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E81F">
            <w:pPr>
              <w:pStyle w:val="37"/>
              <w:rPr>
                <w:rFonts w:ascii="Times New Roman" w:hAnsi="Times New Roman"/>
              </w:rPr>
            </w:pPr>
            <w:r>
              <w:rPr>
                <w:rFonts w:hint="eastAsia" w:ascii="Times New Roman" w:hAnsi="Times New Roman"/>
              </w:rPr>
              <w:t>原则上不得建设高层建筑</w:t>
            </w:r>
          </w:p>
        </w:tc>
      </w:tr>
      <w:tr w14:paraId="32415F87">
        <w:tblPrEx>
          <w:tblCellMar>
            <w:top w:w="0" w:type="dxa"/>
            <w:left w:w="108" w:type="dxa"/>
            <w:bottom w:w="0" w:type="dxa"/>
            <w:right w:w="108" w:type="dxa"/>
          </w:tblCellMar>
        </w:tblPrEx>
        <w:trPr>
          <w:trHeight w:val="525" w:hRule="atLeast"/>
          <w:jc w:val="center"/>
        </w:trPr>
        <w:tc>
          <w:tcPr>
            <w:tcW w:w="2824" w:type="dxa"/>
            <w:gridSpan w:val="2"/>
            <w:tcBorders>
              <w:top w:val="single" w:color="000000" w:sz="4" w:space="0"/>
              <w:left w:val="single" w:color="000000" w:sz="4" w:space="0"/>
              <w:bottom w:val="single" w:color="000000" w:sz="4" w:space="0"/>
              <w:right w:val="nil"/>
            </w:tcBorders>
            <w:shd w:val="clear" w:color="auto" w:fill="auto"/>
            <w:noWrap/>
            <w:vAlign w:val="center"/>
          </w:tcPr>
          <w:p w14:paraId="5F967F2D">
            <w:pPr>
              <w:pStyle w:val="37"/>
              <w:rPr>
                <w:rFonts w:ascii="Times New Roman" w:hAnsi="Times New Roman"/>
              </w:rPr>
            </w:pPr>
            <w:r>
              <w:rPr>
                <w:rFonts w:hint="eastAsia" w:ascii="Times New Roman" w:hAnsi="Times New Roman"/>
              </w:rPr>
              <w:t>公用设施用地（13）</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3077B">
            <w:pPr>
              <w:pStyle w:val="37"/>
              <w:rPr>
                <w:rFonts w:ascii="Times New Roman" w:hAnsi="Times New Roman"/>
              </w:rPr>
            </w:pPr>
            <w:r>
              <w:rPr>
                <w:rFonts w:hint="eastAsia" w:ascii="Times New Roman" w:hAnsi="Times New Roman"/>
              </w:rPr>
              <w:t>结合方案合理性确定</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FBFB9">
            <w:pPr>
              <w:pStyle w:val="37"/>
              <w:rPr>
                <w:rFonts w:ascii="Times New Roman" w:hAnsi="Times New Roman"/>
              </w:rPr>
            </w:pPr>
            <w:r>
              <w:rPr>
                <w:rFonts w:hint="eastAsia" w:ascii="Times New Roman" w:hAnsi="Times New Roman"/>
              </w:rPr>
              <w:t>结合方案合理性确定</w:t>
            </w:r>
          </w:p>
        </w:tc>
        <w:tc>
          <w:tcPr>
            <w:tcW w:w="2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E28AE">
            <w:pPr>
              <w:pStyle w:val="37"/>
              <w:rPr>
                <w:rFonts w:ascii="Times New Roman" w:hAnsi="Times New Roman"/>
              </w:rPr>
            </w:pPr>
            <w:r>
              <w:rPr>
                <w:rFonts w:hint="eastAsia" w:ascii="Times New Roman" w:hAnsi="Times New Roman"/>
              </w:rPr>
              <w:t>原则上不得建设高层建筑</w:t>
            </w:r>
          </w:p>
        </w:tc>
      </w:tr>
      <w:tr w14:paraId="7214460A">
        <w:tblPrEx>
          <w:tblCellMar>
            <w:top w:w="0" w:type="dxa"/>
            <w:left w:w="108" w:type="dxa"/>
            <w:bottom w:w="0" w:type="dxa"/>
            <w:right w:w="108" w:type="dxa"/>
          </w:tblCellMar>
        </w:tblPrEx>
        <w:trPr>
          <w:trHeight w:val="680" w:hRule="atLeast"/>
          <w:jc w:val="center"/>
        </w:trPr>
        <w:tc>
          <w:tcPr>
            <w:tcW w:w="9240" w:type="dxa"/>
            <w:gridSpan w:val="5"/>
            <w:tcBorders>
              <w:top w:val="nil"/>
              <w:left w:val="nil"/>
              <w:bottom w:val="nil"/>
              <w:right w:val="nil"/>
            </w:tcBorders>
            <w:shd w:val="clear" w:color="auto" w:fill="auto"/>
            <w:vAlign w:val="center"/>
          </w:tcPr>
          <w:p w14:paraId="6997D9A4">
            <w:pPr>
              <w:widowControl/>
              <w:spacing w:line="240" w:lineRule="auto"/>
              <w:ind w:firstLine="0" w:firstLineChars="0"/>
              <w:jc w:val="left"/>
              <w:textAlignment w:val="center"/>
              <w:rPr>
                <w:rFonts w:ascii="Times New Roman" w:hAnsi="Times New Roman" w:cs="方正仿宋_GBK"/>
                <w:sz w:val="20"/>
                <w:szCs w:val="20"/>
              </w:rPr>
            </w:pPr>
            <w:r>
              <w:rPr>
                <w:rFonts w:hint="eastAsia" w:ascii="Times New Roman" w:hAnsi="Times New Roman" w:cs="方正仿宋_GBK"/>
                <w:kern w:val="0"/>
                <w:sz w:val="24"/>
                <w:szCs w:val="24"/>
                <w:lang w:bidi="ar"/>
              </w:rPr>
              <w:t>注：1.以上指标为指引指标，新建项目宜达到指引标准，改、扩建项目参照使用。</w:t>
            </w:r>
            <w:r>
              <w:rPr>
                <w:rFonts w:hint="eastAsia" w:ascii="Times New Roman" w:hAnsi="Times New Roman" w:cs="方正仿宋_GBK"/>
                <w:kern w:val="0"/>
                <w:sz w:val="24"/>
                <w:szCs w:val="24"/>
                <w:lang w:bidi="ar"/>
              </w:rPr>
              <w:br w:type="textWrapping"/>
            </w:r>
            <w:r>
              <w:rPr>
                <w:rFonts w:hint="eastAsia" w:ascii="Times New Roman" w:hAnsi="Times New Roman" w:cs="方正仿宋_GBK"/>
                <w:kern w:val="0"/>
                <w:sz w:val="24"/>
                <w:szCs w:val="24"/>
                <w:lang w:bidi="ar"/>
              </w:rPr>
              <w:t xml:space="preserve">    2.特殊情况由</w:t>
            </w:r>
            <w:r>
              <w:rPr>
                <w:rFonts w:hint="eastAsia" w:ascii="Times New Roman" w:hAnsi="Times New Roman" w:cs="方正仿宋_GBK"/>
                <w:kern w:val="0"/>
                <w:sz w:val="24"/>
                <w:szCs w:val="24"/>
                <w:lang w:val="en-US" w:eastAsia="zh-CN" w:bidi="ar"/>
              </w:rPr>
              <w:t>巫溪县</w:t>
            </w:r>
            <w:r>
              <w:rPr>
                <w:rFonts w:hint="eastAsia" w:ascii="Times New Roman" w:hAnsi="Times New Roman" w:cs="方正仿宋_GBK"/>
                <w:kern w:val="0"/>
                <w:sz w:val="24"/>
                <w:szCs w:val="24"/>
                <w:lang w:bidi="ar"/>
              </w:rPr>
              <w:t>规划和自然资源局结合实际拟定指标。</w:t>
            </w:r>
          </w:p>
        </w:tc>
      </w:tr>
    </w:tbl>
    <w:p w14:paraId="6CEE9C42">
      <w:pPr>
        <w:spacing w:before="52"/>
        <w:ind w:firstLine="0" w:firstLineChars="0"/>
        <w:jc w:val="center"/>
        <w:rPr>
          <w:sz w:val="24"/>
        </w:rPr>
      </w:pPr>
    </w:p>
    <w:p w14:paraId="40943B87">
      <w:pPr>
        <w:ind w:firstLine="0" w:firstLineChars="0"/>
        <w:rPr>
          <w:rFonts w:cs="方正仿宋_GB2312"/>
          <w:bCs/>
        </w:rPr>
      </w:pPr>
    </w:p>
    <w:p w14:paraId="7E9AF25C">
      <w:pPr>
        <w:ind w:firstLine="0" w:firstLineChars="0"/>
        <w:rPr>
          <w:rFonts w:cs="方正仿宋_GB2312"/>
          <w:bCs/>
        </w:rPr>
        <w:sectPr>
          <w:pgSz w:w="11906" w:h="16838"/>
          <w:pgMar w:top="1701" w:right="1474" w:bottom="1191" w:left="1587" w:header="851" w:footer="992" w:gutter="0"/>
          <w:pgNumType w:start="1"/>
          <w:cols w:space="425" w:num="1"/>
          <w:docGrid w:type="lines" w:linePitch="312" w:charSpace="0"/>
        </w:sectPr>
      </w:pPr>
    </w:p>
    <w:p w14:paraId="7F388FA8">
      <w:pPr>
        <w:pStyle w:val="4"/>
        <w:spacing w:line="240" w:lineRule="auto"/>
        <w:jc w:val="left"/>
        <w:rPr>
          <w:rFonts w:hint="eastAsia" w:eastAsia="方正仿宋_GBK" w:cs="方正仿宋_GB2312"/>
          <w:b w:val="0"/>
          <w:bCs/>
          <w:highlight w:val="none"/>
          <w:lang w:val="en-US" w:eastAsia="zh-CN"/>
        </w:rPr>
      </w:pPr>
      <w:bookmarkStart w:id="93" w:name="_Toc12461"/>
      <w:r>
        <w:rPr>
          <w:rFonts w:hint="eastAsia" w:eastAsia="方正仿宋_GBK" w:cs="方正仿宋_GB2312"/>
          <w:b w:val="0"/>
          <w:bCs/>
          <w:highlight w:val="none"/>
        </w:rPr>
        <w:t>附录</w:t>
      </w:r>
      <w:r>
        <w:rPr>
          <w:rFonts w:hint="eastAsia" w:eastAsia="方正仿宋_GBK" w:cs="方正仿宋_GB2312"/>
          <w:b w:val="0"/>
          <w:bCs/>
          <w:highlight w:val="none"/>
          <w:lang w:val="en-US" w:eastAsia="zh-CN"/>
        </w:rPr>
        <w:t>8</w:t>
      </w:r>
    </w:p>
    <w:p w14:paraId="7ECC58AB">
      <w:pPr>
        <w:pStyle w:val="5"/>
        <w:ind w:firstLine="0" w:firstLineChars="0"/>
        <w:jc w:val="center"/>
        <w:rPr>
          <w:rFonts w:ascii="Times New Roman" w:hAnsi="Times New Roman" w:eastAsia="方正小标宋_GBK" w:cs="方正小标宋_GBK"/>
          <w:b w:val="0"/>
          <w:bCs/>
          <w:kern w:val="44"/>
        </w:rPr>
      </w:pPr>
      <w:r>
        <w:rPr>
          <w:rFonts w:hint="eastAsia" w:ascii="Times New Roman" w:hAnsi="Times New Roman" w:eastAsia="方正小标宋_GBK" w:cs="方正小标宋_GBK"/>
          <w:b w:val="0"/>
          <w:bCs/>
          <w:kern w:val="44"/>
        </w:rPr>
        <w:t>乡村地区重点地块图则示例</w:t>
      </w:r>
      <w:bookmarkEnd w:id="93"/>
    </w:p>
    <w:p w14:paraId="46E3C0ED">
      <w:pPr>
        <w:spacing w:line="240" w:lineRule="auto"/>
        <w:ind w:firstLine="0" w:firstLineChars="0"/>
        <w:jc w:val="center"/>
      </w:pPr>
      <w:r>
        <w:drawing>
          <wp:inline distT="0" distB="0" distL="114300" distR="114300">
            <wp:extent cx="6109335" cy="4406265"/>
            <wp:effectExtent l="0" t="0" r="5715"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rcRect b="1491"/>
                    <a:stretch>
                      <a:fillRect/>
                    </a:stretch>
                  </pic:blipFill>
                  <pic:spPr>
                    <a:xfrm>
                      <a:off x="0" y="0"/>
                      <a:ext cx="6109335" cy="4406265"/>
                    </a:xfrm>
                    <a:prstGeom prst="rect">
                      <a:avLst/>
                    </a:prstGeom>
                    <a:noFill/>
                    <a:ln>
                      <a:noFill/>
                    </a:ln>
                  </pic:spPr>
                </pic:pic>
              </a:graphicData>
            </a:graphic>
          </wp:inline>
        </w:drawing>
      </w:r>
    </w:p>
    <w:sectPr>
      <w:type w:val="continuous"/>
      <w:pgSz w:w="16838" w:h="11906" w:orient="landscape"/>
      <w:pgMar w:top="1587" w:right="1701" w:bottom="1474" w:left="119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D9309AE-154F-46ED-8E4E-0B11D6AB899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embedRegular r:id="rId2" w:fontKey="{3C5A8CC5-82E2-4D0B-8DB3-8AD521D47717}"/>
  </w:font>
  <w:font w:name="楷体">
    <w:panose1 w:val="02010609060101010101"/>
    <w:charset w:val="86"/>
    <w:family w:val="modern"/>
    <w:pitch w:val="default"/>
    <w:sig w:usb0="800002BF" w:usb1="38CF7CFA" w:usb2="00000016" w:usb3="00000000" w:csb0="00040001" w:csb1="00000000"/>
    <w:embedRegular r:id="rId3" w:fontKey="{126E08BB-80A1-414E-A153-D736F817196B}"/>
  </w:font>
  <w:font w:name="方正仿宋_GB2312">
    <w:panose1 w:val="02000000000000000000"/>
    <w:charset w:val="86"/>
    <w:family w:val="auto"/>
    <w:pitch w:val="default"/>
    <w:sig w:usb0="A00002BF" w:usb1="184F6CFA" w:usb2="00000012" w:usb3="00000000" w:csb0="00040001" w:csb1="00000000"/>
    <w:embedRegular r:id="rId4" w:fontKey="{41734705-4B09-43BD-97C5-987CB9081055}"/>
  </w:font>
  <w:font w:name="方正小标宋_GBK">
    <w:panose1 w:val="03000509000000000000"/>
    <w:charset w:val="86"/>
    <w:family w:val="script"/>
    <w:pitch w:val="default"/>
    <w:sig w:usb0="00000001" w:usb1="080E0000" w:usb2="00000000" w:usb3="00000000" w:csb0="00040000" w:csb1="00000000"/>
    <w:embedRegular r:id="rId5" w:fontKey="{0090276A-8503-4EC1-899A-AC3FC6D28DA9}"/>
  </w:font>
  <w:font w:name="微软雅黑">
    <w:panose1 w:val="020B0503020204020204"/>
    <w:charset w:val="86"/>
    <w:family w:val="swiss"/>
    <w:pitch w:val="default"/>
    <w:sig w:usb0="80000287" w:usb1="280F3C52" w:usb2="00000016" w:usb3="00000000" w:csb0="0004001F" w:csb1="00000000"/>
    <w:embedRegular r:id="rId6" w:fontKey="{71FAEF60-9941-4FBC-803E-A1B6B9643536}"/>
  </w:font>
  <w:font w:name="仿宋_GB2312">
    <w:panose1 w:val="02010609030101010101"/>
    <w:charset w:val="86"/>
    <w:family w:val="modern"/>
    <w:pitch w:val="default"/>
    <w:sig w:usb0="00000001" w:usb1="080E0000" w:usb2="00000000" w:usb3="00000000" w:csb0="00040000" w:csb1="00000000"/>
    <w:embedRegular r:id="rId7" w:fontKey="{EDF5B23E-682F-4931-ABCC-AEDBE5362BBC}"/>
  </w:font>
  <w:font w:name="仿宋">
    <w:panose1 w:val="02010609060101010101"/>
    <w:charset w:val="86"/>
    <w:family w:val="auto"/>
    <w:pitch w:val="default"/>
    <w:sig w:usb0="800002BF" w:usb1="38CF7CFA" w:usb2="00000016" w:usb3="00000000" w:csb0="00040001" w:csb1="00000000"/>
    <w:embedRegular r:id="rId8" w:fontKey="{B2913B8F-BB24-45EB-902E-9C9C529B6975}"/>
  </w:font>
  <w:font w:name="___WRD_EMBED_SUB_47">
    <w:panose1 w:val="02000000000000000000"/>
    <w:charset w:val="86"/>
    <w:family w:val="auto"/>
    <w:pitch w:val="default"/>
    <w:sig w:usb0="A00002BF" w:usb1="184F6CFA" w:usb2="00000012" w:usb3="00000000" w:csb0="00040001" w:csb1="00000000"/>
    <w:embedRegular r:id="rId9" w:fontKey="{8B051DB1-92B0-469B-883E-E80448D38C54}"/>
  </w:font>
  <w:font w:name="WPSEMBED3">
    <w:panose1 w:val="02000000000000000000"/>
    <w:charset w:val="86"/>
    <w:family w:val="auto"/>
    <w:pitch w:val="default"/>
    <w:sig w:usb0="A00002BF" w:usb1="184F6CFA" w:usb2="00000012" w:usb3="00000000" w:csb0="00040001" w:csb1="00000000"/>
  </w:font>
  <w:font w:name="WPSEMBED4">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08577">
    <w:pPr>
      <w:pStyle w:val="1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545E8">
    <w:pPr>
      <w:pStyle w:val="16"/>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3BF29">
                          <w:pPr>
                            <w:pStyle w:val="16"/>
                            <w:ind w:firstLine="360"/>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AA3BF29">
                    <w:pPr>
                      <w:pStyle w:val="16"/>
                      <w:ind w:firstLine="360"/>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E3C95">
    <w:pPr>
      <w:pStyle w:val="16"/>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81DFE7">
                          <w:pPr>
                            <w:pStyle w:val="16"/>
                            <w:ind w:firstLine="360"/>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E81DFE7">
                    <w:pPr>
                      <w:pStyle w:val="16"/>
                      <w:ind w:firstLine="360"/>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1A055">
    <w:pPr>
      <w:pStyle w:val="1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724B4"/>
    <w:multiLevelType w:val="singleLevel"/>
    <w:tmpl w:val="807724B4"/>
    <w:lvl w:ilvl="0" w:tentative="0">
      <w:start w:val="1"/>
      <w:numFmt w:val="decimal"/>
      <w:suff w:val="nothing"/>
      <w:lvlText w:val="%1."/>
      <w:lvlJc w:val="left"/>
      <w:pPr>
        <w:ind w:left="454" w:hanging="454"/>
      </w:pPr>
      <w:rPr>
        <w:rFonts w:hint="default"/>
      </w:rPr>
    </w:lvl>
  </w:abstractNum>
  <w:abstractNum w:abstractNumId="1">
    <w:nsid w:val="807DDF29"/>
    <w:multiLevelType w:val="singleLevel"/>
    <w:tmpl w:val="807DDF29"/>
    <w:lvl w:ilvl="0" w:tentative="0">
      <w:start w:val="1"/>
      <w:numFmt w:val="decimal"/>
      <w:suff w:val="nothing"/>
      <w:lvlText w:val="%1."/>
      <w:lvlJc w:val="left"/>
      <w:pPr>
        <w:ind w:left="454" w:hanging="454"/>
      </w:pPr>
      <w:rPr>
        <w:rFonts w:hint="default"/>
      </w:rPr>
    </w:lvl>
  </w:abstractNum>
  <w:abstractNum w:abstractNumId="2">
    <w:nsid w:val="850659ED"/>
    <w:multiLevelType w:val="singleLevel"/>
    <w:tmpl w:val="850659ED"/>
    <w:lvl w:ilvl="0" w:tentative="0">
      <w:start w:val="1"/>
      <w:numFmt w:val="decimal"/>
      <w:suff w:val="nothing"/>
      <w:lvlText w:val="%1."/>
      <w:lvlJc w:val="left"/>
      <w:pPr>
        <w:ind w:left="454" w:hanging="454"/>
      </w:pPr>
      <w:rPr>
        <w:rFonts w:hint="default"/>
        <w:b w:val="0"/>
        <w:bCs w:val="0"/>
      </w:rPr>
    </w:lvl>
  </w:abstractNum>
  <w:abstractNum w:abstractNumId="3">
    <w:nsid w:val="878DFAC3"/>
    <w:multiLevelType w:val="multilevel"/>
    <w:tmpl w:val="878DFAC3"/>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pStyle w:val="8"/>
      <w:lvlText w:val="%1.%2.%3.%4.%5.%6."/>
      <w:lvlJc w:val="left"/>
      <w:pPr>
        <w:ind w:left="178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4">
    <w:nsid w:val="886A9845"/>
    <w:multiLevelType w:val="singleLevel"/>
    <w:tmpl w:val="886A9845"/>
    <w:lvl w:ilvl="0" w:tentative="0">
      <w:start w:val="1"/>
      <w:numFmt w:val="decimal"/>
      <w:suff w:val="nothing"/>
      <w:lvlText w:val="%1）"/>
      <w:lvlJc w:val="left"/>
      <w:rPr>
        <w:rFonts w:hint="default"/>
        <w:b w:val="0"/>
        <w:bCs w:val="0"/>
      </w:rPr>
    </w:lvl>
  </w:abstractNum>
  <w:abstractNum w:abstractNumId="5">
    <w:nsid w:val="DD229E7E"/>
    <w:multiLevelType w:val="singleLevel"/>
    <w:tmpl w:val="DD229E7E"/>
    <w:lvl w:ilvl="0" w:tentative="0">
      <w:start w:val="1"/>
      <w:numFmt w:val="decimal"/>
      <w:suff w:val="nothing"/>
      <w:lvlText w:val="%1）"/>
      <w:lvlJc w:val="left"/>
    </w:lvl>
  </w:abstractNum>
  <w:abstractNum w:abstractNumId="6">
    <w:nsid w:val="E7AEE201"/>
    <w:multiLevelType w:val="singleLevel"/>
    <w:tmpl w:val="E7AEE201"/>
    <w:lvl w:ilvl="0" w:tentative="0">
      <w:start w:val="1"/>
      <w:numFmt w:val="decimal"/>
      <w:suff w:val="nothing"/>
      <w:lvlText w:val="%1）"/>
      <w:lvlJc w:val="left"/>
    </w:lvl>
  </w:abstractNum>
  <w:abstractNum w:abstractNumId="7">
    <w:nsid w:val="074F2427"/>
    <w:multiLevelType w:val="multilevel"/>
    <w:tmpl w:val="074F2427"/>
    <w:lvl w:ilvl="0" w:tentative="0">
      <w:start w:val="1"/>
      <w:numFmt w:val="chineseCountingThousand"/>
      <w:suff w:val="nothing"/>
      <w:lvlText w:val="(%1)"/>
      <w:lvlJc w:val="left"/>
      <w:pPr>
        <w:ind w:left="1022" w:hanging="420"/>
      </w:pPr>
      <w:rPr>
        <w:rFonts w:hint="eastAsia"/>
      </w:rPr>
    </w:lvl>
    <w:lvl w:ilvl="1" w:tentative="0">
      <w:start w:val="1"/>
      <w:numFmt w:val="lowerLetter"/>
      <w:lvlText w:val="%2)"/>
      <w:lvlJc w:val="left"/>
      <w:pPr>
        <w:ind w:left="1442" w:hanging="420"/>
      </w:pPr>
    </w:lvl>
    <w:lvl w:ilvl="2" w:tentative="0">
      <w:start w:val="1"/>
      <w:numFmt w:val="lowerRoman"/>
      <w:lvlText w:val="%3."/>
      <w:lvlJc w:val="right"/>
      <w:pPr>
        <w:ind w:left="1862" w:hanging="420"/>
      </w:pPr>
    </w:lvl>
    <w:lvl w:ilvl="3" w:tentative="0">
      <w:start w:val="1"/>
      <w:numFmt w:val="decimal"/>
      <w:lvlText w:val="%4."/>
      <w:lvlJc w:val="left"/>
      <w:pPr>
        <w:ind w:left="2282" w:hanging="420"/>
      </w:pPr>
    </w:lvl>
    <w:lvl w:ilvl="4" w:tentative="0">
      <w:start w:val="1"/>
      <w:numFmt w:val="lowerLetter"/>
      <w:lvlText w:val="%5)"/>
      <w:lvlJc w:val="left"/>
      <w:pPr>
        <w:ind w:left="2702" w:hanging="420"/>
      </w:pPr>
    </w:lvl>
    <w:lvl w:ilvl="5" w:tentative="0">
      <w:start w:val="1"/>
      <w:numFmt w:val="lowerRoman"/>
      <w:lvlText w:val="%6."/>
      <w:lvlJc w:val="right"/>
      <w:pPr>
        <w:ind w:left="3122" w:hanging="420"/>
      </w:pPr>
    </w:lvl>
    <w:lvl w:ilvl="6" w:tentative="0">
      <w:start w:val="1"/>
      <w:numFmt w:val="decimal"/>
      <w:lvlText w:val="%7."/>
      <w:lvlJc w:val="left"/>
      <w:pPr>
        <w:ind w:left="3542" w:hanging="420"/>
      </w:pPr>
    </w:lvl>
    <w:lvl w:ilvl="7" w:tentative="0">
      <w:start w:val="1"/>
      <w:numFmt w:val="lowerLetter"/>
      <w:lvlText w:val="%8)"/>
      <w:lvlJc w:val="left"/>
      <w:pPr>
        <w:ind w:left="3962" w:hanging="420"/>
      </w:pPr>
    </w:lvl>
    <w:lvl w:ilvl="8" w:tentative="0">
      <w:start w:val="1"/>
      <w:numFmt w:val="lowerRoman"/>
      <w:lvlText w:val="%9."/>
      <w:lvlJc w:val="right"/>
      <w:pPr>
        <w:ind w:left="4382" w:hanging="420"/>
      </w:pPr>
    </w:lvl>
  </w:abstractNum>
  <w:abstractNum w:abstractNumId="8">
    <w:nsid w:val="3189F0B4"/>
    <w:multiLevelType w:val="singleLevel"/>
    <w:tmpl w:val="3189F0B4"/>
    <w:lvl w:ilvl="0" w:tentative="0">
      <w:start w:val="1"/>
      <w:numFmt w:val="decimal"/>
      <w:suff w:val="space"/>
      <w:lvlText w:val="%1."/>
      <w:lvlJc w:val="left"/>
    </w:lvl>
  </w:abstractNum>
  <w:abstractNum w:abstractNumId="9">
    <w:nsid w:val="3731A225"/>
    <w:multiLevelType w:val="singleLevel"/>
    <w:tmpl w:val="3731A225"/>
    <w:lvl w:ilvl="0" w:tentative="0">
      <w:start w:val="1"/>
      <w:numFmt w:val="decimal"/>
      <w:suff w:val="nothing"/>
      <w:lvlText w:val="%1）"/>
      <w:lvlJc w:val="left"/>
    </w:lvl>
  </w:abstractNum>
  <w:abstractNum w:abstractNumId="10">
    <w:nsid w:val="5029D038"/>
    <w:multiLevelType w:val="singleLevel"/>
    <w:tmpl w:val="5029D038"/>
    <w:lvl w:ilvl="0" w:tentative="0">
      <w:start w:val="2"/>
      <w:numFmt w:val="decimal"/>
      <w:suff w:val="nothing"/>
      <w:lvlText w:val="%1）"/>
      <w:lvlJc w:val="left"/>
    </w:lvl>
  </w:abstractNum>
  <w:abstractNum w:abstractNumId="11">
    <w:nsid w:val="7033F32A"/>
    <w:multiLevelType w:val="multilevel"/>
    <w:tmpl w:val="7033F32A"/>
    <w:lvl w:ilvl="0" w:tentative="0">
      <w:start w:val="1"/>
      <w:numFmt w:val="decimal"/>
      <w:suff w:val="nothing"/>
      <w:lvlText w:val="%1."/>
      <w:lvlJc w:val="left"/>
      <w:pPr>
        <w:ind w:left="454" w:hanging="454"/>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728A6C82"/>
    <w:multiLevelType w:val="multilevel"/>
    <w:tmpl w:val="728A6C82"/>
    <w:lvl w:ilvl="0" w:tentative="0">
      <w:start w:val="1"/>
      <w:numFmt w:val="chineseCountingThousand"/>
      <w:suff w:val="nothing"/>
      <w:lvlText w:val="(%1)"/>
      <w:lvlJc w:val="left"/>
      <w:pPr>
        <w:ind w:left="1022" w:hanging="420"/>
      </w:pPr>
      <w:rPr>
        <w:rFonts w:hint="eastAsia"/>
      </w:rPr>
    </w:lvl>
    <w:lvl w:ilvl="1" w:tentative="0">
      <w:start w:val="1"/>
      <w:numFmt w:val="lowerLetter"/>
      <w:lvlText w:val="%2)"/>
      <w:lvlJc w:val="left"/>
      <w:pPr>
        <w:ind w:left="1442" w:hanging="420"/>
      </w:pPr>
    </w:lvl>
    <w:lvl w:ilvl="2" w:tentative="0">
      <w:start w:val="1"/>
      <w:numFmt w:val="lowerRoman"/>
      <w:lvlText w:val="%3."/>
      <w:lvlJc w:val="right"/>
      <w:pPr>
        <w:ind w:left="1862" w:hanging="420"/>
      </w:pPr>
    </w:lvl>
    <w:lvl w:ilvl="3" w:tentative="0">
      <w:start w:val="1"/>
      <w:numFmt w:val="decimal"/>
      <w:lvlText w:val="%4."/>
      <w:lvlJc w:val="left"/>
      <w:pPr>
        <w:ind w:left="2282" w:hanging="420"/>
      </w:pPr>
    </w:lvl>
    <w:lvl w:ilvl="4" w:tentative="0">
      <w:start w:val="1"/>
      <w:numFmt w:val="lowerLetter"/>
      <w:lvlText w:val="%5)"/>
      <w:lvlJc w:val="left"/>
      <w:pPr>
        <w:ind w:left="2702" w:hanging="420"/>
      </w:pPr>
    </w:lvl>
    <w:lvl w:ilvl="5" w:tentative="0">
      <w:start w:val="1"/>
      <w:numFmt w:val="lowerRoman"/>
      <w:lvlText w:val="%6."/>
      <w:lvlJc w:val="right"/>
      <w:pPr>
        <w:ind w:left="3122" w:hanging="420"/>
      </w:pPr>
    </w:lvl>
    <w:lvl w:ilvl="6" w:tentative="0">
      <w:start w:val="1"/>
      <w:numFmt w:val="decimal"/>
      <w:lvlText w:val="%7."/>
      <w:lvlJc w:val="left"/>
      <w:pPr>
        <w:ind w:left="3542" w:hanging="420"/>
      </w:pPr>
    </w:lvl>
    <w:lvl w:ilvl="7" w:tentative="0">
      <w:start w:val="1"/>
      <w:numFmt w:val="lowerLetter"/>
      <w:lvlText w:val="%8)"/>
      <w:lvlJc w:val="left"/>
      <w:pPr>
        <w:ind w:left="3962" w:hanging="420"/>
      </w:pPr>
    </w:lvl>
    <w:lvl w:ilvl="8" w:tentative="0">
      <w:start w:val="1"/>
      <w:numFmt w:val="lowerRoman"/>
      <w:lvlText w:val="%9."/>
      <w:lvlJc w:val="right"/>
      <w:pPr>
        <w:ind w:left="4382" w:hanging="420"/>
      </w:pPr>
    </w:lvl>
  </w:abstractNum>
  <w:num w:numId="1">
    <w:abstractNumId w:val="3"/>
  </w:num>
  <w:num w:numId="2">
    <w:abstractNumId w:val="7"/>
  </w:num>
  <w:num w:numId="3">
    <w:abstractNumId w:val="12"/>
  </w:num>
  <w:num w:numId="4">
    <w:abstractNumId w:val="10"/>
  </w:num>
  <w:num w:numId="5">
    <w:abstractNumId w:val="6"/>
  </w:num>
  <w:num w:numId="6">
    <w:abstractNumId w:val="9"/>
  </w:num>
  <w:num w:numId="7">
    <w:abstractNumId w:val="5"/>
  </w:num>
  <w:num w:numId="8">
    <w:abstractNumId w:val="4"/>
  </w:num>
  <w:num w:numId="9">
    <w:abstractNumId w:val="8"/>
  </w:num>
  <w:num w:numId="10">
    <w:abstractNumId w:val="1"/>
  </w:num>
  <w:num w:numId="11">
    <w:abstractNumId w:val="0"/>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EE0"/>
    <w:rsid w:val="000778F3"/>
    <w:rsid w:val="00077FCE"/>
    <w:rsid w:val="00194D44"/>
    <w:rsid w:val="001A4761"/>
    <w:rsid w:val="001C3322"/>
    <w:rsid w:val="001D5C24"/>
    <w:rsid w:val="00204299"/>
    <w:rsid w:val="00235EE0"/>
    <w:rsid w:val="00241DA5"/>
    <w:rsid w:val="00276A89"/>
    <w:rsid w:val="00277514"/>
    <w:rsid w:val="002A3575"/>
    <w:rsid w:val="002C0026"/>
    <w:rsid w:val="002D61ED"/>
    <w:rsid w:val="002F2387"/>
    <w:rsid w:val="00311DE1"/>
    <w:rsid w:val="00376A10"/>
    <w:rsid w:val="00396E1F"/>
    <w:rsid w:val="003C1BF0"/>
    <w:rsid w:val="003C6E4D"/>
    <w:rsid w:val="003D6076"/>
    <w:rsid w:val="003E0D01"/>
    <w:rsid w:val="003F0179"/>
    <w:rsid w:val="00435B9A"/>
    <w:rsid w:val="00457523"/>
    <w:rsid w:val="004722DC"/>
    <w:rsid w:val="004734E6"/>
    <w:rsid w:val="004911D6"/>
    <w:rsid w:val="004B4549"/>
    <w:rsid w:val="004E1CD8"/>
    <w:rsid w:val="004E324E"/>
    <w:rsid w:val="00500245"/>
    <w:rsid w:val="00512DCA"/>
    <w:rsid w:val="005A7030"/>
    <w:rsid w:val="005C4630"/>
    <w:rsid w:val="005D1265"/>
    <w:rsid w:val="005D41FB"/>
    <w:rsid w:val="005E1336"/>
    <w:rsid w:val="0061603B"/>
    <w:rsid w:val="00641AA1"/>
    <w:rsid w:val="00644408"/>
    <w:rsid w:val="00672A31"/>
    <w:rsid w:val="006B04BE"/>
    <w:rsid w:val="007E242B"/>
    <w:rsid w:val="00813266"/>
    <w:rsid w:val="00814B4C"/>
    <w:rsid w:val="0082174B"/>
    <w:rsid w:val="00844FF6"/>
    <w:rsid w:val="00875BD4"/>
    <w:rsid w:val="00897ACF"/>
    <w:rsid w:val="00897F34"/>
    <w:rsid w:val="008A6071"/>
    <w:rsid w:val="008D7795"/>
    <w:rsid w:val="009160AC"/>
    <w:rsid w:val="009300AE"/>
    <w:rsid w:val="009646AB"/>
    <w:rsid w:val="00971900"/>
    <w:rsid w:val="009E68A7"/>
    <w:rsid w:val="009F0AA9"/>
    <w:rsid w:val="009F5702"/>
    <w:rsid w:val="00AB6990"/>
    <w:rsid w:val="00AF5932"/>
    <w:rsid w:val="00B266B4"/>
    <w:rsid w:val="00B60945"/>
    <w:rsid w:val="00B71CFD"/>
    <w:rsid w:val="00BB0765"/>
    <w:rsid w:val="00BE1DD5"/>
    <w:rsid w:val="00BF7B54"/>
    <w:rsid w:val="00C20F57"/>
    <w:rsid w:val="00C221A1"/>
    <w:rsid w:val="00C85D7A"/>
    <w:rsid w:val="00C90E67"/>
    <w:rsid w:val="00D019B5"/>
    <w:rsid w:val="00D300B6"/>
    <w:rsid w:val="00D454E0"/>
    <w:rsid w:val="00D51479"/>
    <w:rsid w:val="00D815C0"/>
    <w:rsid w:val="00DA6893"/>
    <w:rsid w:val="00DB1366"/>
    <w:rsid w:val="00DC6495"/>
    <w:rsid w:val="00DD5935"/>
    <w:rsid w:val="00DE5CB9"/>
    <w:rsid w:val="00DF38C0"/>
    <w:rsid w:val="00E63628"/>
    <w:rsid w:val="00E85A03"/>
    <w:rsid w:val="00EA1BB6"/>
    <w:rsid w:val="00EB534B"/>
    <w:rsid w:val="00ED1FF9"/>
    <w:rsid w:val="00EE5C54"/>
    <w:rsid w:val="00EF13E3"/>
    <w:rsid w:val="00F01444"/>
    <w:rsid w:val="00F11E10"/>
    <w:rsid w:val="00F33AB4"/>
    <w:rsid w:val="00F34787"/>
    <w:rsid w:val="00F35807"/>
    <w:rsid w:val="00F81B70"/>
    <w:rsid w:val="00F86A0B"/>
    <w:rsid w:val="00F97998"/>
    <w:rsid w:val="00FA2961"/>
    <w:rsid w:val="00FC558A"/>
    <w:rsid w:val="01545A05"/>
    <w:rsid w:val="017C6D0A"/>
    <w:rsid w:val="01A4698D"/>
    <w:rsid w:val="02425E99"/>
    <w:rsid w:val="027D02EA"/>
    <w:rsid w:val="02A347D2"/>
    <w:rsid w:val="02E626CF"/>
    <w:rsid w:val="033A5634"/>
    <w:rsid w:val="04513BA5"/>
    <w:rsid w:val="04A13FDD"/>
    <w:rsid w:val="057743B8"/>
    <w:rsid w:val="05BF6AF6"/>
    <w:rsid w:val="060E19D4"/>
    <w:rsid w:val="06A91D9D"/>
    <w:rsid w:val="06F12FF6"/>
    <w:rsid w:val="07164A72"/>
    <w:rsid w:val="07CE6D9F"/>
    <w:rsid w:val="087D2756"/>
    <w:rsid w:val="087F0F2D"/>
    <w:rsid w:val="09903C9B"/>
    <w:rsid w:val="09A6701A"/>
    <w:rsid w:val="0A072B0C"/>
    <w:rsid w:val="0B0304CD"/>
    <w:rsid w:val="0B706589"/>
    <w:rsid w:val="0BE26931"/>
    <w:rsid w:val="0BF95B27"/>
    <w:rsid w:val="0C193AD3"/>
    <w:rsid w:val="0C455D2F"/>
    <w:rsid w:val="0C4F517F"/>
    <w:rsid w:val="0C6C454B"/>
    <w:rsid w:val="0D0F4ED6"/>
    <w:rsid w:val="0D3B3AEC"/>
    <w:rsid w:val="0D662D48"/>
    <w:rsid w:val="0E3A5F83"/>
    <w:rsid w:val="0E4B3D7D"/>
    <w:rsid w:val="0E7F07B7"/>
    <w:rsid w:val="0EAD49A7"/>
    <w:rsid w:val="0F2531FF"/>
    <w:rsid w:val="10226287"/>
    <w:rsid w:val="10270E0E"/>
    <w:rsid w:val="10F24F9E"/>
    <w:rsid w:val="111306FD"/>
    <w:rsid w:val="11286567"/>
    <w:rsid w:val="11A46535"/>
    <w:rsid w:val="1209047D"/>
    <w:rsid w:val="12355743"/>
    <w:rsid w:val="139E3033"/>
    <w:rsid w:val="14216205"/>
    <w:rsid w:val="14BC6A71"/>
    <w:rsid w:val="153410F1"/>
    <w:rsid w:val="1578136B"/>
    <w:rsid w:val="159B5CE6"/>
    <w:rsid w:val="15CE6F07"/>
    <w:rsid w:val="15E91241"/>
    <w:rsid w:val="16F37B9A"/>
    <w:rsid w:val="17231CAA"/>
    <w:rsid w:val="172C5003"/>
    <w:rsid w:val="17471808"/>
    <w:rsid w:val="17607062"/>
    <w:rsid w:val="17F03046"/>
    <w:rsid w:val="17F466F2"/>
    <w:rsid w:val="181B2472"/>
    <w:rsid w:val="18315B9D"/>
    <w:rsid w:val="186E58B5"/>
    <w:rsid w:val="19664C5F"/>
    <w:rsid w:val="19A02914"/>
    <w:rsid w:val="19AF1F1B"/>
    <w:rsid w:val="1A0302B1"/>
    <w:rsid w:val="1ADF2A24"/>
    <w:rsid w:val="1B5421DA"/>
    <w:rsid w:val="1BA364EF"/>
    <w:rsid w:val="1C1D13BE"/>
    <w:rsid w:val="1C250273"/>
    <w:rsid w:val="1C882790"/>
    <w:rsid w:val="1CCE718F"/>
    <w:rsid w:val="1CEC68C8"/>
    <w:rsid w:val="1D26300C"/>
    <w:rsid w:val="1DD07515"/>
    <w:rsid w:val="1E9962A6"/>
    <w:rsid w:val="1FA808BB"/>
    <w:rsid w:val="202D3BB8"/>
    <w:rsid w:val="202F3999"/>
    <w:rsid w:val="204F3B10"/>
    <w:rsid w:val="20654B12"/>
    <w:rsid w:val="208E227B"/>
    <w:rsid w:val="213438D5"/>
    <w:rsid w:val="23363682"/>
    <w:rsid w:val="23976C9D"/>
    <w:rsid w:val="239B0E1A"/>
    <w:rsid w:val="23FF50D7"/>
    <w:rsid w:val="246C776A"/>
    <w:rsid w:val="25465E0C"/>
    <w:rsid w:val="256E0327"/>
    <w:rsid w:val="25B941EA"/>
    <w:rsid w:val="25DA0320"/>
    <w:rsid w:val="260D18F8"/>
    <w:rsid w:val="2612692C"/>
    <w:rsid w:val="265E2B90"/>
    <w:rsid w:val="265E57FF"/>
    <w:rsid w:val="26774618"/>
    <w:rsid w:val="26A14933"/>
    <w:rsid w:val="26EB3B6A"/>
    <w:rsid w:val="27310935"/>
    <w:rsid w:val="28366882"/>
    <w:rsid w:val="28464EED"/>
    <w:rsid w:val="289A2E5C"/>
    <w:rsid w:val="28B409B4"/>
    <w:rsid w:val="29313AF0"/>
    <w:rsid w:val="294F337E"/>
    <w:rsid w:val="29565399"/>
    <w:rsid w:val="2A781EB5"/>
    <w:rsid w:val="2A8C622F"/>
    <w:rsid w:val="2A9319D5"/>
    <w:rsid w:val="2B0B31AB"/>
    <w:rsid w:val="2B2E0D84"/>
    <w:rsid w:val="2C605DD4"/>
    <w:rsid w:val="2C840FA8"/>
    <w:rsid w:val="2C8C1902"/>
    <w:rsid w:val="2D39592C"/>
    <w:rsid w:val="2D8D7A26"/>
    <w:rsid w:val="2DB86798"/>
    <w:rsid w:val="2DCA0C7A"/>
    <w:rsid w:val="2E251BC2"/>
    <w:rsid w:val="2EE67D35"/>
    <w:rsid w:val="2F0C1232"/>
    <w:rsid w:val="2F642A08"/>
    <w:rsid w:val="300E28F3"/>
    <w:rsid w:val="307114A2"/>
    <w:rsid w:val="3078676B"/>
    <w:rsid w:val="307A6987"/>
    <w:rsid w:val="307D6477"/>
    <w:rsid w:val="30B5176D"/>
    <w:rsid w:val="30D83496"/>
    <w:rsid w:val="30F73783"/>
    <w:rsid w:val="313B208F"/>
    <w:rsid w:val="31833929"/>
    <w:rsid w:val="31FA4791"/>
    <w:rsid w:val="320404F4"/>
    <w:rsid w:val="328E23C6"/>
    <w:rsid w:val="32B174FC"/>
    <w:rsid w:val="32BA0C51"/>
    <w:rsid w:val="32D57EA5"/>
    <w:rsid w:val="32DC60B2"/>
    <w:rsid w:val="3337066A"/>
    <w:rsid w:val="334868C9"/>
    <w:rsid w:val="33C30438"/>
    <w:rsid w:val="342A4220"/>
    <w:rsid w:val="346040E6"/>
    <w:rsid w:val="34695AE1"/>
    <w:rsid w:val="346D1713"/>
    <w:rsid w:val="35585E1E"/>
    <w:rsid w:val="36154A5C"/>
    <w:rsid w:val="3622753F"/>
    <w:rsid w:val="369E0BFD"/>
    <w:rsid w:val="36D164D0"/>
    <w:rsid w:val="38305B0C"/>
    <w:rsid w:val="383423F9"/>
    <w:rsid w:val="391001EC"/>
    <w:rsid w:val="393C1607"/>
    <w:rsid w:val="396E5A71"/>
    <w:rsid w:val="3A6D48E4"/>
    <w:rsid w:val="3AD2688E"/>
    <w:rsid w:val="3AEC0481"/>
    <w:rsid w:val="3AF13CEA"/>
    <w:rsid w:val="3B0D21A6"/>
    <w:rsid w:val="3B255741"/>
    <w:rsid w:val="3C862210"/>
    <w:rsid w:val="3C940DD1"/>
    <w:rsid w:val="3D28051B"/>
    <w:rsid w:val="3D3838E5"/>
    <w:rsid w:val="3D3D6D72"/>
    <w:rsid w:val="3D622C7D"/>
    <w:rsid w:val="3F602DA2"/>
    <w:rsid w:val="3FE91433"/>
    <w:rsid w:val="3FFA6229"/>
    <w:rsid w:val="40F01597"/>
    <w:rsid w:val="40F47241"/>
    <w:rsid w:val="410C362B"/>
    <w:rsid w:val="412F048A"/>
    <w:rsid w:val="41650F8E"/>
    <w:rsid w:val="428533D4"/>
    <w:rsid w:val="42C15221"/>
    <w:rsid w:val="430873BE"/>
    <w:rsid w:val="434B216A"/>
    <w:rsid w:val="435260CF"/>
    <w:rsid w:val="436345CB"/>
    <w:rsid w:val="43880F63"/>
    <w:rsid w:val="442C18EF"/>
    <w:rsid w:val="4497145E"/>
    <w:rsid w:val="451404B9"/>
    <w:rsid w:val="4523492D"/>
    <w:rsid w:val="45B95FC5"/>
    <w:rsid w:val="46896CFD"/>
    <w:rsid w:val="469E07A6"/>
    <w:rsid w:val="46E415ED"/>
    <w:rsid w:val="47033598"/>
    <w:rsid w:val="471E6C7C"/>
    <w:rsid w:val="47404D98"/>
    <w:rsid w:val="4799373F"/>
    <w:rsid w:val="482B265C"/>
    <w:rsid w:val="48335083"/>
    <w:rsid w:val="48501386"/>
    <w:rsid w:val="487A22CA"/>
    <w:rsid w:val="487B0CC5"/>
    <w:rsid w:val="48E93961"/>
    <w:rsid w:val="4980029E"/>
    <w:rsid w:val="4A392FB7"/>
    <w:rsid w:val="4A617E1F"/>
    <w:rsid w:val="4BA00237"/>
    <w:rsid w:val="4BCF1B14"/>
    <w:rsid w:val="4BD04E47"/>
    <w:rsid w:val="4C450930"/>
    <w:rsid w:val="4C59519E"/>
    <w:rsid w:val="4C843547"/>
    <w:rsid w:val="4CD202F4"/>
    <w:rsid w:val="4D0D272C"/>
    <w:rsid w:val="4D9549A9"/>
    <w:rsid w:val="4D9E1AAF"/>
    <w:rsid w:val="4DEE4968"/>
    <w:rsid w:val="4F0E4A13"/>
    <w:rsid w:val="4F9D18F3"/>
    <w:rsid w:val="4FB235F0"/>
    <w:rsid w:val="4FFC55FE"/>
    <w:rsid w:val="500B6A73"/>
    <w:rsid w:val="507C775A"/>
    <w:rsid w:val="50C22669"/>
    <w:rsid w:val="5196484B"/>
    <w:rsid w:val="51AB479B"/>
    <w:rsid w:val="52A22521"/>
    <w:rsid w:val="53165C44"/>
    <w:rsid w:val="547D1CF3"/>
    <w:rsid w:val="55127454"/>
    <w:rsid w:val="551933DF"/>
    <w:rsid w:val="553F1AD6"/>
    <w:rsid w:val="55923671"/>
    <w:rsid w:val="55D83684"/>
    <w:rsid w:val="56230EA8"/>
    <w:rsid w:val="562A3027"/>
    <w:rsid w:val="56A97E9D"/>
    <w:rsid w:val="57D834A2"/>
    <w:rsid w:val="58022C3B"/>
    <w:rsid w:val="590844AD"/>
    <w:rsid w:val="5B7200D7"/>
    <w:rsid w:val="5C0A0310"/>
    <w:rsid w:val="5C267B9F"/>
    <w:rsid w:val="5C55596B"/>
    <w:rsid w:val="5C8E4111"/>
    <w:rsid w:val="5CFA4828"/>
    <w:rsid w:val="5D7C6FEB"/>
    <w:rsid w:val="5DC25383"/>
    <w:rsid w:val="5DF631B4"/>
    <w:rsid w:val="5E153AB1"/>
    <w:rsid w:val="5E207C55"/>
    <w:rsid w:val="5E257683"/>
    <w:rsid w:val="5E940365"/>
    <w:rsid w:val="5F122D98"/>
    <w:rsid w:val="5F1F772A"/>
    <w:rsid w:val="5F3B02CD"/>
    <w:rsid w:val="601C4081"/>
    <w:rsid w:val="60E530F9"/>
    <w:rsid w:val="61D92C5E"/>
    <w:rsid w:val="626562A0"/>
    <w:rsid w:val="6320666B"/>
    <w:rsid w:val="6386246E"/>
    <w:rsid w:val="648F468F"/>
    <w:rsid w:val="64994927"/>
    <w:rsid w:val="65A56070"/>
    <w:rsid w:val="65F30067"/>
    <w:rsid w:val="66726688"/>
    <w:rsid w:val="66815672"/>
    <w:rsid w:val="66886A01"/>
    <w:rsid w:val="66E3729C"/>
    <w:rsid w:val="67874F0A"/>
    <w:rsid w:val="67E4410B"/>
    <w:rsid w:val="68227846"/>
    <w:rsid w:val="68294A73"/>
    <w:rsid w:val="68D704C3"/>
    <w:rsid w:val="68F30CB2"/>
    <w:rsid w:val="68F71C1C"/>
    <w:rsid w:val="69781B4C"/>
    <w:rsid w:val="69927BAF"/>
    <w:rsid w:val="69950292"/>
    <w:rsid w:val="6A392140"/>
    <w:rsid w:val="6A4F5B04"/>
    <w:rsid w:val="6A884DA6"/>
    <w:rsid w:val="6AC454F4"/>
    <w:rsid w:val="6AFF21DF"/>
    <w:rsid w:val="6BBE7FA7"/>
    <w:rsid w:val="6C2B055A"/>
    <w:rsid w:val="6C450EF0"/>
    <w:rsid w:val="6C7D73BD"/>
    <w:rsid w:val="6D38376D"/>
    <w:rsid w:val="6D490185"/>
    <w:rsid w:val="6D6F091A"/>
    <w:rsid w:val="6DD8201C"/>
    <w:rsid w:val="6DE0582C"/>
    <w:rsid w:val="6E3A3A96"/>
    <w:rsid w:val="6E623CFD"/>
    <w:rsid w:val="6EDD6954"/>
    <w:rsid w:val="6F1A33A9"/>
    <w:rsid w:val="6F46176F"/>
    <w:rsid w:val="6FF46EB5"/>
    <w:rsid w:val="7080400C"/>
    <w:rsid w:val="70A66401"/>
    <w:rsid w:val="70A73F1B"/>
    <w:rsid w:val="70E7271A"/>
    <w:rsid w:val="70FC0717"/>
    <w:rsid w:val="72121874"/>
    <w:rsid w:val="721478BD"/>
    <w:rsid w:val="72183873"/>
    <w:rsid w:val="72DD1A95"/>
    <w:rsid w:val="72F960EF"/>
    <w:rsid w:val="73713D9D"/>
    <w:rsid w:val="74A72748"/>
    <w:rsid w:val="74C7103C"/>
    <w:rsid w:val="751C7A64"/>
    <w:rsid w:val="753E5BC8"/>
    <w:rsid w:val="759269FA"/>
    <w:rsid w:val="75F40DB0"/>
    <w:rsid w:val="76785167"/>
    <w:rsid w:val="76C76AE4"/>
    <w:rsid w:val="7702646D"/>
    <w:rsid w:val="77B74BD0"/>
    <w:rsid w:val="78A6011F"/>
    <w:rsid w:val="793C12BF"/>
    <w:rsid w:val="793E15F9"/>
    <w:rsid w:val="797B4B3A"/>
    <w:rsid w:val="797E5B78"/>
    <w:rsid w:val="799B5CEC"/>
    <w:rsid w:val="79A44124"/>
    <w:rsid w:val="79B52FDD"/>
    <w:rsid w:val="7A645338"/>
    <w:rsid w:val="7B354232"/>
    <w:rsid w:val="7BFD19B8"/>
    <w:rsid w:val="7C6C3D4A"/>
    <w:rsid w:val="7D430708"/>
    <w:rsid w:val="7DA26FE3"/>
    <w:rsid w:val="7E547BDF"/>
    <w:rsid w:val="7F577633"/>
    <w:rsid w:val="7F991279"/>
    <w:rsid w:val="7FD70B4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1" w:semiHidden="0" w:name="heading 3"/>
    <w:lsdException w:qFormat="1" w:uiPriority="0" w:semiHidden="0" w:name="heading 4"/>
    <w:lsdException w:qFormat="1" w:uiPriority="9" w:name="heading 5"/>
    <w:lsdException w:qFormat="1" w:unhideWhenUsed="0" w:uiPriority="9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qFormat="1" w:unhideWhenUsed="0" w:uiPriority="0" w:semiHidden="0"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nhideWhenUsed="0"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600" w:lineRule="exact"/>
      <w:ind w:firstLine="640" w:firstLineChars="200"/>
      <w:jc w:val="both"/>
    </w:pPr>
    <w:rPr>
      <w:rFonts w:ascii="Times New Roman" w:hAnsi="Times New Roman" w:eastAsia="方正仿宋_GBK" w:cs="Times New Roman"/>
      <w:color w:val="000000"/>
      <w:kern w:val="2"/>
      <w:sz w:val="32"/>
      <w:szCs w:val="32"/>
      <w:lang w:val="en-US" w:eastAsia="zh-CN" w:bidi="ar-SA"/>
    </w:rPr>
  </w:style>
  <w:style w:type="paragraph" w:styleId="4">
    <w:name w:val="heading 1"/>
    <w:basedOn w:val="1"/>
    <w:next w:val="1"/>
    <w:link w:val="29"/>
    <w:qFormat/>
    <w:uiPriority w:val="0"/>
    <w:pPr>
      <w:keepNext/>
      <w:keepLines/>
      <w:spacing w:before="260" w:after="260" w:line="360" w:lineRule="auto"/>
      <w:ind w:firstLine="0" w:firstLineChars="0"/>
      <w:jc w:val="center"/>
      <w:outlineLvl w:val="0"/>
    </w:pPr>
    <w:rPr>
      <w:rFonts w:eastAsia="黑体"/>
      <w:b/>
      <w:kern w:val="44"/>
    </w:rPr>
  </w:style>
  <w:style w:type="paragraph" w:styleId="5">
    <w:name w:val="heading 2"/>
    <w:basedOn w:val="1"/>
    <w:next w:val="1"/>
    <w:link w:val="30"/>
    <w:unhideWhenUsed/>
    <w:qFormat/>
    <w:uiPriority w:val="0"/>
    <w:pPr>
      <w:keepNext/>
      <w:keepLines/>
      <w:spacing w:before="260" w:after="260" w:line="240" w:lineRule="auto"/>
      <w:ind w:firstLine="880"/>
      <w:jc w:val="left"/>
      <w:outlineLvl w:val="1"/>
    </w:pPr>
    <w:rPr>
      <w:rFonts w:ascii="Arial" w:hAnsi="Arial" w:eastAsia="楷体"/>
      <w:b/>
    </w:rPr>
  </w:style>
  <w:style w:type="paragraph" w:styleId="6">
    <w:name w:val="heading 3"/>
    <w:basedOn w:val="1"/>
    <w:next w:val="1"/>
    <w:link w:val="31"/>
    <w:qFormat/>
    <w:uiPriority w:val="1"/>
    <w:pPr>
      <w:spacing w:before="260" w:after="260" w:line="240" w:lineRule="auto"/>
      <w:ind w:firstLine="880"/>
      <w:jc w:val="left"/>
      <w:outlineLvl w:val="2"/>
    </w:pPr>
    <w:rPr>
      <w:rFonts w:ascii="楷体" w:hAnsi="楷体" w:eastAsia="楷体" w:cs="楷体"/>
      <w:b/>
      <w:sz w:val="30"/>
      <w:szCs w:val="32"/>
    </w:rPr>
  </w:style>
  <w:style w:type="paragraph" w:styleId="7">
    <w:name w:val="heading 4"/>
    <w:basedOn w:val="1"/>
    <w:next w:val="1"/>
    <w:link w:val="32"/>
    <w:unhideWhenUsed/>
    <w:qFormat/>
    <w:uiPriority w:val="0"/>
    <w:pPr>
      <w:keepNext/>
      <w:keepLines/>
      <w:spacing w:before="200" w:after="200" w:line="240" w:lineRule="auto"/>
      <w:jc w:val="left"/>
      <w:outlineLvl w:val="3"/>
    </w:pPr>
    <w:rPr>
      <w:b/>
    </w:rPr>
  </w:style>
  <w:style w:type="paragraph" w:styleId="8">
    <w:name w:val="heading 6"/>
    <w:basedOn w:val="1"/>
    <w:next w:val="1"/>
    <w:link w:val="33"/>
    <w:qFormat/>
    <w:uiPriority w:val="99"/>
    <w:pPr>
      <w:keepNext/>
      <w:keepLines/>
      <w:numPr>
        <w:ilvl w:val="5"/>
        <w:numId w:val="1"/>
      </w:numPr>
      <w:spacing w:before="240" w:after="64" w:line="317" w:lineRule="auto"/>
      <w:ind w:left="1151"/>
      <w:outlineLvl w:val="5"/>
    </w:pPr>
    <w:rPr>
      <w:rFonts w:ascii="Arial" w:hAnsi="Arial" w:eastAsia="黑体"/>
      <w:b/>
      <w:sz w:val="24"/>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34"/>
    <w:qFormat/>
    <w:uiPriority w:val="0"/>
  </w:style>
  <w:style w:type="paragraph" w:styleId="3">
    <w:name w:val="toc 5"/>
    <w:basedOn w:val="1"/>
    <w:next w:val="1"/>
    <w:qFormat/>
    <w:uiPriority w:val="0"/>
    <w:pPr>
      <w:ind w:left="1680" w:leftChars="800"/>
    </w:pPr>
  </w:style>
  <w:style w:type="paragraph" w:styleId="9">
    <w:name w:val="Normal Indent"/>
    <w:basedOn w:val="1"/>
    <w:next w:val="1"/>
    <w:qFormat/>
    <w:uiPriority w:val="0"/>
    <w:pPr>
      <w:ind w:firstLine="420"/>
    </w:pPr>
  </w:style>
  <w:style w:type="paragraph" w:styleId="10">
    <w:name w:val="caption"/>
    <w:basedOn w:val="1"/>
    <w:next w:val="1"/>
    <w:unhideWhenUsed/>
    <w:qFormat/>
    <w:uiPriority w:val="0"/>
    <w:pPr>
      <w:ind w:firstLine="0" w:firstLineChars="0"/>
      <w:jc w:val="center"/>
    </w:pPr>
    <w:rPr>
      <w:rFonts w:cstheme="majorBidi"/>
      <w:sz w:val="28"/>
      <w:szCs w:val="20"/>
    </w:rPr>
  </w:style>
  <w:style w:type="paragraph" w:styleId="11">
    <w:name w:val="index 5"/>
    <w:basedOn w:val="1"/>
    <w:next w:val="1"/>
    <w:qFormat/>
    <w:uiPriority w:val="0"/>
    <w:pPr>
      <w:ind w:left="1680"/>
    </w:pPr>
    <w:rPr>
      <w:rFonts w:ascii="方正仿宋_GBK" w:eastAsia="方正仿宋_GBK"/>
      <w:sz w:val="32"/>
      <w:szCs w:val="32"/>
    </w:rPr>
  </w:style>
  <w:style w:type="paragraph" w:styleId="12">
    <w:name w:val="annotation text"/>
    <w:basedOn w:val="1"/>
    <w:link w:val="43"/>
    <w:semiHidden/>
    <w:unhideWhenUsed/>
    <w:qFormat/>
    <w:uiPriority w:val="99"/>
    <w:pPr>
      <w:jc w:val="left"/>
    </w:pPr>
  </w:style>
  <w:style w:type="paragraph" w:styleId="13">
    <w:name w:val="index 6"/>
    <w:basedOn w:val="1"/>
    <w:next w:val="1"/>
    <w:qFormat/>
    <w:uiPriority w:val="0"/>
    <w:pPr>
      <w:ind w:left="2100"/>
    </w:pPr>
  </w:style>
  <w:style w:type="paragraph" w:styleId="14">
    <w:name w:val="Date"/>
    <w:basedOn w:val="1"/>
    <w:next w:val="1"/>
    <w:link w:val="50"/>
    <w:semiHidden/>
    <w:unhideWhenUsed/>
    <w:qFormat/>
    <w:uiPriority w:val="99"/>
    <w:pPr>
      <w:ind w:left="100" w:leftChars="2500"/>
    </w:pPr>
  </w:style>
  <w:style w:type="paragraph" w:styleId="15">
    <w:name w:val="Balloon Text"/>
    <w:basedOn w:val="1"/>
    <w:link w:val="45"/>
    <w:semiHidden/>
    <w:unhideWhenUsed/>
    <w:qFormat/>
    <w:uiPriority w:val="99"/>
    <w:pPr>
      <w:spacing w:line="240" w:lineRule="auto"/>
    </w:pPr>
    <w:rPr>
      <w:sz w:val="18"/>
      <w:szCs w:val="18"/>
    </w:rPr>
  </w:style>
  <w:style w:type="paragraph" w:styleId="16">
    <w:name w:val="footer"/>
    <w:basedOn w:val="1"/>
    <w:link w:val="35"/>
    <w:qFormat/>
    <w:uiPriority w:val="99"/>
    <w:pPr>
      <w:tabs>
        <w:tab w:val="center" w:pos="4153"/>
        <w:tab w:val="right" w:pos="8306"/>
      </w:tabs>
      <w:jc w:val="left"/>
    </w:pPr>
    <w:rPr>
      <w:sz w:val="18"/>
      <w:szCs w:val="18"/>
    </w:rPr>
  </w:style>
  <w:style w:type="paragraph" w:styleId="17">
    <w:name w:val="header"/>
    <w:basedOn w:val="1"/>
    <w:link w:val="46"/>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pPr>
      <w:spacing w:before="100" w:beforeAutospacing="1" w:after="100" w:afterAutospacing="1"/>
      <w:jc w:val="left"/>
    </w:pPr>
    <w:rPr>
      <w:kern w:val="0"/>
      <w:sz w:val="24"/>
    </w:rPr>
  </w:style>
  <w:style w:type="paragraph" w:styleId="21">
    <w:name w:val="annotation subject"/>
    <w:basedOn w:val="12"/>
    <w:next w:val="12"/>
    <w:link w:val="44"/>
    <w:semiHidden/>
    <w:unhideWhenUsed/>
    <w:qFormat/>
    <w:uiPriority w:val="99"/>
    <w:rPr>
      <w:b/>
      <w:bCs/>
    </w:rPr>
  </w:style>
  <w:style w:type="paragraph" w:styleId="22">
    <w:name w:val="Body Text First Indent"/>
    <w:basedOn w:val="2"/>
    <w:link w:val="36"/>
    <w:qFormat/>
    <w:uiPriority w:val="0"/>
    <w:pPr>
      <w:spacing w:after="120"/>
      <w:ind w:firstLine="420" w:firstLineChars="100"/>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styleId="27">
    <w:name w:val="Emphasis"/>
    <w:basedOn w:val="25"/>
    <w:qFormat/>
    <w:uiPriority w:val="0"/>
    <w:rPr>
      <w:i/>
    </w:rPr>
  </w:style>
  <w:style w:type="character" w:styleId="28">
    <w:name w:val="annotation reference"/>
    <w:basedOn w:val="25"/>
    <w:semiHidden/>
    <w:unhideWhenUsed/>
    <w:qFormat/>
    <w:uiPriority w:val="99"/>
    <w:rPr>
      <w:sz w:val="21"/>
      <w:szCs w:val="21"/>
    </w:rPr>
  </w:style>
  <w:style w:type="character" w:customStyle="1" w:styleId="29">
    <w:name w:val="标题 1 字符"/>
    <w:basedOn w:val="25"/>
    <w:link w:val="4"/>
    <w:qFormat/>
    <w:uiPriority w:val="0"/>
    <w:rPr>
      <w:rFonts w:eastAsia="黑体" w:cs="Times New Roman"/>
      <w:b/>
      <w:color w:val="000000"/>
      <w:kern w:val="44"/>
      <w:sz w:val="32"/>
      <w:szCs w:val="32"/>
    </w:rPr>
  </w:style>
  <w:style w:type="character" w:customStyle="1" w:styleId="30">
    <w:name w:val="标题 2 字符"/>
    <w:basedOn w:val="25"/>
    <w:link w:val="5"/>
    <w:qFormat/>
    <w:uiPriority w:val="0"/>
    <w:rPr>
      <w:rFonts w:ascii="Arial" w:hAnsi="Arial" w:eastAsia="楷体" w:cs="Times New Roman"/>
      <w:b/>
      <w:color w:val="000000"/>
      <w:sz w:val="32"/>
      <w:szCs w:val="32"/>
    </w:rPr>
  </w:style>
  <w:style w:type="character" w:customStyle="1" w:styleId="31">
    <w:name w:val="标题 3 字符"/>
    <w:basedOn w:val="25"/>
    <w:link w:val="6"/>
    <w:qFormat/>
    <w:uiPriority w:val="1"/>
    <w:rPr>
      <w:rFonts w:ascii="楷体" w:hAnsi="楷体" w:eastAsia="楷体" w:cs="楷体"/>
      <w:b/>
      <w:color w:val="000000"/>
      <w:sz w:val="30"/>
      <w:szCs w:val="32"/>
    </w:rPr>
  </w:style>
  <w:style w:type="character" w:customStyle="1" w:styleId="32">
    <w:name w:val="标题 4 字符"/>
    <w:basedOn w:val="25"/>
    <w:link w:val="7"/>
    <w:qFormat/>
    <w:uiPriority w:val="0"/>
    <w:rPr>
      <w:rFonts w:eastAsia="方正仿宋_GB2312" w:cs="Times New Roman"/>
      <w:b/>
      <w:color w:val="000000"/>
      <w:sz w:val="32"/>
      <w:szCs w:val="32"/>
    </w:rPr>
  </w:style>
  <w:style w:type="character" w:customStyle="1" w:styleId="33">
    <w:name w:val="标题 6 字符"/>
    <w:basedOn w:val="25"/>
    <w:link w:val="8"/>
    <w:qFormat/>
    <w:uiPriority w:val="99"/>
    <w:rPr>
      <w:rFonts w:ascii="Arial" w:hAnsi="Arial" w:eastAsia="黑体" w:cs="Times New Roman"/>
      <w:b/>
      <w:color w:val="000000"/>
      <w:sz w:val="24"/>
      <w:szCs w:val="32"/>
    </w:rPr>
  </w:style>
  <w:style w:type="character" w:customStyle="1" w:styleId="34">
    <w:name w:val="正文文本 字符"/>
    <w:basedOn w:val="25"/>
    <w:link w:val="2"/>
    <w:qFormat/>
    <w:uiPriority w:val="0"/>
    <w:rPr>
      <w:rFonts w:eastAsia="方正仿宋_GB2312" w:cs="Times New Roman"/>
      <w:color w:val="000000"/>
      <w:sz w:val="32"/>
      <w:szCs w:val="32"/>
    </w:rPr>
  </w:style>
  <w:style w:type="character" w:customStyle="1" w:styleId="35">
    <w:name w:val="页脚 字符"/>
    <w:basedOn w:val="25"/>
    <w:link w:val="16"/>
    <w:qFormat/>
    <w:uiPriority w:val="99"/>
    <w:rPr>
      <w:rFonts w:eastAsia="方正仿宋_GB2312" w:cs="Times New Roman"/>
      <w:color w:val="000000"/>
      <w:sz w:val="18"/>
      <w:szCs w:val="18"/>
    </w:rPr>
  </w:style>
  <w:style w:type="character" w:customStyle="1" w:styleId="36">
    <w:name w:val="正文首行缩进 字符"/>
    <w:basedOn w:val="34"/>
    <w:link w:val="22"/>
    <w:qFormat/>
    <w:uiPriority w:val="0"/>
    <w:rPr>
      <w:rFonts w:eastAsia="方正仿宋_GB2312" w:cs="Times New Roman"/>
      <w:color w:val="000000"/>
      <w:sz w:val="32"/>
      <w:szCs w:val="32"/>
    </w:rPr>
  </w:style>
  <w:style w:type="paragraph" w:customStyle="1" w:styleId="37">
    <w:name w:val="00表格"/>
    <w:basedOn w:val="1"/>
    <w:qFormat/>
    <w:uiPriority w:val="0"/>
    <w:pPr>
      <w:spacing w:line="240" w:lineRule="auto"/>
      <w:ind w:firstLine="0" w:firstLineChars="0"/>
      <w:jc w:val="center"/>
    </w:pPr>
    <w:rPr>
      <w:sz w:val="24"/>
      <w:szCs w:val="20"/>
    </w:rPr>
  </w:style>
  <w:style w:type="character" w:customStyle="1" w:styleId="38">
    <w:name w:val="font21"/>
    <w:basedOn w:val="25"/>
    <w:qFormat/>
    <w:uiPriority w:val="0"/>
    <w:rPr>
      <w:rFonts w:hint="eastAsia" w:ascii="宋体" w:hAnsi="宋体" w:eastAsia="宋体" w:cs="宋体"/>
      <w:color w:val="000000"/>
      <w:sz w:val="20"/>
      <w:szCs w:val="20"/>
      <w:u w:val="none"/>
    </w:rPr>
  </w:style>
  <w:style w:type="character" w:customStyle="1" w:styleId="39">
    <w:name w:val="font41"/>
    <w:basedOn w:val="25"/>
    <w:qFormat/>
    <w:uiPriority w:val="0"/>
    <w:rPr>
      <w:rFonts w:hint="eastAsia" w:ascii="宋体" w:hAnsi="宋体" w:eastAsia="宋体" w:cs="宋体"/>
      <w:color w:val="000020"/>
      <w:sz w:val="20"/>
      <w:szCs w:val="20"/>
      <w:u w:val="none"/>
    </w:rPr>
  </w:style>
  <w:style w:type="table" w:customStyle="1" w:styleId="40">
    <w:name w:val="Table Normal"/>
    <w:semiHidden/>
    <w:unhideWhenUsed/>
    <w:qFormat/>
    <w:uiPriority w:val="0"/>
    <w:tblPr>
      <w:tblCellMar>
        <w:top w:w="0" w:type="dxa"/>
        <w:left w:w="0" w:type="dxa"/>
        <w:bottom w:w="0" w:type="dxa"/>
        <w:right w:w="0" w:type="dxa"/>
      </w:tblCellMar>
    </w:tblPr>
  </w:style>
  <w:style w:type="paragraph" w:customStyle="1" w:styleId="41">
    <w:name w:val="Table Text"/>
    <w:basedOn w:val="1"/>
    <w:semiHidden/>
    <w:qFormat/>
    <w:uiPriority w:val="0"/>
    <w:rPr>
      <w:rFonts w:ascii="方正仿宋_GBK" w:hAnsi="方正仿宋_GBK" w:cs="方正仿宋_GBK"/>
      <w:sz w:val="24"/>
      <w:szCs w:val="24"/>
      <w:lang w:eastAsia="en-US"/>
    </w:rPr>
  </w:style>
  <w:style w:type="paragraph" w:styleId="42">
    <w:name w:val="List Paragraph"/>
    <w:basedOn w:val="1"/>
    <w:unhideWhenUsed/>
    <w:qFormat/>
    <w:uiPriority w:val="99"/>
    <w:pPr>
      <w:ind w:firstLine="420"/>
    </w:pPr>
  </w:style>
  <w:style w:type="character" w:customStyle="1" w:styleId="43">
    <w:name w:val="批注文字 字符"/>
    <w:basedOn w:val="25"/>
    <w:link w:val="12"/>
    <w:semiHidden/>
    <w:qFormat/>
    <w:uiPriority w:val="99"/>
    <w:rPr>
      <w:rFonts w:eastAsia="方正仿宋_GB2312" w:cs="Times New Roman"/>
      <w:color w:val="000000"/>
      <w:sz w:val="32"/>
      <w:szCs w:val="32"/>
    </w:rPr>
  </w:style>
  <w:style w:type="character" w:customStyle="1" w:styleId="44">
    <w:name w:val="批注主题 字符"/>
    <w:basedOn w:val="43"/>
    <w:link w:val="21"/>
    <w:semiHidden/>
    <w:qFormat/>
    <w:uiPriority w:val="99"/>
    <w:rPr>
      <w:rFonts w:eastAsia="方正仿宋_GB2312" w:cs="Times New Roman"/>
      <w:b/>
      <w:bCs/>
      <w:color w:val="000000"/>
      <w:sz w:val="32"/>
      <w:szCs w:val="32"/>
    </w:rPr>
  </w:style>
  <w:style w:type="character" w:customStyle="1" w:styleId="45">
    <w:name w:val="批注框文本 字符"/>
    <w:basedOn w:val="25"/>
    <w:link w:val="15"/>
    <w:semiHidden/>
    <w:qFormat/>
    <w:uiPriority w:val="99"/>
    <w:rPr>
      <w:rFonts w:eastAsia="方正仿宋_GB2312" w:cs="Times New Roman"/>
      <w:color w:val="000000"/>
      <w:sz w:val="18"/>
      <w:szCs w:val="18"/>
    </w:rPr>
  </w:style>
  <w:style w:type="character" w:customStyle="1" w:styleId="46">
    <w:name w:val="页眉 字符"/>
    <w:basedOn w:val="25"/>
    <w:link w:val="17"/>
    <w:qFormat/>
    <w:uiPriority w:val="99"/>
    <w:rPr>
      <w:rFonts w:eastAsia="方正仿宋_GB2312" w:cs="Times New Roman"/>
      <w:color w:val="000000"/>
      <w:sz w:val="18"/>
      <w:szCs w:val="18"/>
    </w:rPr>
  </w:style>
  <w:style w:type="paragraph" w:customStyle="1" w:styleId="47">
    <w:name w:val="修订1"/>
    <w:hidden/>
    <w:semiHidden/>
    <w:qFormat/>
    <w:uiPriority w:val="99"/>
    <w:rPr>
      <w:rFonts w:ascii="Times New Roman" w:hAnsi="Times New Roman" w:eastAsia="方正仿宋_GB2312" w:cs="Times New Roman"/>
      <w:color w:val="000000"/>
      <w:kern w:val="2"/>
      <w:sz w:val="32"/>
      <w:szCs w:val="32"/>
      <w:lang w:val="en-US" w:eastAsia="zh-CN" w:bidi="ar-SA"/>
    </w:rPr>
  </w:style>
  <w:style w:type="paragraph" w:customStyle="1" w:styleId="48">
    <w:name w:val="TZzhengwen"/>
    <w:basedOn w:val="1"/>
    <w:link w:val="49"/>
    <w:qFormat/>
    <w:uiPriority w:val="0"/>
  </w:style>
  <w:style w:type="character" w:customStyle="1" w:styleId="49">
    <w:name w:val="TZzhengwen 字符"/>
    <w:basedOn w:val="25"/>
    <w:link w:val="48"/>
    <w:qFormat/>
    <w:uiPriority w:val="0"/>
    <w:rPr>
      <w:rFonts w:eastAsia="方正仿宋_GBK" w:cs="Times New Roman"/>
      <w:color w:val="000000"/>
      <w:sz w:val="32"/>
      <w:szCs w:val="32"/>
    </w:rPr>
  </w:style>
  <w:style w:type="character" w:customStyle="1" w:styleId="50">
    <w:name w:val="日期 字符"/>
    <w:basedOn w:val="25"/>
    <w:link w:val="14"/>
    <w:semiHidden/>
    <w:qFormat/>
    <w:uiPriority w:val="99"/>
    <w:rPr>
      <w:rFonts w:eastAsia="方正仿宋_GB2312"/>
      <w:color w:val="000000"/>
      <w:kern w:val="2"/>
      <w:sz w:val="32"/>
      <w:szCs w:val="32"/>
    </w:rPr>
  </w:style>
  <w:style w:type="character" w:customStyle="1" w:styleId="51">
    <w:name w:val="font31"/>
    <w:basedOn w:val="25"/>
    <w:qFormat/>
    <w:uiPriority w:val="0"/>
    <w:rPr>
      <w:rFonts w:hint="eastAsia" w:ascii="方正仿宋_GBK" w:hAnsi="方正仿宋_GBK" w:eastAsia="方正仿宋_GBK" w:cs="方正仿宋_GBK"/>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da146f00-04ed-4f02-9215-60d5b728a8b4</errorID>
      <errorWord>是作为</errorWord>
      <group>L1_Grammar</group>
      <groupName>语法问题</groupName>
      <ability>L2_Grammar</ability>
      <abilityName>语法错误</abilityName>
      <candidateList>
        <item>是</item>
      </candidateList>
      <explain/>
      <paraID>1082BA05</paraID>
      <start>44</start>
      <end>47</end>
      <status>ignored</status>
      <modifiedWord/>
      <trackRevisions>false</trackRevisions>
    </reviewItem>
    <reviewItem>
      <errorID>170c2a52-7bc0-4781-a30f-0d331c7e6f50</errorID>
      <errorWord>“符合生态保护红线内允许有限人为活动的初步认定意见”</errorWord>
      <group>L1_Political</group>
      <groupName>政治性问题</groupName>
      <ability>L2_Keyword</ability>
      <abilityName>固定表述</abilityName>
      <candidateList>
        <item>《符合生态保护红线内允许有限人为活动的初步认定意见》</item>
      </candidateList>
      <explain>此处内容疑似含有固定表述相关错误，建议核查。</explain>
      <paraID>1AE99FD9</paraID>
      <start>134</start>
      <end>160</end>
      <status>ignored</status>
      <modifiedWord/>
      <trackRevisions>false</trackRevisions>
    </reviewItem>
    <reviewItem>
      <errorID>5835790c-2b2c-4e12-a259-06b7939b1524</errorID>
      <errorWord>“符合生态保护红线内允许有限人为活动的认定意见”</errorWord>
      <group>L1_Political</group>
      <groupName>政治性问题</groupName>
      <ability>L2_Keyword</ability>
      <abilityName>固定表述</abilityName>
      <candidateList>
        <item>《符合生态保护红线内允许有限人为活动的认定意见》</item>
      </candidateList>
      <explain>此处内容疑似含有固定表述相关错误，建议核查。</explain>
      <paraID>1AE99FD9</paraID>
      <start>185</start>
      <end>209</end>
      <status>ignored</status>
      <modifiedWord/>
      <trackRevisions>false</trackRevisions>
    </reviewItem>
    <reviewItem>
      <errorID>683ec1f7-3a32-4c1e-87a3-de8171749180</errorID>
      <errorWord>灾害风险防控线</errorWord>
      <group>L1_Political</group>
      <groupName>政治性问题</groupName>
      <ability>L2_Unpolitical</ability>
      <abilityName>政治敏感错误</abilityName>
      <candidateList>
        <item>灾害风险控制线</item>
      </candidateList>
      <explain/>
      <paraID>6B803891</paraID>
      <start>0</start>
      <end>7</end>
      <status>ignored</status>
      <modifiedWord/>
      <trackRevisions>false</trackRevisions>
    </reviewItem>
    <reviewItem>
      <errorID>afbc03c3-0e2f-42c9-a267-4e59039d4801</errorID>
      <errorWord>开采区</errorWord>
      <group>L1_Word</group>
      <groupName>字词问题</groupName>
      <ability>L2_Typo</ability>
      <abilityName>字词错误</abilityName>
      <candidateList>
        <item>个开采区</item>
      </candidateList>
      <explain/>
      <paraID>5AB494E2</paraID>
      <start>58</start>
      <end>61</end>
      <status>ignored</status>
      <modifiedWord/>
      <trackRevisions>false</trackRevisions>
    </reviewItem>
    <reviewItem>
      <errorID>f1e43763-a2b1-4b2f-b659-6e9fa1971659</errorID>
      <errorWord>155</errorWord>
      <group>L1_Word</group>
      <groupName>字词问题</groupName>
      <ability>L2_Typo</ability>
      <abilityName>字词错误</abilityName>
      <candidateList>
        <item>15</item>
      </candidateList>
      <explain/>
      <paraID>5F3A3FE7</paraID>
      <start>51</start>
      <end>54</end>
      <status>ignored</status>
      <modifiedWord/>
      <trackRevisions>false</trackRevisions>
    </reviewItem>
    <reviewItem>
      <errorID>9578966d-86ec-4d5b-9bd3-17f9d15c9775</errorID>
      <errorWord>19</errorWord>
      <group>L1_Word</group>
      <groupName>字词问题</groupName>
      <ability>L2_Typo</ability>
      <abilityName>字词错误</abilityName>
      <candidateList>
        <item>519</item>
      </candidateList>
      <explain/>
      <paraID>5F3A3FE7</paraID>
      <start>55</start>
      <end>57</end>
      <status>ignored</status>
      <modifiedWord/>
      <trackRevisions>false</trackRevisions>
    </reviewItem>
    <reviewItem>
      <errorID>bfafe7d8-c778-4a60-bc77-d0daae59193b</errorID>
      <errorWord>130</errorWord>
      <group>L1_Word</group>
      <groupName>字词问题</groupName>
      <ability>L2_Typo</ability>
      <abilityName>字词错误</abilityName>
      <candidateList>
        <item>13</item>
      </candidateList>
      <explain/>
      <paraID>5F3A3FE7</paraID>
      <start>69</start>
      <end>72</end>
      <status>ignored</status>
      <modifiedWord/>
      <trackRevisions>false</trackRevisions>
    </reviewItem>
    <reviewItem>
      <errorID>b66994f7-7db0-47e6-8b37-2de33deb6946</errorID>
      <errorWord>88</errorWord>
      <group>L1_Word</group>
      <groupName>字词问题</groupName>
      <ability>L2_Typo</ability>
      <abilityName>字词错误</abilityName>
      <candidateList>
        <item>088</item>
      </candidateList>
      <explain/>
      <paraID>5F3A3FE7</paraID>
      <start>73</start>
      <end>75</end>
      <status>ignored</status>
      <modifiedWord/>
      <trackRevisions>false</trackRevisions>
    </reviewItem>
    <reviewItem>
      <errorID>183bacf0-7faf-4aa2-b073-3cce2abf2c9a</errorID>
      <errorWord>区</errorWord>
      <group>L1_Word</group>
      <groupName>字词问题</groupName>
      <ability>L2_Typo</ability>
      <abilityName>字词错误</abilityName>
      <candidateList>
        <item>区等</item>
      </candidateList>
      <explain/>
      <paraID> 3CC85A9</paraID>
      <start>90</start>
      <end>91</end>
      <status>ignored</status>
      <modifiedWord/>
      <trackRevisions>false</trackRevisions>
    </reviewItem>
    <reviewItem>
      <errorID>37daf774-531c-4e68-842f-b1b0f5a18762</errorID>
      <errorWord>（</errorWord>
      <group>L1_Punc</group>
      <groupName>标点问题</groupName>
      <ability>L2_Punc_CN</ability>
      <abilityName>标点符号问题</abilityName>
      <candidateList/>
      <explain>同一形式括号套用。</explain>
      <paraID>1F5443AC</paraID>
      <start>61</start>
      <end>62</end>
      <status>ignored</status>
      <modifiedWord/>
      <trackRevisions>false</trackRevisions>
    </reviewItem>
    <reviewItem>
      <errorID>f21fe7ee-d8d6-4aab-a4d2-86ad64917ab9</errorID>
      <errorWord>）</errorWord>
      <group>L1_Punc</group>
      <groupName>标点问题</groupName>
      <ability>L2_Punc_CN</ability>
      <abilityName>标点符号问题</abilityName>
      <candidateList/>
      <explain>同一形式括号套用。</explain>
      <paraID>1F5443AC</paraID>
      <start>65</start>
      <end>66</end>
      <status>ignored</status>
      <modifiedWord/>
      <trackRevisions>false</trackRevisions>
    </reviewItem>
    <reviewItem>
      <errorID>b44c514f-d2e3-4dcf-ace4-30eef2911ea0</errorID>
      <errorWord>完善的</errorWord>
      <group>L1_Word</group>
      <groupName>字词问题</groupName>
      <ability>L2_Typo</ability>
      <abilityName>字词错误</abilityName>
      <candidateList>
        <item>完善</item>
      </candidateList>
      <explain/>
      <paraID>22ED85BA</paraID>
      <start>27</start>
      <end>30</end>
      <status>ignored</status>
      <modifiedWord/>
      <trackRevisions>false</trackRevisions>
    </reviewItem>
    <reviewItem>
      <errorID>ea66d662-8190-45b0-8190-acb698d269f2</errorID>
      <errorWord>法律、法规</errorWord>
      <group>L1_Word</group>
      <groupName>字词问题</groupName>
      <ability>L2_Typo</ability>
      <abilityName>字词错误</abilityName>
      <candidateList>
        <item>法律法规</item>
      </candidateList>
      <explain/>
      <paraID>2A8B0D9F</paraID>
      <start>5</start>
      <end>10</end>
      <status>ignored</status>
      <modifiedWord/>
      <trackRevisions>false</trackRevisions>
    </reviewItem>
    <reviewItem>
      <errorID>5e752659-9dbd-4ea1-9ec8-d6176e4714ff</errorID>
      <errorWord>应充分</errorWord>
      <group>L1_Grammar</group>
      <groupName>语法问题</groupName>
      <ability>L2_Grammar</ability>
      <abilityName>语法错误</abilityName>
      <candidateList>
        <item>应</item>
      </candidateList>
      <explain/>
      <paraID>37AC9866</paraID>
      <start>28</start>
      <end>31</end>
      <status>unmodified</status>
      <modifiedWord/>
      <trackRevisions>false</trackRevisions>
    </reviewItem>
    <reviewItem>
      <errorID>dad0d08b-fc9a-43e4-8a07-9451efde0446</errorID>
      <errorWord>（</errorWord>
      <group>L1_Punc</group>
      <groupName>标点问题</groupName>
      <ability>L2_Punc_CN</ability>
      <abilityName>标点符号问题</abilityName>
      <candidateList>
        <item> </item>
      </candidateList>
      <explain/>
      <paraID>1E5BEE84</paraID>
      <start>13</start>
      <end>14</end>
      <status>unmodified</status>
      <modifiedWord/>
      <trackRevisions>false</trackRevisions>
    </reviewItem>
    <reviewItem>
      <errorID>71313cd2-b109-4b7e-8d6b-10ff4990a956</errorID>
      <errorWord>）</errorWord>
      <group>L1_Punc</group>
      <groupName>标点问题</groupName>
      <ability>L2_Punc_CN</ability>
      <abilityName>标点符号问题</abilityName>
      <candidateList>
        <item/>
      </candidateList>
      <explain/>
      <paraID>1E5BEE84</paraID>
      <start>16</start>
      <end>17</end>
      <status>unmodified</status>
      <modifiedWord/>
      <trackRevisions>false</trackRevisions>
    </reviewItem>
    <reviewItem>
      <errorID>de57a871-5a06-4bca-903f-f56d98e8fd03</errorID>
      <errorWord> </errorWord>
      <group>L1_Punc</group>
      <groupName>标点问题</groupName>
      <ability>L2_Punc_CN</ability>
      <abilityName>标点符号问题</abilityName>
      <candidateList>
        <item/>
      </candidateList>
      <explain>此处空格冗余，建议删除。</explain>
      <paraID>1E5BEE84</paraID>
      <start>18</start>
      <end>19</end>
      <status>unmodified</status>
      <modifiedWord/>
      <trackRevisions>false</trackRevisions>
    </reviewItem>
    <reviewItem>
      <errorID>57223781-e54e-4539-a298-a05d68efc2f1</errorID>
      <errorWord>（</errorWord>
      <group>L1_Punc</group>
      <groupName>标点问题</groupName>
      <ability>L2_Punc_CN</ability>
      <abilityName>标点符号问题</abilityName>
      <candidateList>
        <item> </item>
      </candidateList>
      <explain/>
      <paraID>1E5BEE84</paraID>
      <start>30</start>
      <end>31</end>
      <status>unmodified</status>
      <modifiedWord/>
      <trackRevisions>false</trackRevisions>
    </reviewItem>
    <reviewItem>
      <errorID>d6794aba-b076-4485-b199-8cdc01e4f1ef</errorID>
      <errorWord>）</errorWord>
      <group>L1_Punc</group>
      <groupName>标点问题</groupName>
      <ability>L2_Punc_CN</ability>
      <abilityName>标点符号问题</abilityName>
      <candidateList>
        <item/>
      </candidateList>
      <explain/>
      <paraID>1E5BEE84</paraID>
      <start>33</start>
      <end>34</end>
      <status>unmodified</status>
      <modifiedWord/>
      <trackRevisions>false</trackRevisions>
    </reviewItem>
    <reviewItem>
      <errorID>94963f88-d4e7-4387-a76b-207a1c11f9cf</errorID>
      <errorWord>（</errorWord>
      <group>L1_Punc</group>
      <groupName>标点问题</groupName>
      <ability>L2_Punc_CN</ability>
      <abilityName>标点符号问题</abilityName>
      <candidateList>
        <item> </item>
      </candidateList>
      <explain/>
      <paraID>5CB6020E</paraID>
      <start>9</start>
      <end>10</end>
      <status>unmodified</status>
      <modifiedWord/>
      <trackRevisions>false</trackRevisions>
    </reviewItem>
    <reviewItem>
      <errorID>0769fe94-6049-4a3e-836d-f3572e9657ab</errorID>
      <errorWord>）</errorWord>
      <group>L1_Punc</group>
      <groupName>标点问题</groupName>
      <ability>L2_Punc_CN</ability>
      <abilityName>标点符号问题</abilityName>
      <candidateList>
        <item/>
      </candidateList>
      <explain/>
      <paraID>5CB6020E</paraID>
      <start>12</start>
      <end>13</end>
      <status>unmodified</status>
      <modifiedWord/>
      <trackRevisions>false</trackRevisions>
    </reviewItem>
    <reviewItem>
      <errorID>9af865cc-8d8e-4e8c-bcf6-308d868d51b4</errorID>
      <errorWord> </errorWord>
      <group>L1_Punc</group>
      <groupName>标点问题</groupName>
      <ability>L2_Punc_CN</ability>
      <abilityName>标点符号问题</abilityName>
      <candidateList>
        <item/>
      </candidateList>
      <explain>此处空格冗余，建议删除。</explain>
      <paraID>5CB6020E</paraID>
      <start>14</start>
      <end>15</end>
      <status>unmodified</status>
      <modifiedWord/>
      <trackRevisions>false</trackRevisions>
    </reviewItem>
    <reviewItem>
      <errorID>1d510063-4e18-43de-8660-141572b84945</errorID>
      <errorWord>（</errorWord>
      <group>L1_Punc</group>
      <groupName>标点问题</groupName>
      <ability>L2_Punc_CN</ability>
      <abilityName>标点符号问题</abilityName>
      <candidateList>
        <item> </item>
      </candidateList>
      <explain/>
      <paraID>5CB6020E</paraID>
      <start>21</start>
      <end>22</end>
      <status>unmodified</status>
      <modifiedWord/>
      <trackRevisions>false</trackRevisions>
    </reviewItem>
    <reviewItem>
      <errorID>03a2c7bc-abae-461a-be64-00a635f6f850</errorID>
      <errorWord>）</errorWord>
      <group>L1_Punc</group>
      <groupName>标点问题</groupName>
      <ability>L2_Punc_CN</ability>
      <abilityName>标点符号问题</abilityName>
      <candidateList>
        <item/>
      </candidateList>
      <explain/>
      <paraID>5CB6020E</paraID>
      <start>24</start>
      <end>25</end>
      <status>unmodified</status>
      <modifiedWord/>
      <trackRevisions>false</trackRevisions>
    </reviewItem>
    <reviewItem>
      <errorID>729082ed-f572-481d-bffa-509ea0f68af4</errorID>
      <errorWord>（</errorWord>
      <group>L1_Punc</group>
      <groupName>标点问题</groupName>
      <ability>L2_Punc_CN</ability>
      <abilityName>标点符号问题</abilityName>
      <candidateList>
        <item> </item>
      </candidateList>
      <explain/>
      <paraID>32094F77</paraID>
      <start>9</start>
      <end>10</end>
      <status>unmodified</status>
      <modifiedWord/>
      <trackRevisions>false</trackRevisions>
    </reviewItem>
    <reviewItem>
      <errorID>f68050ca-c7d6-4149-b22e-5ca374ad5def</errorID>
      <errorWord>）</errorWord>
      <group>L1_Punc</group>
      <groupName>标点问题</groupName>
      <ability>L2_Punc_CN</ability>
      <abilityName>标点符号问题</abilityName>
      <candidateList>
        <item/>
      </candidateList>
      <explain/>
      <paraID>32094F77</paraID>
      <start>12</start>
      <end>13</end>
      <status>unmodified</status>
      <modifiedWord/>
      <trackRevisions>false</trackRevisions>
    </reviewItem>
    <reviewItem>
      <errorID>d2c379c6-f7d4-4dc0-9990-a2b4087d49ad</errorID>
      <errorWord> </errorWord>
      <group>L1_Punc</group>
      <groupName>标点问题</groupName>
      <ability>L2_Punc_CN</ability>
      <abilityName>标点符号问题</abilityName>
      <candidateList>
        <item/>
      </candidateList>
      <explain>此处空格冗余，建议删除。</explain>
      <paraID>32094F77</paraID>
      <start>14</start>
      <end>15</end>
      <status>unmodified</status>
      <modifiedWord/>
      <trackRevisions>false</trackRevisions>
    </reviewItem>
    <reviewItem>
      <errorID>69adf2f0-7085-4ff2-b2ce-b430ef1d11c9</errorID>
      <errorWord>（</errorWord>
      <group>L1_Punc</group>
      <groupName>标点问题</groupName>
      <ability>L2_Punc_CN</ability>
      <abilityName>标点符号问题</abilityName>
      <candidateList>
        <item> </item>
      </candidateList>
      <explain/>
      <paraID>32094F77</paraID>
      <start>21</start>
      <end>22</end>
      <status>unmodified</status>
      <modifiedWord/>
      <trackRevisions>false</trackRevisions>
    </reviewItem>
    <reviewItem>
      <errorID>98268a0e-b7ad-4f29-986f-139dc4fc102f</errorID>
      <errorWord>）</errorWord>
      <group>L1_Punc</group>
      <groupName>标点问题</groupName>
      <ability>L2_Punc_CN</ability>
      <abilityName>标点符号问题</abilityName>
      <candidateList>
        <item/>
      </candidateList>
      <explain/>
      <paraID>32094F77</paraID>
      <start>24</start>
      <end>25</end>
      <status>unmodified</status>
      <modifiedWord/>
      <trackRevisions>false</trackRevisions>
    </reviewItem>
    <reviewItem>
      <errorID>d5b05534-a111-45f1-afdf-1a53fd632cf8</errorID>
      <errorWord>（</errorWord>
      <group>L1_Punc</group>
      <groupName>标点问题</groupName>
      <ability>L2_Punc_CN</ability>
      <abilityName>标点符号问题</abilityName>
      <candidateList>
        <item> </item>
      </candidateList>
      <explain/>
      <paraID>7292B281</paraID>
      <start>8</start>
      <end>9</end>
      <status>unmodified</status>
      <modifiedWord/>
      <trackRevisions>false</trackRevisions>
    </reviewItem>
    <reviewItem>
      <errorID>48a017b3-889a-4e97-aa2a-a05352d78aa2</errorID>
      <errorWord>）</errorWord>
      <group>L1_Punc</group>
      <groupName>标点问题</groupName>
      <ability>L2_Punc_CN</ability>
      <abilityName>标点符号问题</abilityName>
      <candidateList>
        <item/>
      </candidateList>
      <explain/>
      <paraID>7292B281</paraID>
      <start>11</start>
      <end>12</end>
      <status>unmodified</status>
      <modifiedWord/>
      <trackRevisions>false</trackRevisions>
    </reviewItem>
    <reviewItem>
      <errorID>7b1912d6-41ce-4a41-9039-8badf1b040a8</errorID>
      <errorWord> </errorWord>
      <group>L1_Punc</group>
      <groupName>标点问题</groupName>
      <ability>L2_Punc_CN</ability>
      <abilityName>标点符号问题</abilityName>
      <candidateList>
        <item/>
      </candidateList>
      <explain>此处空格冗余，建议删除。</explain>
      <paraID>7292B281</paraID>
      <start>13</start>
      <end>14</end>
      <status>unmodified</status>
      <modifiedWord/>
      <trackRevisions>false</trackRevisions>
    </reviewItem>
    <reviewItem>
      <errorID>09f1e678-f3cf-416b-9577-608f69850e0e</errorID>
      <errorWord>（</errorWord>
      <group>L1_Punc</group>
      <groupName>标点问题</groupName>
      <ability>L2_Punc_CN</ability>
      <abilityName>标点符号问题</abilityName>
      <candidateList>
        <item> </item>
      </candidateList>
      <explain/>
      <paraID>7292B281</paraID>
      <start>20</start>
      <end>21</end>
      <status>unmodified</status>
      <modifiedWord/>
      <trackRevisions>false</trackRevisions>
    </reviewItem>
    <reviewItem>
      <errorID>f2efeeb2-6519-44be-a2f2-6dddd6837203</errorID>
      <errorWord>）</errorWord>
      <group>L1_Punc</group>
      <groupName>标点问题</groupName>
      <ability>L2_Punc_CN</ability>
      <abilityName>标点符号问题</abilityName>
      <candidateList>
        <item/>
      </candidateList>
      <explain/>
      <paraID>7292B281</paraID>
      <start>23</start>
      <end>24</end>
      <status>unmodified</status>
      <modifiedWord/>
      <trackRevisions>false</trackRevisions>
    </reviewItem>
    <reviewItem>
      <errorID>f94156fc-e620-4628-b22c-220a64d4702a</errorID>
      <errorWord>采用</errorWord>
      <group>L1_Word</group>
      <groupName>字词问题</groupName>
      <ability>L2_Typo</ability>
      <abilityName>字词错误</abilityName>
      <candidateList>
        <item>应采用</item>
      </candidateList>
      <explain/>
      <paraID>41BB639A</paraID>
      <start>84</start>
      <end>86</end>
      <status>unmodified</status>
      <modifiedWord/>
      <trackRevisions>false</trackRevisions>
    </reviewItem>
    <reviewItem>
      <errorID>114c049c-326b-49bb-a05d-8984c893935b</errorID>
      <errorWord>兼顾</errorWord>
      <group>L1_Word</group>
      <groupName>字词问题</groupName>
      <ability>L2_Typo</ability>
      <abilityName>字词错误</abilityName>
      <candidateList>
        <item>应兼顾</item>
      </candidateList>
      <explain/>
      <paraID>1C9270B9</paraID>
      <start>30</start>
      <end>32</end>
      <status>unmodified</status>
      <modifiedWord/>
      <trackRevisions>false</trackRevisions>
    </reviewItem>
    <reviewItem>
      <errorID>04e7356d-88a5-4a0c-93a0-f0827104968b</errorID>
      <errorWord>米之间</errorWord>
      <group>L1_Grammar</group>
      <groupName>语法问题</groupName>
      <ability>L2_Grammar</ability>
      <abilityName>语法错误</abilityName>
      <candidateList>
        <item>米</item>
      </candidateList>
      <explain/>
      <paraID>5B44C727</paraID>
      <start>119</start>
      <end>122</end>
      <status>ignored</status>
      <modifiedWord/>
      <trackRevisions>false</trackRevisions>
    </reviewItem>
    <reviewItem>
      <errorID>ad0547d7-29ca-4f63-9a22-36c07dd6c435</errorID>
      <errorWord>《</errorWord>
      <group>L1_Punc</group>
      <groupName>标点问题</groupName>
      <ability>L2_Punc_CN</ability>
      <abilityName>标点符号问题</abilityName>
      <candidateList>
        <item>、《</item>
      </candidateList>
      <explain/>
      <paraID>7A5CDE58</paraID>
      <start>28</start>
      <end>29</end>
      <status>ignored</status>
      <modifiedWord/>
      <trackRevisions>false</trackRevisions>
    </reviewItem>
    <reviewItem>
      <errorID>56340639-2215-40ff-a59b-2e2df6c674c3</errorID>
      <errorWord>且还</errorWord>
      <group>L1_Word</group>
      <groupName>字词问题</groupName>
      <ability>L2_Typo</ability>
      <abilityName>字词错误</abilityName>
      <candidateList>
        <item>还</item>
      </candidateList>
      <explain/>
      <paraID>3347EE8F</paraID>
      <start>43</start>
      <end>45</end>
      <status>unmodified</status>
      <modifiedWord/>
      <trackRevisions>false</trackRevisions>
    </reviewItem>
    <reviewItem>
      <errorID>7e6c7644-f59c-4674-9962-c2e1a0cc898e</errorID>
      <errorWord>不少</errorWord>
      <group>L1_Word</group>
      <groupName>字词问题</groupName>
      <ability>L2_Typo</ability>
      <abilityName>字词错误</abilityName>
      <candidateList>
        <item>不小</item>
      </candidateList>
      <explain/>
      <paraID>501E4450</paraID>
      <start>34</start>
      <end>36</end>
      <status>ignored</status>
      <modifiedWord/>
      <trackRevisions>false</trackRevisions>
    </reviewItem>
    <reviewItem>
      <errorID>3363eabd-bb1c-4044-900e-51d9ac2ae353</errorID>
      <errorWord>等</errorWord>
      <group>L1_Punc</group>
      <groupName>标点问题</groupName>
      <ability>L2_Punc_CN</ability>
      <abilityName>标点符号问题</abilityName>
      <candidateList>
        <item>等。</item>
      </candidateList>
      <explain/>
      <paraID> 81B40D8</paraID>
      <start>25</start>
      <end>26</end>
      <status>ignored</status>
      <modifiedWord/>
      <trackRevisions>false</trackRevisions>
    </reviewItem>
    <reviewItem>
      <errorID>3f195dae-da5c-4113-852d-b33ba70806ef</errorID>
      <errorWord>原住居民</errorWord>
      <group>L1_Sensitive</group>
      <groupName>敏感问题</groupName>
      <ability>L2_Violent</ability>
      <abilityName>暴恐词条</abilityName>
      <candidateList/>
      <explain>【暴恐词条】句中包含暴恐类敏感词条，请注意甄别。</explain>
      <paraID>371ECC34</paraID>
      <start>22</start>
      <end>26</end>
      <status>ignored</status>
      <modifiedWord/>
      <trackRevisions>false</trackRevisions>
    </reviewItem>
    <reviewItem>
      <errorID>a0cb6265-ba93-42a4-8c61-77a29cccaef0</errorID>
      <errorWord>。</errorWord>
      <group>L1_Punc</group>
      <groupName>标点问题</groupName>
      <ability>L2_Punc_CN</ability>
      <abilityName>标点符号问题</abilityName>
      <candidateList>
        <item>：</item>
      </candidateList>
      <explain/>
      <paraID> CDEE1EE</paraID>
      <start>6</start>
      <end>7</end>
      <status>unmodified</status>
      <modifiedWord/>
      <trackRevisions>false</trackRevisions>
    </reviewItem>
    <reviewItem>
      <errorID>df999276-b185-4600-b77f-022ad8a80e8a</errorID>
      <errorWord>-</errorWord>
      <group>L1_Punc</group>
      <groupName>标点问题</groupName>
      <ability>L2_Punc_CN</ability>
      <abilityName>标点符号问题</abilityName>
      <candidateList>
        <item>～</item>
      </candidateList>
      <explain/>
      <paraID> CDEE1EE</paraID>
      <start>88</start>
      <end>89</end>
      <status>unmodified</status>
      <modifiedWord/>
      <trackRevisions>false</trackRevisions>
    </reviewItem>
    <reviewItem>
      <errorID>d9dd9b7c-2801-4ba9-9059-dae77abc9eda</errorID>
      <errorWord>。</errorWord>
      <group>L1_Punc</group>
      <groupName>标点问题</groupName>
      <ability>L2_Punc_CN</ability>
      <abilityName>标点符号问题</abilityName>
      <candidateList>
        <item>：</item>
      </candidateList>
      <explain/>
      <paraID>5D8E2EB7</paraID>
      <start>8</start>
      <end>9</end>
      <status>unmodified</status>
      <modifiedWord/>
      <trackRevisions>false</trackRevisions>
    </reviewItem>
    <reviewItem>
      <errorID>4a7713b7-e4e9-4293-aaa9-b6b8c8d9370c</errorID>
      <errorWord>-</errorWord>
      <group>L1_Punc</group>
      <groupName>标点问题</groupName>
      <ability>L2_Punc_CN</ability>
      <abilityName>标点符号问题</abilityName>
      <candidateList>
        <item>～</item>
      </candidateList>
      <explain/>
      <paraID>5D8E2EB7</paraID>
      <start>37</start>
      <end>38</end>
      <status>unmodified</status>
      <modifiedWord/>
      <trackRevisions>false</trackRevisions>
    </reviewItem>
    <reviewItem>
      <errorID>9b4ecba1-fd78-486b-bda4-5e8cee964f22</errorID>
      <errorWord>。</errorWord>
      <group>L1_Punc</group>
      <groupName>标点问题</groupName>
      <ability>L2_Punc_CN</ability>
      <abilityName>标点符号问题</abilityName>
      <candidateList>
        <item>：</item>
      </candidateList>
      <explain/>
      <paraID>32A318B8</paraID>
      <start>6</start>
      <end>7</end>
      <status>unmodified</status>
      <modifiedWord/>
      <trackRevisions>false</trackRevisions>
    </reviewItem>
    <reviewItem>
      <errorID>77c9b4da-894b-4fc8-a4ea-160c88b37776</errorID>
      <errorWord>~</errorWord>
      <group>L1_Punc</group>
      <groupName>标点问题</groupName>
      <ability>L2_Punc_CN</ability>
      <abilityName>标点符号问题</abilityName>
      <candidateList>
        <item>～</item>
      </candidateList>
      <explain/>
      <paraID>32A318B8</paraID>
      <start>98</start>
      <end>99</end>
      <status>unmodified</status>
      <modifiedWord/>
      <trackRevisions>false</trackRevisions>
    </reviewItem>
    <reviewItem>
      <errorID>a4264cb3-ee05-4889-8a73-816b5ff10be9</errorID>
      <errorWord>。</errorWord>
      <group>L1_Punc</group>
      <groupName>标点问题</groupName>
      <ability>L2_Punc_CN</ability>
      <abilityName>标点符号问题</abilityName>
      <candidateList>
        <item>：</item>
      </candidateList>
      <explain/>
      <paraID> 981F7D2</paraID>
      <start>3</start>
      <end>4</end>
      <status>unmodified</status>
      <modifiedWord/>
      <trackRevisions>false</trackRevisions>
    </reviewItem>
    <reviewItem>
      <errorID>e2d0d6f1-9112-4f23-85be-fe70a4dc4f09</errorID>
      <errorWord>。</errorWord>
      <group>L1_Punc</group>
      <groupName>标点问题</groupName>
      <ability>L2_Punc_CN</ability>
      <abilityName>标点符号问题</abilityName>
      <candidateList>
        <item>：</item>
      </candidateList>
      <explain/>
      <paraID>5A0CF60D</paraID>
      <start>3</start>
      <end>4</end>
      <status>unmodified</status>
      <modifiedWord/>
      <trackRevisions>false</trackRevisions>
    </reviewItem>
    <reviewItem>
      <errorID>baeb3524-bfec-4f56-b559-e18c32aa685d</errorID>
      <errorWord>：</errorWord>
      <group>L1_Punc</group>
      <groupName>标点问题</groupName>
      <ability>L2_Punc_CN</ability>
      <abilityName>标点符号问题</abilityName>
      <candidateList>
        <item>。</item>
      </candidateList>
      <explain/>
      <paraID>70ACD275</paraID>
      <start>27</start>
      <end>28</end>
      <status>unmodified</status>
      <modifiedWord/>
      <trackRevisions>false</trackRevisions>
    </reviewItem>
    <reviewItem>
      <errorID>e33ae346-38af-4f5b-8285-4ad2da8b0888</errorID>
      <errorWord>应</errorWord>
      <group>L1_Word</group>
      <groupName>字词问题</groupName>
      <ability>L2_Typo</ability>
      <abilityName>字词错误</abilityName>
      <candidateList>
        <item> 应</item>
      </candidateList>
      <explain/>
      <paraID>3112C6CB</paraID>
      <start>2</start>
      <end>3</end>
      <status>unmodified</status>
      <modifiedWord/>
      <trackRevisions>false</trackRevisions>
    </reviewItem>
    <reviewItem>
      <errorID>902fe5d5-f81b-438d-a765-8156f18b5829</errorID>
      <errorWord>新建</errorWord>
      <group>L1_Word</group>
      <groupName>字词问题</groupName>
      <ability>L2_Typo</ability>
      <abilityName>字词错误</abilityName>
      <candidateList>
        <item> 新建</item>
      </candidateList>
      <explain/>
      <paraID>38612FFD</paraID>
      <start>2</start>
      <end>4</end>
      <status>unmodified</status>
      <modifiedWord/>
      <trackRevisions>false</trackRevisions>
    </reviewItem>
    <reviewItem>
      <errorID>f4a0a763-5d9b-435f-b91d-d9dc6a1682ae</errorID>
      <errorWord>，</errorWord>
      <group>L1_Punc</group>
      <groupName>标点问题</groupName>
      <ability>L2_Punc_CN</ability>
      <abilityName>标点符号问题</abilityName>
      <candidateList>
        <item>、</item>
      </candidateList>
      <explain/>
      <paraID>38612FFD</paraID>
      <start>54</start>
      <end>55</end>
      <status>ignored</status>
      <modifiedWord/>
      <trackRevisions>false</trackRevisions>
    </reviewItem>
    <reviewItem>
      <errorID>6021e274-bb21-4552-a9ee-184289113b2c</errorID>
      <errorWord>禁止</errorWord>
      <group>L1_Word</group>
      <groupName>字词问题</groupName>
      <ability>L2_Typo</ability>
      <abilityName>字词错误</abilityName>
      <candidateList>
        <item> 禁止</item>
      </candidateList>
      <explain/>
      <paraID> 37AD960</paraID>
      <start>2</start>
      <end>4</end>
      <status>unmodified</status>
      <modifiedWord/>
      <trackRevisions>false</trackRevisions>
    </reviewItem>
    <reviewItem>
      <errorID>192cb505-ee1a-4d3a-b5fc-3c68a905b4f1</errorID>
      <errorWord>前提</errorWord>
      <group>L1_Word</group>
      <groupName>字词问题</groupName>
      <ability>L2_Typo</ability>
      <abilityName>字词错误</abilityName>
      <candidateList>
        <item>的前提</item>
      </candidateList>
      <explain/>
      <paraID>  4C733F</paraID>
      <start>27</start>
      <end>29</end>
      <status>unmodified</status>
      <modifiedWord/>
      <trackRevisions>false</trackRevisions>
    </reviewItem>
    <reviewItem>
      <errorID>f54de06d-f150-4193-85e1-9c255f6c97f2</errorID>
      <errorWord>符合</errorWord>
      <group>L1_Grammar</group>
      <groupName>语法问题</groupName>
      <ability>L2_Grammar</ability>
      <abilityName>语法错误</abilityName>
      <candidateList>
        <item> 在符合</item>
      </candidateList>
      <explain/>
      <paraID>33808176</paraID>
      <start>2</start>
      <end>4</end>
      <status>unmodified</status>
      <modifiedWord/>
      <trackRevisions>false</trackRevisions>
    </reviewItem>
    <reviewItem>
      <errorID>32d7a763-1af9-4a38-a0c3-ac38bb325f82</errorID>
      <errorWord>符合</errorWord>
      <group>L1_Grammar</group>
      <groupName>语法问题</groupName>
      <ability>L2_Grammar</ability>
      <abilityName>语法错误</abilityName>
      <candidateList>
        <item> 在符合</item>
      </candidateList>
      <explain/>
      <paraID>63F36C5F</paraID>
      <start>2</start>
      <end>4</end>
      <status>unmodified</status>
      <modifiedWord/>
      <trackRevisions>false</trackRevisions>
    </reviewItem>
    <reviewItem>
      <errorID>d8055f2a-a2e0-43fd-a6fe-87a446325c3b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E7AD4BF</paraID>
      <start>0</start>
      <end>2</end>
      <status>unmodified</status>
      <modifiedWord/>
      <trackRevisions>false</trackRevisions>
    </reviewItem>
    <reviewItem>
      <errorID>23090de9-99e6-4901-bc79-13b17b3e2b9a</errorID>
      <errorWord>，</errorWord>
      <group>L1_Punc</group>
      <groupName>标点问题</groupName>
      <ability>L2_Punc_CN</ability>
      <abilityName>标点符号问题</abilityName>
      <candidateList>
        <item>；</item>
      </candidateList>
      <explain/>
      <paraID> E7AD4BF</paraID>
      <start>83</start>
      <end>84</end>
      <status>unmodified</status>
      <modifiedWord/>
      <trackRevisions>false</trackRevisions>
    </reviewItem>
    <reviewItem>
      <errorID>6a98a4e6-e70f-4ca8-b340-60e33c99a4d3</errorID>
      <errorWord>转变成混合</errorWord>
      <group>L1_Grammar</group>
      <groupName>语法问题</groupName>
      <ability>L2_Grammar</ability>
      <abilityName>语法错误</abilityName>
      <candidateList>
        <item>转变成</item>
      </candidateList>
      <explain/>
      <paraID> E7AD4BF</paraID>
      <start>104</start>
      <end>109</end>
      <status>unmodified</status>
      <modifiedWord/>
      <trackRevisions>false</trackRevisions>
    </reviewItem>
    <reviewItem>
      <errorID>da322a14-a4f1-47c2-a637-8540f2c01a4c</errorID>
      <errorWord>、主</errorWord>
      <group>L1_Word</group>
      <groupName>字词问题</groupName>
      <ability>L2_Typo</ability>
      <abilityName>字词错误</abilityName>
      <candidateList>
        <item>、</item>
      </candidateList>
      <explain/>
      <paraID> 12E92C5</paraID>
      <start>55</start>
      <end>57</end>
      <status>ignored</status>
      <modifiedWord/>
      <trackRevisions>false</trackRevisions>
    </reviewItem>
    <reviewItem>
      <errorID>80a41ff8-c733-40ae-8648-a62bd150cef7</errorID>
      <errorWord>建筑</errorWord>
      <group>L1_Word</group>
      <groupName>字词问题</groupName>
      <ability>L2_Typo</ability>
      <abilityName>字词错误</abilityName>
      <candidateList>
        <item> 建筑</item>
      </candidateList>
      <explain/>
      <paraID>7AFE7898</paraID>
      <start>22</start>
      <end>25</end>
      <status>unmodified</status>
      <modifiedWord/>
      <trackRevisions>false</trackRevisions>
    </reviewItem>
    <reviewItem>
      <errorID>9a50c167-45e7-486f-8395-892f3c99a53d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476150CE</paraID>
      <start>11</start>
      <end>14</end>
      <status>ignored</status>
      <modifiedWord/>
      <trackRevisions>false</trackRevisions>
    </reviewItem>
    <reviewItem>
      <errorID>4cff35eb-fc91-4213-9c3c-46e591224bb6</errorID>
      <errorWord>建筑</errorWord>
      <group>L1_Word</group>
      <groupName>字词问题</groupName>
      <ability>L2_Typo</ability>
      <abilityName>字词错误</abilityName>
      <candidateList>
        <item> 建筑</item>
      </candidateList>
      <explain/>
      <paraID>7B65B8B6</paraID>
      <start>22</start>
      <end>25</end>
      <status>unmodified</status>
      <modifiedWord/>
      <trackRevisions>false</trackRevisions>
    </reviewItem>
    <reviewItem>
      <errorID>604978a4-b775-4d0c-ab37-cae22e2ca63f</errorID>
      <errorWord>》</errorWord>
      <group>L1_Word</group>
      <groupName>字词问题</groupName>
      <ability>L2_Typo</ability>
      <abilityName>字词错误</abilityName>
      <candidateList>
        <item>》和</item>
      </candidateList>
      <explain/>
      <paraID>67AE04A4</paraID>
      <start>11</start>
      <end>12</end>
      <status>ignored</status>
      <modifiedWord/>
      <trackRevisions>false</trackRevisions>
    </reviewItem>
    <reviewItem>
      <errorID>a565b74e-bdd3-492c-8e20-58b87424edf1</errorID>
      <errorWord>。</errorWord>
      <group>L1_Grammar</group>
      <groupName>语法问题</groupName>
      <ability>L2_Grammar</ability>
      <abilityName>语法错误</abilityName>
      <candidateList>
        <item> 的要求。</item>
      </candidateList>
      <explain/>
      <paraID>67AE04A4</paraID>
      <start>93</start>
      <end>94</end>
      <status>unmodified</status>
      <modifiedWord/>
      <trackRevisions>false</trackRevisions>
    </reviewItem>
    <reviewItem>
      <errorID>ffd21f8e-090d-48be-bbf7-e8cdf6f2628a</errorID>
      <errorWord>高压</errorWord>
      <group>L1_Word</group>
      <groupName>字词问题</groupName>
      <ability>L2_Typo</ability>
      <abilityName>字词错误</abilityName>
      <candidateList>
        <item> 高压</item>
      </candidateList>
      <explain/>
      <paraID>19F4F979</paraID>
      <start>22</start>
      <end>25</end>
      <status>unmodified</status>
      <modifiedWord/>
      <trackRevisions>false</trackRevisions>
    </reviewItem>
    <reviewItem>
      <errorID>fc050023-10dd-49b5-9199-a8a14d82d4db</errorID>
      <errorWord>10kv</errorWord>
      <group>L1_Word</group>
      <groupName>字词问题</groupName>
      <ability>L2_Typo</ability>
      <abilityName>字词错误</abilityName>
      <candidateList>
        <item>10 kV</item>
      </candidateList>
      <explain/>
      <paraID>12807181</paraID>
      <start>2</start>
      <end>6</end>
      <status>unmodified</status>
      <modifiedWord/>
      <trackRevisions>false</trackRevisions>
    </reviewItem>
    <reviewItem>
      <errorID>71230f3b-f111-4fcf-82a9-17b132c07794</errorID>
      <errorWord>110kv</errorWord>
      <group>L1_Word</group>
      <groupName>字词问题</groupName>
      <ability>L2_Typo</ability>
      <abilityName>字词错误</abilityName>
      <candidateList>
        <item>110 kV</item>
      </candidateList>
      <explain/>
      <paraID> 3BE8481</paraID>
      <start>3</start>
      <end>8</end>
      <status>unmodified</status>
      <modifiedWord/>
      <trackRevisions>false</trackRevisions>
    </reviewItem>
    <reviewItem>
      <errorID>54b39577-3431-4a28-b1d0-b7c6366c5826</errorID>
      <errorWord>330kv</errorWord>
      <group>L1_Word</group>
      <groupName>字词问题</groupName>
      <ability>L2_Typo</ability>
      <abilityName>字词错误</abilityName>
      <candidateList>
        <item>330 kV</item>
      </candidateList>
      <explain/>
      <paraID>6FF6EBB1</paraID>
      <start>4</start>
      <end>9</end>
      <status>unmodified</status>
      <modifiedWord/>
      <trackRevisions>false</trackRevisions>
    </reviewItem>
    <reviewItem>
      <errorID>28bfd5e6-c756-45a5-85ad-1e6c81e268fb</errorID>
      <errorWord>550kv</errorWord>
      <group>L1_Word</group>
      <groupName>字词问题</groupName>
      <ability>L2_Typo</ability>
      <abilityName>字词错误</abilityName>
      <candidateList>
        <item>550 kV</item>
      </candidateList>
      <explain/>
      <paraID>646298A2</paraID>
      <start>0</start>
      <end>5</end>
      <status>unmodified</status>
      <modifiedWord/>
      <trackRevisions>false</trackRevisions>
    </reviewItem>
    <reviewItem>
      <errorID>d311199d-cc2b-4b28-82ce-b1b7c4920cbf</errorID>
      <errorWord>高压</errorWord>
      <group>L1_Word</group>
      <groupName>字词问题</groupName>
      <ability>L2_Typo</ability>
      <abilityName>字词错误</abilityName>
      <candidateList>
        <item> 高压</item>
      </candidateList>
      <explain/>
      <paraID> 87BE2CB</paraID>
      <start>22</start>
      <end>25</end>
      <status>unmodified</status>
      <modifiedWord/>
      <trackRevisions>false</trackRevisions>
    </reviewItem>
    <reviewItem>
      <errorID>d26048a5-5865-4f98-adec-fb6f84c4a11a</errorID>
      <errorWord>。</errorWord>
      <group>L1_Punc</group>
      <groupName>标点问题</groupName>
      <ability>L2_Punc_CN</ability>
      <abilityName>标点符号问题</abilityName>
      <candidateList>
        <item>：</item>
      </candidateList>
      <explain/>
      <paraID>730DD695</paraID>
      <start>2</start>
      <end>3</end>
      <status>ignored</status>
      <modifiedWord/>
      <trackRevisions>false</trackRevisions>
    </reviewItem>
    <reviewItem>
      <errorID>6c79da14-30d9-4bad-87eb-d0abafff0805</errorID>
      <errorWord>。</errorWord>
      <group>L1_Punc</group>
      <groupName>标点问题</groupName>
      <ability>L2_Punc_CN</ability>
      <abilityName>标点符号问题</abilityName>
      <candidateList>
        <item>：</item>
      </candidateList>
      <explain/>
      <paraID>74EE189F</paraID>
      <start>4</start>
      <end>5</end>
      <status>ignored</status>
      <modifiedWord/>
      <trackRevisions>false</trackRevisions>
    </reviewItem>
    <reviewItem>
      <errorID>07481f7a-5750-4de4-8da5-aac8ecd7132e</errorID>
      <errorWord>。</errorWord>
      <group>L1_Punc</group>
      <groupName>标点问题</groupName>
      <ability>L2_Punc_CN</ability>
      <abilityName>标点符号问题</abilityName>
      <candidateList>
        <item>：</item>
      </candidateList>
      <explain/>
      <paraID>6D338DC3</paraID>
      <start>6</start>
      <end>7</end>
      <status>ignored</status>
      <modifiedWord/>
      <trackRevisions>false</trackRevisions>
    </reviewItem>
    <reviewItem>
      <errorID>9aed9167-504f-4ba7-9b3d-6beec44f47a5</errorID>
      <errorWord>。</errorWord>
      <group>L1_Punc</group>
      <groupName>标点问题</groupName>
      <ability>L2_Punc_CN</ability>
      <abilityName>标点符号问题</abilityName>
      <candidateList>
        <item>：</item>
      </candidateList>
      <explain/>
      <paraID>6DD2515F</paraID>
      <start>2</start>
      <end>3</end>
      <status>ignored</status>
      <modifiedWord/>
      <trackRevisions>false</trackRevisions>
    </reviewItem>
    <reviewItem>
      <errorID>987b847f-5687-46d1-9296-55062fc4071e</errorID>
      <errorWord>。</errorWord>
      <group>L1_Punc</group>
      <groupName>标点问题</groupName>
      <ability>L2_Punc_CN</ability>
      <abilityName>标点符号问题</abilityName>
      <candidateList>
        <item>：</item>
      </candidateList>
      <explain/>
      <paraID>38889A21</paraID>
      <start>2</start>
      <end>3</end>
      <status>ignored</status>
      <modifiedWord/>
      <trackRevisions>false</trackRevisions>
    </reviewItem>
    <reviewItem>
      <errorID>4c5452b4-6b90-4e72-9eb3-cad5a6920626</errorID>
      <errorWord>。</errorWord>
      <group>L1_Punc</group>
      <groupName>标点问题</groupName>
      <ability>L2_Punc_CN</ability>
      <abilityName>标点符号问题</abilityName>
      <candidateList>
        <item>：</item>
      </candidateList>
      <explain/>
      <paraID>6B8DBE20</paraID>
      <start>2</start>
      <end>3</end>
      <status>ignored</status>
      <modifiedWord/>
      <trackRevisions>false</trackRevisions>
    </reviewItem>
    <reviewItem>
      <errorID>b635383f-aa3b-41d0-bdb0-fe07ef5f7445</errorID>
      <errorWord>办理规划</errorWord>
      <group>L1_Grammar</group>
      <groupName>语法问题</groupName>
      <ability>L2_Grammar</ability>
      <abilityName>语法错误</abilityName>
      <candidateList>
        <item>办理</item>
      </candidateList>
      <explain/>
      <paraID>2CD821A1</paraID>
      <start>70</start>
      <end>74</end>
      <status>ignored</status>
      <modifiedWord/>
      <trackRevisions>false</trackRevisions>
    </reviewItem>
    <reviewItem>
      <errorID>e777a8bd-3ae7-40cb-bc20-8de6e41ba249</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40CDC15B</paraID>
      <start>1</start>
      <end>8</end>
      <status>ignored</status>
      <modifiedWord/>
      <trackRevisions>false</trackRevisions>
    </reviewItem>
    <reviewItem>
      <errorID>328b5c0e-41a3-4cce-a3e8-fce5289b46a0</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307F9CD2</paraID>
      <start>1</start>
      <end>8</end>
      <status>ignored</status>
      <modifiedWord/>
      <trackRevisions>false</trackRevisions>
    </reviewItem>
    <reviewItem>
      <errorID>fd5f1891-1206-40a2-bf0d-83c095c583cd</errorID>
      <errorWord>建 设</errorWord>
      <group>L1_Word</group>
      <groupName>字词问题</groupName>
      <ability>L2_Typo</ability>
      <abilityName>字词错误</abilityName>
      <candidateList>
        <item>建设</item>
      </candidateList>
      <explain/>
      <paraID>7D601522</paraID>
      <start>266</start>
      <end>269</end>
      <status>unmodified</status>
      <modifiedWord/>
      <trackRevisions>false</trackRevisions>
    </reviewItem>
    <reviewItem>
      <errorID>4b3c8361-5f5d-4d10-a623-76e26778ee6c</errorID>
      <errorWord>。</errorWord>
      <group>L1_Grammar</group>
      <groupName>语法问题</groupName>
      <ability>L2_Grammar</ability>
      <abilityName>语法错误</abilityName>
      <candidateList>
        <item>布局。</item>
      </candidateList>
      <explain/>
      <paraID>3AC1B256</paraID>
      <start>30</start>
      <end>31</end>
      <status>unmodified</status>
      <modifiedWord/>
      <trackRevisions>false</trackRevisions>
    </reviewItem>
    <reviewItem>
      <errorID>b3d67adb-c504-477d-ba79-b6d7526ccd10</errorID>
      <errorWord>法律、法规</errorWord>
      <group>L1_Word</group>
      <groupName>字词问题</groupName>
      <ability>L2_Typo</ability>
      <abilityName>字词错误</abilityName>
      <candidateList>
        <item>法律法规</item>
      </candidateList>
      <explain/>
      <paraID>33E36549</paraID>
      <start>4</start>
      <end>9</end>
      <status>ignored</status>
      <modifiedWord/>
      <trackRevisions>false</trackRevisions>
    </reviewItem>
    <reviewItem>
      <errorID>ed22e4b0-7c89-47bb-a301-fc43a86cd78d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266EE6FA</paraID>
      <start>0</start>
      <end>2</end>
      <status>unmodified</status>
      <modifiedWord/>
      <trackRevisions>false</trackRevisions>
    </reviewItem>
    <reviewItem>
      <errorID>7552679f-0d11-4cc5-bbb4-8ec45e735f30</errorID>
      <errorWord>法律、法规</errorWord>
      <group>L1_Word</group>
      <groupName>字词问题</groupName>
      <ability>L2_Typo</ability>
      <abilityName>字词错误</abilityName>
      <candidateList>
        <item>法律法规</item>
      </candidateList>
      <explain/>
      <paraID>48DA25BC</paraID>
      <start>4</start>
      <end>9</end>
      <status>ignored</status>
      <modifiedWord/>
      <trackRevisions>false</trackRevisions>
    </reviewItem>
    <reviewItem>
      <errorID>a251c54a-50b0-4a36-b49d-ef25781cc584</errorID>
      <errorWord>法律、法规</errorWord>
      <group>L1_Word</group>
      <groupName>字词问题</groupName>
      <ability>L2_Typo</ability>
      <abilityName>字词错误</abilityName>
      <candidateList>
        <item>法律法规</item>
      </candidateList>
      <explain/>
      <paraID> 50D3A5A</paraID>
      <start>4</start>
      <end>9</end>
      <status>ignored</status>
      <modifiedWord/>
      <trackRevisions>false</trackRevisions>
    </reviewItem>
    <reviewItem>
      <errorID>2cf2f284-d219-47e1-8b95-83773ce04ce0</errorID>
      <errorWord>法律、法规</errorWord>
      <group>L1_Word</group>
      <groupName>字词问题</groupName>
      <ability>L2_Typo</ability>
      <abilityName>字词错误</abilityName>
      <candidateList>
        <item>法律法规</item>
      </candidateList>
      <explain/>
      <paraID> 7EB092F</paraID>
      <start>5</start>
      <end>10</end>
      <status>ignored</status>
      <modifiedWord/>
      <trackRevisions>false</trackRevisions>
    </reviewItem>
    <reviewItem>
      <errorID>48edba43-d323-468a-9075-a154fb821811</errorID>
      <errorWord>法律、法规</errorWord>
      <group>L1_Word</group>
      <groupName>字词问题</groupName>
      <ability>L2_Typo</ability>
      <abilityName>字词错误</abilityName>
      <candidateList>
        <item>法律法规</item>
      </candidateList>
      <explain/>
      <paraID>47B5CD9F</paraID>
      <start>4</start>
      <end>9</end>
      <status>ignored</status>
      <modifiedWord/>
      <trackRevisions>false</trackRevisions>
    </reviewItem>
    <reviewItem>
      <errorID>6883b7ed-4ec3-4804-8935-2257f18be28c</errorID>
      <errorWord>法律、法规</errorWord>
      <group>L1_Word</group>
      <groupName>字词问题</groupName>
      <ability>L2_Typo</ability>
      <abilityName>字词错误</abilityName>
      <candidateList>
        <item>法律法规</item>
      </candidateList>
      <explain/>
      <paraID>4EC69F3E</paraID>
      <start>4</start>
      <end>9</end>
      <status>ignored</status>
      <modifiedWord/>
      <trackRevisions>false</trackRevisions>
    </reviewItem>
    <reviewItem>
      <errorID>645cc61e-1ac1-4ae7-bec8-05655babbff1</errorID>
      <errorWord> </errorWord>
      <group>L1_Punc</group>
      <groupName>标点问题</groupName>
      <ability>L2_Punc_CN</ability>
      <abilityName>标点符号问题</abilityName>
      <candidateList>
        <item/>
      </candidateList>
      <explain>此处空格冗余，建议删除。</explain>
      <paraID>129526E8</paraID>
      <start>9</start>
      <end>10</end>
      <status>unmodified</status>
      <modifiedWord/>
      <trackRevisions>false</trackRevisions>
    </reviewItem>
    <reviewItem>
      <errorID>5afd970e-6e2e-44d4-991e-8dc4f62d1329</errorID>
      <errorWord> </errorWord>
      <group>L1_Punc</group>
      <groupName>标点问题</groupName>
      <ability>L2_Punc_CN</ability>
      <abilityName>标点符号问题</abilityName>
      <candidateList>
        <item/>
      </candidateList>
      <explain>此处空格冗余，建议删除。</explain>
      <paraID>129526E8</paraID>
      <start>22</start>
      <end>23</end>
      <status>unmodified</status>
      <modifiedWord/>
      <trackRevisions>false</trackRevisions>
    </reviewItem>
    <reviewItem>
      <errorID>88a3f00d-6372-4599-9657-ba82ec01ac06</errorID>
      <errorWord>沙</errorWord>
      <group>L1_Word</group>
      <groupName>字词问题</groupName>
      <ability>L2_Typo</ability>
      <abilityName>字词错误</abilityName>
      <candidateList>
        <item>砂</item>
      </candidateList>
      <explain>存在发音相同字词的误用。</explain>
      <paraID> 6719EE3</paraID>
      <start>9</start>
      <end>10</end>
      <status>ignored</status>
      <modifiedWord/>
      <trackRevisions>false</trackRevisions>
    </reviewItem>
    <reviewItem>
      <errorID>799da659-85d0-4c5c-905d-3d6e8e517b00</errorID>
      <errorWord>造</errorWord>
      <group>L1_Word</group>
      <groupName>字词问题</groupName>
      <ability>L2_Typo</ability>
      <abilityName>字词错误</abilityName>
      <candidateList>
        <item>造业</item>
      </candidateList>
      <explain/>
      <paraID>2F4445B8</paraID>
      <start>23</start>
      <end>24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1EDD13-C310-47E1-B96B-AE604B342E1E}">
  <ds:schemaRefs/>
</ds:datastoreItem>
</file>

<file path=customXml/itemProps3.xml><?xml version="1.0" encoding="utf-8"?>
<ds:datastoreItem xmlns:ds="http://schemas.openxmlformats.org/officeDocument/2006/customXml" ds:itemID="{DFD4E89B-38F6-43EB-8BA6-4BD7B9720EAA}">
  <ds:schemaRefs/>
</ds:datastoreItem>
</file>

<file path=docProps/app.xml><?xml version="1.0" encoding="utf-8"?>
<Properties xmlns="http://schemas.openxmlformats.org/officeDocument/2006/extended-properties" xmlns:vt="http://schemas.openxmlformats.org/officeDocument/2006/docPropsVTypes">
  <Template>Normal</Template>
  <Pages>48</Pages>
  <Words>59</Words>
  <Characters>59</Characters>
  <Lines>169</Lines>
  <Paragraphs>47</Paragraphs>
  <TotalTime>10</TotalTime>
  <ScaleCrop>false</ScaleCrop>
  <LinksUpToDate>false</LinksUpToDate>
  <CharactersWithSpaces>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2026-07-17T03:32:00Z</dcterms:created>
  <dc:creator>Administrator</dc:creator>
  <cp:lastModifiedBy>WPS_1682509747</cp:lastModifiedBy>
  <cp:lastPrinted>2026-07-02T13:27:00Z</cp:lastPrinted>
  <dcterms:modified xsi:type="dcterms:W3CDTF">2026-07-30T07:55:26Z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eyJoZGlkIjoiOGUwNTNmNjZkMzIyODA2ZTc4ZGI2MWNjNWQ3ZDNmYWUiLCJ1c2VySWQiOiIxNDkxMDI2MTg5In0=</vt:lpwstr>
  </property>
  <property fmtid="{D5CDD505-2E9C-101B-9397-08002B2CF9AE}" pid="3" name="KSOProductBuildVer">
    <vt:lpwstr>2052-12.1.0.26375</vt:lpwstr>
  </property>
  <property fmtid="{D5CDD505-2E9C-101B-9397-08002B2CF9AE}" pid="4" name="ICV">
    <vt:lpwstr>3F877E43DEA64783A25D57E1FF09F24B_13</vt:lpwstr>
  </property>
</Properties>
</file>