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val="0"/>
        <w:ind w:left="0" w:leftChars="0" w:right="0" w:rightChars="0" w:firstLine="0" w:firstLineChars="0"/>
        <w:jc w:val="left"/>
        <w:textAlignment w:val="center"/>
        <w:rPr>
          <w:rFonts w:hint="eastAsia" w:ascii="方正黑体_GBK" w:hAnsi="方正黑体_GBK" w:eastAsia="方正黑体_GBK" w:cs="方正黑体_GBK"/>
          <w:b w:val="0"/>
          <w:i w:val="0"/>
          <w:snapToGrid/>
          <w:color w:val="000000"/>
          <w:sz w:val="32"/>
          <w:szCs w:val="32"/>
          <w:u w:val="none"/>
          <w:lang w:val="en-US" w:eastAsia="zh-CN"/>
        </w:rPr>
      </w:pPr>
      <w:r>
        <w:rPr>
          <w:rFonts w:hint="eastAsia" w:ascii="方正黑体_GBK" w:hAnsi="方正黑体_GBK" w:eastAsia="方正黑体_GBK" w:cs="方正黑体_GBK"/>
          <w:b w:val="0"/>
          <w:i w:val="0"/>
          <w:snapToGrid/>
          <w:color w:val="000000"/>
          <w:sz w:val="32"/>
          <w:szCs w:val="32"/>
          <w:u w:val="none"/>
          <w:lang w:eastAsia="zh-CN"/>
        </w:rPr>
        <w:t>附件</w:t>
      </w:r>
      <w:r>
        <w:rPr>
          <w:rFonts w:hint="eastAsia" w:ascii="方正黑体_GBK" w:hAnsi="方正黑体_GBK" w:eastAsia="方正黑体_GBK" w:cs="方正黑体_GBK"/>
          <w:b w:val="0"/>
          <w:i w:val="0"/>
          <w:snapToGrid/>
          <w:color w:val="000000"/>
          <w:sz w:val="32"/>
          <w:szCs w:val="32"/>
          <w:u w:val="none"/>
          <w:lang w:val="en-US" w:eastAsia="zh-CN"/>
        </w:rPr>
        <w:t>2</w:t>
      </w:r>
      <w:bookmarkStart w:id="0" w:name="_GoBack"/>
      <w:bookmarkEnd w:id="0"/>
    </w:p>
    <w:tbl>
      <w:tblPr>
        <w:tblStyle w:val="3"/>
        <w:tblW w:w="103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
        <w:gridCol w:w="786"/>
        <w:gridCol w:w="786"/>
        <w:gridCol w:w="786"/>
        <w:gridCol w:w="786"/>
        <w:gridCol w:w="786"/>
        <w:gridCol w:w="786"/>
        <w:gridCol w:w="638"/>
        <w:gridCol w:w="148"/>
        <w:gridCol w:w="782"/>
        <w:gridCol w:w="195"/>
        <w:gridCol w:w="595"/>
        <w:gridCol w:w="215"/>
        <w:gridCol w:w="735"/>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0391" w:type="dxa"/>
            <w:gridSpan w:val="15"/>
            <w:vAlign w:val="center"/>
          </w:tcPr>
          <w:p>
            <w:pPr>
              <w:kinsoku/>
              <w:autoSpaceDE/>
              <w:autoSpaceDN w:val="0"/>
              <w:ind w:left="0" w:leftChars="0" w:right="0" w:rightChars="0" w:firstLine="0" w:firstLineChars="0"/>
              <w:jc w:val="center"/>
              <w:textAlignment w:val="center"/>
              <w:rPr>
                <w:rFonts w:hint="default" w:ascii="方正小标宋_GBK" w:hAnsi="方正小标宋_GBK" w:eastAsia="方正小标宋_GBK"/>
                <w:b w:val="0"/>
                <w:i w:val="0"/>
                <w:snapToGrid/>
                <w:color w:val="000000"/>
                <w:sz w:val="40"/>
                <w:u w:val="none"/>
                <w:lang w:eastAsia="zh-CN"/>
              </w:rPr>
            </w:pPr>
            <w:r>
              <w:rPr>
                <w:rFonts w:hint="default" w:ascii="方正小标宋_GBK" w:hAnsi="方正小标宋_GBK" w:eastAsia="方正小标宋_GBK"/>
                <w:b w:val="0"/>
                <w:i w:val="0"/>
                <w:snapToGrid/>
                <w:color w:val="000000"/>
                <w:sz w:val="40"/>
                <w:u w:val="none"/>
                <w:lang w:eastAsia="zh-CN"/>
              </w:rPr>
              <w:t xml:space="preserve">项目资金绩效目标自评表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0391" w:type="dxa"/>
            <w:gridSpan w:val="15"/>
            <w:vAlign w:val="center"/>
          </w:tcPr>
          <w:p>
            <w:pPr>
              <w:kinsoku/>
              <w:autoSpaceDE/>
              <w:autoSpaceDN w:val="0"/>
              <w:ind w:left="0" w:leftChars="0" w:right="0" w:rightChars="0" w:firstLine="0" w:firstLineChars="0"/>
              <w:jc w:val="center"/>
              <w:textAlignment w:val="center"/>
              <w:rPr>
                <w:rFonts w:hint="default" w:ascii="方正仿宋_GBK" w:hAnsi="方正仿宋_GBK" w:eastAsia="方正仿宋_GBK"/>
                <w:b w:val="0"/>
                <w:i w:val="0"/>
                <w:snapToGrid/>
                <w:color w:val="000000"/>
                <w:sz w:val="20"/>
                <w:u w:val="none"/>
                <w:lang w:eastAsia="zh-CN"/>
              </w:rPr>
            </w:pPr>
            <w:r>
              <w:rPr>
                <w:rFonts w:hint="default" w:ascii="方正仿宋_GBK" w:hAnsi="方正仿宋_GBK" w:eastAsia="方正仿宋_GBK"/>
                <w:b w:val="0"/>
                <w:i w:val="0"/>
                <w:snapToGrid/>
                <w:color w:val="000000"/>
                <w:sz w:val="20"/>
                <w:u w:val="none"/>
                <w:lang w:eastAsia="zh-CN"/>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144" w:type="dxa"/>
            <w:gridSpan w:val="4"/>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专项（项目）名称</w:t>
            </w:r>
          </w:p>
        </w:tc>
        <w:tc>
          <w:tcPr>
            <w:tcW w:w="2358"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创新驱动发展等资金</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自评总分</w:t>
            </w:r>
          </w:p>
        </w:tc>
        <w:tc>
          <w:tcPr>
            <w:tcW w:w="4103" w:type="dxa"/>
            <w:gridSpan w:val="6"/>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144" w:type="dxa"/>
            <w:gridSpan w:val="4"/>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主管部门</w:t>
            </w:r>
          </w:p>
        </w:tc>
        <w:tc>
          <w:tcPr>
            <w:tcW w:w="2358"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巫溪县科学技术局</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联系人</w:t>
            </w:r>
          </w:p>
        </w:tc>
        <w:tc>
          <w:tcPr>
            <w:tcW w:w="4103" w:type="dxa"/>
            <w:gridSpan w:val="6"/>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李蓉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144" w:type="dxa"/>
            <w:gridSpan w:val="4"/>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实施单位</w:t>
            </w:r>
          </w:p>
        </w:tc>
        <w:tc>
          <w:tcPr>
            <w:tcW w:w="2358" w:type="dxa"/>
            <w:gridSpan w:val="3"/>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巫溪县科学技术局</w:t>
            </w:r>
          </w:p>
        </w:tc>
        <w:tc>
          <w:tcPr>
            <w:tcW w:w="786" w:type="dxa"/>
            <w:gridSpan w:val="2"/>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联系电话</w:t>
            </w:r>
          </w:p>
        </w:tc>
        <w:tc>
          <w:tcPr>
            <w:tcW w:w="4103" w:type="dxa"/>
            <w:gridSpan w:val="6"/>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15856066231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144" w:type="dxa"/>
            <w:gridSpan w:val="4"/>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项目资金（万元）</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全年预算数（A）</w:t>
            </w:r>
          </w:p>
        </w:tc>
        <w:tc>
          <w:tcPr>
            <w:tcW w:w="1572"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全年执行数（B）</w:t>
            </w:r>
          </w:p>
        </w:tc>
        <w:tc>
          <w:tcPr>
            <w:tcW w:w="1572" w:type="dxa"/>
            <w:gridSpan w:val="3"/>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执行率（B/A,%)</w:t>
            </w:r>
          </w:p>
        </w:tc>
        <w:tc>
          <w:tcPr>
            <w:tcW w:w="2531"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执行率得分（10分）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144" w:type="dxa"/>
            <w:gridSpan w:val="4"/>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总量</w:t>
            </w: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432</w:t>
            </w: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总量</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432</w:t>
            </w:r>
          </w:p>
        </w:tc>
        <w:tc>
          <w:tcPr>
            <w:tcW w:w="1572" w:type="dxa"/>
            <w:gridSpan w:val="3"/>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85%</w:t>
            </w:r>
          </w:p>
        </w:tc>
        <w:tc>
          <w:tcPr>
            <w:tcW w:w="2531"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144" w:type="dxa"/>
            <w:gridSpan w:val="4"/>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其中：财政资金</w:t>
            </w: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432</w:t>
            </w: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其中：财政资金</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432</w:t>
            </w:r>
          </w:p>
        </w:tc>
        <w:tc>
          <w:tcPr>
            <w:tcW w:w="1572" w:type="dxa"/>
            <w:gridSpan w:val="3"/>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85%</w:t>
            </w:r>
          </w:p>
        </w:tc>
        <w:tc>
          <w:tcPr>
            <w:tcW w:w="2531"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6" w:type="dxa"/>
            <w:vMerge w:val="restart"/>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年度总体目标</w:t>
            </w:r>
          </w:p>
        </w:tc>
        <w:tc>
          <w:tcPr>
            <w:tcW w:w="5354" w:type="dxa"/>
            <w:gridSpan w:val="7"/>
            <w:tcBorders>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年初设定目标</w:t>
            </w:r>
          </w:p>
        </w:tc>
        <w:tc>
          <w:tcPr>
            <w:tcW w:w="4251" w:type="dxa"/>
            <w:gridSpan w:val="7"/>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jc w:val="center"/>
        </w:trPr>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5354" w:type="dxa"/>
            <w:gridSpan w:val="7"/>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巫溪县内从事科技创新活动的单位、个人等创新主体，重点支持科技创新平台、高新技术企业、规模以上企业及入库重庆市科技型企业库的企业，激发本地企业创新，加大研发投入，主要用于企业的研发、创新、孵化平台建设补助及科技型企业培育、创新项目配套、专利资助奖励、完善科技服务体系及其他科技创新等方面的支出，资金主要采用间接投入、专项扶持、事后补助、奖励性后补助、贷款贴息等方式，优先扶持科技含量高、成长性强、市场前景好的创新项目</w:t>
            </w:r>
          </w:p>
        </w:tc>
        <w:tc>
          <w:tcPr>
            <w:tcW w:w="4251" w:type="dxa"/>
            <w:gridSpan w:val="7"/>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县内18个符合巫溪县创新驱动发展专项资金管理办法的企业进行了补助，对本辖区内的3个高企进行了补助，对新建的2个专家大院的进行了补助，正在运行的1个市级孵化器、1个市级星创天地，2个市级众创空间分别给予补助，企业研发投入奖励给予补助，专利支出奖励及知识产权服务分别给予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6" w:type="dxa"/>
            <w:vMerge w:val="restart"/>
            <w:tcBorders>
              <w:left w:val="single" w:color="000000" w:sz="4" w:space="0"/>
              <w:bottom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绩效指标</w:t>
            </w:r>
          </w:p>
        </w:tc>
        <w:tc>
          <w:tcPr>
            <w:tcW w:w="3930" w:type="dxa"/>
            <w:gridSpan w:val="5"/>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指标名称</w:t>
            </w:r>
          </w:p>
        </w:tc>
        <w:tc>
          <w:tcPr>
            <w:tcW w:w="1424" w:type="dxa"/>
            <w:gridSpan w:val="2"/>
            <w:vMerge w:val="restart"/>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年度指标值</w:t>
            </w:r>
          </w:p>
        </w:tc>
        <w:tc>
          <w:tcPr>
            <w:tcW w:w="930" w:type="dxa"/>
            <w:gridSpan w:val="2"/>
            <w:vMerge w:val="restart"/>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全年完成值</w:t>
            </w:r>
          </w:p>
        </w:tc>
        <w:tc>
          <w:tcPr>
            <w:tcW w:w="790" w:type="dxa"/>
            <w:gridSpan w:val="2"/>
            <w:vMerge w:val="restart"/>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完成比例</w:t>
            </w:r>
          </w:p>
        </w:tc>
        <w:tc>
          <w:tcPr>
            <w:tcW w:w="950" w:type="dxa"/>
            <w:gridSpan w:val="2"/>
            <w:vMerge w:val="restart"/>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指标得分（分）</w:t>
            </w:r>
          </w:p>
        </w:tc>
        <w:tc>
          <w:tcPr>
            <w:tcW w:w="1581" w:type="dxa"/>
            <w:vMerge w:val="restart"/>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未完成原因和改进措施及相关说明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restart"/>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绩效指标</w:t>
            </w:r>
          </w:p>
        </w:tc>
        <w:tc>
          <w:tcPr>
            <w:tcW w:w="786" w:type="dxa"/>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一级指标</w:t>
            </w:r>
          </w:p>
        </w:tc>
        <w:tc>
          <w:tcPr>
            <w:tcW w:w="786" w:type="dxa"/>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二级指标</w:t>
            </w: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三级指标</w:t>
            </w:r>
          </w:p>
        </w:tc>
        <w:tc>
          <w:tcPr>
            <w:tcW w:w="1424" w:type="dxa"/>
            <w:gridSpan w:val="2"/>
            <w:vMerge w:val="continue"/>
            <w:tcBorders>
              <w:bottom w:val="single" w:color="000000" w:sz="4" w:space="0"/>
              <w:right w:val="single" w:color="000000" w:sz="4" w:space="0"/>
            </w:tcBorders>
            <w:vAlign w:val="center"/>
          </w:tcPr>
          <w:p>
            <w:pPr>
              <w:kinsoku/>
              <w:autoSpaceDE/>
              <w:autoSpaceDN w:val="0"/>
              <w:ind w:left="0" w:leftChars="0" w:right="0" w:rightChars="0" w:firstLine="0" w:firstLineChars="0"/>
              <w:textAlignment w:val="auto"/>
              <w:rPr>
                <w:rFonts w:hint="default"/>
                <w:snapToGrid/>
                <w:sz w:val="21"/>
                <w:lang w:eastAsia="zh-CN"/>
              </w:rPr>
            </w:pPr>
          </w:p>
        </w:tc>
        <w:tc>
          <w:tcPr>
            <w:tcW w:w="930" w:type="dxa"/>
            <w:gridSpan w:val="2"/>
            <w:vMerge w:val="continue"/>
            <w:tcBorders>
              <w:right w:val="single" w:color="000000" w:sz="4" w:space="0"/>
            </w:tcBorders>
            <w:vAlign w:val="center"/>
          </w:tcPr>
          <w:p>
            <w:pPr>
              <w:kinsoku/>
              <w:autoSpaceDE/>
              <w:autoSpaceDN w:val="0"/>
              <w:ind w:left="0" w:leftChars="0" w:right="0" w:rightChars="0" w:firstLine="0" w:firstLineChars="0"/>
              <w:textAlignment w:val="auto"/>
              <w:rPr>
                <w:rFonts w:hint="default"/>
                <w:snapToGrid/>
                <w:sz w:val="21"/>
                <w:lang w:eastAsia="zh-CN"/>
              </w:rPr>
            </w:pPr>
          </w:p>
        </w:tc>
        <w:tc>
          <w:tcPr>
            <w:tcW w:w="790" w:type="dxa"/>
            <w:gridSpan w:val="2"/>
            <w:vMerge w:val="continue"/>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textAlignment w:val="auto"/>
              <w:rPr>
                <w:rFonts w:hint="default"/>
                <w:snapToGrid/>
                <w:sz w:val="21"/>
                <w:lang w:eastAsia="zh-CN"/>
              </w:rPr>
            </w:pPr>
          </w:p>
        </w:tc>
        <w:tc>
          <w:tcPr>
            <w:tcW w:w="950" w:type="dxa"/>
            <w:gridSpan w:val="2"/>
            <w:vMerge w:val="continue"/>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textAlignment w:val="auto"/>
              <w:rPr>
                <w:rFonts w:hint="default"/>
                <w:snapToGrid/>
                <w:sz w:val="21"/>
                <w:lang w:eastAsia="zh-CN"/>
              </w:rPr>
            </w:pPr>
          </w:p>
        </w:tc>
        <w:tc>
          <w:tcPr>
            <w:tcW w:w="1581" w:type="dxa"/>
            <w:vMerge w:val="continue"/>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textAlignment w:val="auto"/>
              <w:rPr>
                <w:rFonts w:hint="default"/>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产出指标（70分）</w:t>
            </w:r>
          </w:p>
        </w:tc>
        <w:tc>
          <w:tcPr>
            <w:tcW w:w="786" w:type="dxa"/>
            <w:vMerge w:val="restart"/>
            <w:tcBorders>
              <w:top w:val="single" w:color="000000" w:sz="4" w:space="0"/>
              <w:bottom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数量指标（30）分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对符合巫溪县创新驱动发展专项资金管理办法的相关企业进行补助奖励（8分）</w:t>
            </w:r>
          </w:p>
        </w:tc>
        <w:tc>
          <w:tcPr>
            <w:tcW w:w="1424"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≧20个</w:t>
            </w:r>
          </w:p>
        </w:tc>
        <w:tc>
          <w:tcPr>
            <w:tcW w:w="930" w:type="dxa"/>
            <w:gridSpan w:val="2"/>
            <w:tcBorders>
              <w:top w:val="single" w:color="000000" w:sz="4" w:space="0"/>
              <w:left w:val="single" w:color="000000" w:sz="4" w:space="0"/>
              <w:bottom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20个</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95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对纳入重庆市科技型企业管理数据库的企业申报高新技术企业首次认定后一次性奖励（5分）</w:t>
            </w:r>
          </w:p>
        </w:tc>
        <w:tc>
          <w:tcPr>
            <w:tcW w:w="1424"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3个</w:t>
            </w:r>
          </w:p>
        </w:tc>
        <w:tc>
          <w:tcPr>
            <w:tcW w:w="930"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3个</w:t>
            </w:r>
          </w:p>
        </w:tc>
        <w:tc>
          <w:tcPr>
            <w:tcW w:w="790"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95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5</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新建专家大院（3分）</w:t>
            </w:r>
          </w:p>
        </w:tc>
        <w:tc>
          <w:tcPr>
            <w:tcW w:w="1424" w:type="dxa"/>
            <w:gridSpan w:val="2"/>
            <w:tcBorders>
              <w:left w:val="single" w:color="000000" w:sz="4" w:space="0"/>
              <w:bottom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2个</w:t>
            </w:r>
          </w:p>
        </w:tc>
        <w:tc>
          <w:tcPr>
            <w:tcW w:w="930"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2个</w:t>
            </w:r>
          </w:p>
        </w:tc>
        <w:tc>
          <w:tcPr>
            <w:tcW w:w="79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95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对运行正常并发挥作用的1个市级孵化器、1个市级星创天地，2个市级众创空间分别给予补助（5分）</w:t>
            </w:r>
          </w:p>
        </w:tc>
        <w:tc>
          <w:tcPr>
            <w:tcW w:w="1424" w:type="dxa"/>
            <w:gridSpan w:val="2"/>
            <w:tcBorders>
              <w:left w:val="single" w:color="000000" w:sz="4" w:space="0"/>
              <w:bottom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1个市级孵化器、1个市级星创天地，2个市级众创空间</w:t>
            </w:r>
          </w:p>
        </w:tc>
        <w:tc>
          <w:tcPr>
            <w:tcW w:w="1125" w:type="dxa"/>
            <w:gridSpan w:val="3"/>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1个市级孵化器、1个市级星创天地，2个市级众创空间</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5</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对符合研发投入奖励办法的企业进行奖励，对符合巫溪县专利资助与奖励办法的企业进行奖励补助（6分）</w:t>
            </w:r>
          </w:p>
        </w:tc>
        <w:tc>
          <w:tcPr>
            <w:tcW w:w="1424" w:type="dxa"/>
            <w:gridSpan w:val="2"/>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≧40个</w:t>
            </w:r>
          </w:p>
        </w:tc>
        <w:tc>
          <w:tcPr>
            <w:tcW w:w="1125" w:type="dxa"/>
            <w:gridSpan w:val="3"/>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20个</w:t>
            </w:r>
          </w:p>
        </w:tc>
        <w:tc>
          <w:tcPr>
            <w:tcW w:w="810" w:type="dxa"/>
            <w:gridSpan w:val="2"/>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80%</w:t>
            </w:r>
          </w:p>
        </w:tc>
        <w:tc>
          <w:tcPr>
            <w:tcW w:w="735" w:type="dxa"/>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w:t>
            </w:r>
          </w:p>
        </w:tc>
        <w:tc>
          <w:tcPr>
            <w:tcW w:w="1581" w:type="dxa"/>
            <w:tcBorders>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由于专利管理办法修改，授权专利由事前补助改为事后补助，另由于疫情影响，有的企业项目实施进度有所延后，待项目验收通过后再补助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种子基金管理机构（3分）</w:t>
            </w:r>
          </w:p>
        </w:tc>
        <w:tc>
          <w:tcPr>
            <w:tcW w:w="1424" w:type="dxa"/>
            <w:gridSpan w:val="2"/>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1个</w:t>
            </w:r>
          </w:p>
        </w:tc>
        <w:tc>
          <w:tcPr>
            <w:tcW w:w="1125" w:type="dxa"/>
            <w:gridSpan w:val="3"/>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1个</w:t>
            </w:r>
          </w:p>
        </w:tc>
        <w:tc>
          <w:tcPr>
            <w:tcW w:w="810" w:type="dxa"/>
            <w:gridSpan w:val="2"/>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w:t>
            </w:r>
          </w:p>
        </w:tc>
        <w:tc>
          <w:tcPr>
            <w:tcW w:w="1581" w:type="dxa"/>
            <w:tcBorders>
              <w:top w:val="single" w:color="000000" w:sz="4" w:space="0"/>
              <w:left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restart"/>
            <w:tcBorders>
              <w:top w:val="single" w:color="000000" w:sz="4" w:space="0"/>
              <w:bottom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成本指标（30分）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创新驱动发展资金（8分）</w:t>
            </w:r>
          </w:p>
        </w:tc>
        <w:tc>
          <w:tcPr>
            <w:tcW w:w="1424"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用于县内企业创新驱动发展专项、创新创业大赛项目经费等共计200万元</w:t>
            </w:r>
          </w:p>
        </w:tc>
        <w:tc>
          <w:tcPr>
            <w:tcW w:w="112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200万元已全额拨付</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w:t>
            </w:r>
          </w:p>
        </w:tc>
        <w:tc>
          <w:tcPr>
            <w:tcW w:w="158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高新技术企业奖励（5分）</w:t>
            </w:r>
          </w:p>
        </w:tc>
        <w:tc>
          <w:tcPr>
            <w:tcW w:w="1424"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对纳入重庆市科技型企业管理数据库的企业申报高新技术企业首次认定后一次性奖励20万元，三个高企共计60万元</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60万元已全额拨付</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5</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新建的2个专家大院（3分）</w:t>
            </w:r>
          </w:p>
        </w:tc>
        <w:tc>
          <w:tcPr>
            <w:tcW w:w="1424"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每个专家大院给予建设后补助20万元，共计40万元</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40万元已全额拨付</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科技平台补助（5分）</w:t>
            </w:r>
          </w:p>
        </w:tc>
        <w:tc>
          <w:tcPr>
            <w:tcW w:w="1424"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对运行正常并发挥作用的1个市级孵化器、1个市级星创天地，2个市级众创空间分别给予3－5万元补助，合计18万元</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18万元已全额拨付</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5</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企业研发投入奖励，科技创新规划，创新科普宣传，专利支出奖励及知识产权服务（6分）</w:t>
            </w:r>
          </w:p>
        </w:tc>
        <w:tc>
          <w:tcPr>
            <w:tcW w:w="1424"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企业研发投入奖励6.36万元，科技创新规划20万元，创新科普宣传5万元，专利支出奖励及知识产权服务76.64万元，共计108万元</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已拨付41.89万元，余下66.11万元待有关项目验收通过后拨付</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61%</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由于专利管理办法修改，授权专利由事前补助改为事后补助，另由于疫情影响，有的企业待项目验收通过后再补助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tcBorders>
            <w:vAlign w:val="center"/>
          </w:tcPr>
          <w:p>
            <w:pPr>
              <w:ind w:left="0" w:leftChars="0" w:right="0" w:rightChars="0" w:firstLine="0" w:firstLineChars="0"/>
              <w:rPr>
                <w:rFonts w:hint="default"/>
                <w:sz w:val="21"/>
              </w:rPr>
            </w:pPr>
          </w:p>
        </w:tc>
        <w:tc>
          <w:tcPr>
            <w:tcW w:w="1572"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种子基金管理机构（3分）</w:t>
            </w:r>
          </w:p>
        </w:tc>
        <w:tc>
          <w:tcPr>
            <w:tcW w:w="1424" w:type="dxa"/>
            <w:gridSpan w:val="2"/>
            <w:tcBorders>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1个种子基金管理机构工作经费6万元</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6万元已全额拨付</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质量指标（5）分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企业管理制度的完善程度（5分）</w:t>
            </w:r>
          </w:p>
        </w:tc>
        <w:tc>
          <w:tcPr>
            <w:tcW w:w="1424"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企业管理制度的完善程度</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企业管理制度的完善程度有所提高</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企业管理者对企业管理的意识有待提高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时效指标（5）分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2020年12月底前（5分）</w:t>
            </w:r>
          </w:p>
        </w:tc>
        <w:tc>
          <w:tcPr>
            <w:tcW w:w="1424"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2020年12月底前完成所有补助资金项目</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2020年8月底前已兑付资金的85%</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由于疫情影响，企业的项目实施进度有所延迟，资金兑付延迟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restart"/>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效益指标（10分）</w:t>
            </w: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经济效益指标（5）分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加大对科技成果转化的支持力度（5分）</w:t>
            </w:r>
          </w:p>
        </w:tc>
        <w:tc>
          <w:tcPr>
            <w:tcW w:w="1424"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加大对科技成果转化的支持力度</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加大了对科技成果转化的支持力度</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由于财力有限，对企业的资金补助额度不大，对企业支持力度不够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社会效益指标（5）分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对企业市场竞争力的提升作用（5分）</w:t>
            </w:r>
          </w:p>
        </w:tc>
        <w:tc>
          <w:tcPr>
            <w:tcW w:w="1424"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对企业市场竞争力的提升作用</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有所提升</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由于资金有限，对企业的资金补助额度不大，对企业支持力度不够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restart"/>
            <w:tcBorders>
              <w:top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满意度指标（10分）</w:t>
            </w:r>
          </w:p>
        </w:tc>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服务对象满意度（10）分</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科技创新企业对政策的综合满意度（5分）</w:t>
            </w:r>
          </w:p>
        </w:tc>
        <w:tc>
          <w:tcPr>
            <w:tcW w:w="1424"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由于资金有限，对企业的资金补助额度不大，对企业支持力度不够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86" w:type="dxa"/>
            <w:vMerge w:val="continue"/>
            <w:tcBorders>
              <w:left w:val="single" w:color="000000" w:sz="4" w:space="0"/>
              <w:bottom w:val="single" w:color="000000" w:sz="4" w:space="0"/>
            </w:tcBorders>
            <w:vAlign w:val="center"/>
          </w:tcPr>
          <w:p>
            <w:pPr>
              <w:ind w:left="0" w:leftChars="0" w:right="0" w:rightChars="0" w:firstLine="0" w:firstLineChars="0"/>
              <w:rPr>
                <w:rFonts w:hint="default"/>
                <w:sz w:val="21"/>
              </w:rPr>
            </w:pPr>
          </w:p>
        </w:tc>
        <w:tc>
          <w:tcPr>
            <w:tcW w:w="78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default"/>
                <w:sz w:val="21"/>
              </w:rPr>
            </w:pP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政策的知晓率（5分）</w:t>
            </w:r>
          </w:p>
        </w:tc>
        <w:tc>
          <w:tcPr>
            <w:tcW w:w="1424"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≧100%</w:t>
            </w:r>
          </w:p>
        </w:tc>
        <w:tc>
          <w:tcPr>
            <w:tcW w:w="1125" w:type="dxa"/>
            <w:gridSpan w:val="3"/>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810" w:type="dxa"/>
            <w:gridSpan w:val="2"/>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95%</w:t>
            </w:r>
          </w:p>
        </w:tc>
        <w:tc>
          <w:tcPr>
            <w:tcW w:w="735" w:type="dxa"/>
            <w:tcBorders>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w:t>
            </w:r>
          </w:p>
        </w:tc>
        <w:tc>
          <w:tcPr>
            <w:tcW w:w="1581" w:type="dxa"/>
            <w:tcBorders>
              <w:bottom w:val="single" w:color="000000" w:sz="4" w:space="0"/>
              <w:right w:val="single" w:color="000000" w:sz="4" w:space="0"/>
            </w:tcBorders>
            <w:vAlign w:val="center"/>
          </w:tcPr>
          <w:p>
            <w:pPr>
              <w:kinsoku/>
              <w:autoSpaceDE/>
              <w:autoSpaceDN w:val="0"/>
              <w:ind w:left="0" w:leftChars="0" w:right="0" w:rightChars="0" w:firstLine="0" w:firstLineChars="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企业参加培训会议不积极，宣传力度有待加强</w:t>
            </w:r>
          </w:p>
        </w:tc>
      </w:tr>
    </w:tbl>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5FDC"/>
    <w:rsid w:val="3D225FDC"/>
    <w:rsid w:val="446673F9"/>
    <w:rsid w:val="4CDA2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2020-09-21T02:11:00Z</dcterms:created>
  <dc:creator>qasdfg</dc:creator>
  <cp:lastModifiedBy>qasdfg</cp:lastModifiedBy>
  <dcterms:modified xsi:type="dcterms:W3CDTF">2020-09-21T02:12:20Z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