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autoSpaceDE/>
        <w:autoSpaceDN w:val="0"/>
        <w:ind w:left="0" w:leftChars="0" w:right="0" w:rightChars="0" w:firstLine="0" w:firstLineChars="0"/>
        <w:jc w:val="left"/>
        <w:textAlignment w:val="center"/>
        <w:rPr>
          <w:rFonts w:hint="eastAsia" w:ascii="方正黑体_GBK" w:hAnsi="方正黑体_GBK" w:eastAsia="方正黑体_GBK" w:cs="方正黑体_GBK"/>
          <w:b w:val="0"/>
          <w:i w:val="0"/>
          <w:snapToGrid/>
          <w:color w:val="000000"/>
          <w:sz w:val="32"/>
          <w:szCs w:val="32"/>
          <w:u w:val="none"/>
          <w:lang w:val="en-US" w:eastAsia="zh-CN"/>
        </w:rPr>
      </w:pPr>
      <w:r>
        <w:rPr>
          <w:rFonts w:hint="eastAsia" w:ascii="方正黑体_GBK" w:hAnsi="方正黑体_GBK" w:eastAsia="方正黑体_GBK" w:cs="方正黑体_GBK"/>
          <w:b w:val="0"/>
          <w:i w:val="0"/>
          <w:snapToGrid/>
          <w:color w:val="000000"/>
          <w:sz w:val="32"/>
          <w:szCs w:val="32"/>
          <w:u w:val="none"/>
          <w:lang w:eastAsia="zh-CN"/>
        </w:rPr>
        <w:t>附件</w:t>
      </w:r>
      <w:r>
        <w:rPr>
          <w:rFonts w:hint="eastAsia" w:ascii="方正黑体_GBK" w:hAnsi="方正黑体_GBK" w:eastAsia="方正黑体_GBK" w:cs="方正黑体_GBK"/>
          <w:b w:val="0"/>
          <w:i w:val="0"/>
          <w:snapToGrid/>
          <w:color w:val="000000"/>
          <w:sz w:val="32"/>
          <w:szCs w:val="32"/>
          <w:u w:val="none"/>
          <w:lang w:val="en-US" w:eastAsia="zh-CN"/>
        </w:rPr>
        <w:t>2</w:t>
      </w:r>
      <w:bookmarkStart w:id="0" w:name="_GoBack"/>
      <w:bookmarkEnd w:id="0"/>
    </w:p>
    <w:tbl>
      <w:tblPr>
        <w:tblStyle w:val="3"/>
        <w:tblW w:w="1039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86"/>
        <w:gridCol w:w="786"/>
        <w:gridCol w:w="786"/>
        <w:gridCol w:w="786"/>
        <w:gridCol w:w="786"/>
        <w:gridCol w:w="786"/>
        <w:gridCol w:w="786"/>
        <w:gridCol w:w="638"/>
        <w:gridCol w:w="148"/>
        <w:gridCol w:w="782"/>
        <w:gridCol w:w="195"/>
        <w:gridCol w:w="595"/>
        <w:gridCol w:w="215"/>
        <w:gridCol w:w="735"/>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atLeast"/>
          <w:jc w:val="center"/>
        </w:trPr>
        <w:tc>
          <w:tcPr>
            <w:tcW w:w="10391" w:type="dxa"/>
            <w:gridSpan w:val="15"/>
            <w:vAlign w:val="center"/>
          </w:tcPr>
          <w:p>
            <w:pPr>
              <w:kinsoku/>
              <w:autoSpaceDE/>
              <w:autoSpaceDN w:val="0"/>
              <w:ind w:left="0" w:leftChars="0" w:right="0" w:rightChars="0" w:firstLine="0" w:firstLineChars="0"/>
              <w:jc w:val="center"/>
              <w:textAlignment w:val="center"/>
              <w:rPr>
                <w:rFonts w:hint="default" w:ascii="方正小标宋_GBK" w:hAnsi="方正小标宋_GBK" w:eastAsia="方正小标宋_GBK"/>
                <w:b w:val="0"/>
                <w:i w:val="0"/>
                <w:snapToGrid/>
                <w:color w:val="000000"/>
                <w:sz w:val="40"/>
                <w:u w:val="none"/>
                <w:lang w:eastAsia="zh-CN"/>
              </w:rPr>
            </w:pPr>
            <w:r>
              <w:rPr>
                <w:rFonts w:hint="default" w:ascii="方正小标宋_GBK" w:hAnsi="方正小标宋_GBK" w:eastAsia="方正小标宋_GBK"/>
                <w:b w:val="0"/>
                <w:i w:val="0"/>
                <w:snapToGrid/>
                <w:color w:val="000000"/>
                <w:sz w:val="40"/>
                <w:u w:val="none"/>
                <w:lang w:eastAsia="zh-CN"/>
              </w:rPr>
              <w:t xml:space="preserve">项目资金绩效目标自评表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10391" w:type="dxa"/>
            <w:gridSpan w:val="15"/>
            <w:vAlign w:val="center"/>
          </w:tcPr>
          <w:p>
            <w:pPr>
              <w:kinsoku/>
              <w:autoSpaceDE/>
              <w:autoSpaceDN w:val="0"/>
              <w:ind w:left="0" w:leftChars="0" w:right="0" w:rightChars="0" w:firstLine="0" w:firstLineChars="0"/>
              <w:jc w:val="center"/>
              <w:textAlignment w:val="center"/>
              <w:rPr>
                <w:rFonts w:hint="default" w:ascii="方正仿宋_GBK" w:hAnsi="方正仿宋_GBK" w:eastAsia="方正仿宋_GBK"/>
                <w:b w:val="0"/>
                <w:i w:val="0"/>
                <w:snapToGrid/>
                <w:color w:val="000000"/>
                <w:sz w:val="20"/>
                <w:u w:val="none"/>
                <w:lang w:eastAsia="zh-CN"/>
              </w:rPr>
            </w:pPr>
            <w:r>
              <w:rPr>
                <w:rFonts w:hint="default" w:ascii="方正仿宋_GBK" w:hAnsi="方正仿宋_GBK" w:eastAsia="方正仿宋_GBK"/>
                <w:b w:val="0"/>
                <w:i w:val="0"/>
                <w:snapToGrid/>
                <w:color w:val="000000"/>
                <w:sz w:val="20"/>
                <w:u w:val="none"/>
                <w:lang w:eastAsia="zh-CN"/>
              </w:rPr>
              <w:t>（2019年度）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144"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专项（项目）名称</w:t>
            </w: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创新驱动发展等资金</w:t>
            </w:r>
          </w:p>
        </w:tc>
        <w:tc>
          <w:tcPr>
            <w:tcW w:w="78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自评总分</w:t>
            </w:r>
          </w:p>
        </w:tc>
        <w:tc>
          <w:tcPr>
            <w:tcW w:w="410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144" w:type="dxa"/>
            <w:gridSpan w:val="4"/>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主管部门</w:t>
            </w:r>
          </w:p>
        </w:tc>
        <w:tc>
          <w:tcPr>
            <w:tcW w:w="2358"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巫溪县科学技术局</w:t>
            </w:r>
          </w:p>
        </w:tc>
        <w:tc>
          <w:tcPr>
            <w:tcW w:w="78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联系人</w:t>
            </w:r>
          </w:p>
        </w:tc>
        <w:tc>
          <w:tcPr>
            <w:tcW w:w="410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李蓉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144" w:type="dxa"/>
            <w:gridSpan w:val="4"/>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实施单位</w:t>
            </w:r>
          </w:p>
        </w:tc>
        <w:tc>
          <w:tcPr>
            <w:tcW w:w="2358" w:type="dxa"/>
            <w:gridSpan w:val="3"/>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巫溪县科学技术局</w:t>
            </w:r>
          </w:p>
        </w:tc>
        <w:tc>
          <w:tcPr>
            <w:tcW w:w="786" w:type="dxa"/>
            <w:gridSpan w:val="2"/>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联系电话</w:t>
            </w:r>
          </w:p>
        </w:tc>
        <w:tc>
          <w:tcPr>
            <w:tcW w:w="4103" w:type="dxa"/>
            <w:gridSpan w:val="6"/>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15856066231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144" w:type="dxa"/>
            <w:gridSpan w:val="4"/>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项目资金（万元）</w:t>
            </w: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全年预算数（A）</w:t>
            </w:r>
          </w:p>
        </w:tc>
        <w:tc>
          <w:tcPr>
            <w:tcW w:w="1572"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全年执行数（B）</w:t>
            </w:r>
          </w:p>
        </w:tc>
        <w:tc>
          <w:tcPr>
            <w:tcW w:w="1572" w:type="dxa"/>
            <w:gridSpan w:val="3"/>
            <w:tcBorders>
              <w:top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执行率（B/A,%)</w:t>
            </w:r>
          </w:p>
        </w:tc>
        <w:tc>
          <w:tcPr>
            <w:tcW w:w="25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执行率得分（10分）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3144" w:type="dxa"/>
            <w:gridSpan w:val="4"/>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总量</w:t>
            </w:r>
          </w:p>
        </w:tc>
        <w:tc>
          <w:tcPr>
            <w:tcW w:w="78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432</w:t>
            </w:r>
          </w:p>
        </w:tc>
        <w:tc>
          <w:tcPr>
            <w:tcW w:w="78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总量</w:t>
            </w:r>
          </w:p>
        </w:tc>
        <w:tc>
          <w:tcPr>
            <w:tcW w:w="78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432</w:t>
            </w:r>
          </w:p>
        </w:tc>
        <w:tc>
          <w:tcPr>
            <w:tcW w:w="1572" w:type="dxa"/>
            <w:gridSpan w:val="3"/>
            <w:tcBorders>
              <w:top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85%</w:t>
            </w:r>
          </w:p>
        </w:tc>
        <w:tc>
          <w:tcPr>
            <w:tcW w:w="25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3144" w:type="dxa"/>
            <w:gridSpan w:val="4"/>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其中：财政资金</w:t>
            </w:r>
          </w:p>
        </w:tc>
        <w:tc>
          <w:tcPr>
            <w:tcW w:w="78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432</w:t>
            </w:r>
          </w:p>
        </w:tc>
        <w:tc>
          <w:tcPr>
            <w:tcW w:w="78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其中：财政资金</w:t>
            </w:r>
          </w:p>
        </w:tc>
        <w:tc>
          <w:tcPr>
            <w:tcW w:w="78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432</w:t>
            </w:r>
          </w:p>
        </w:tc>
        <w:tc>
          <w:tcPr>
            <w:tcW w:w="1572" w:type="dxa"/>
            <w:gridSpan w:val="3"/>
            <w:tcBorders>
              <w:top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85%</w:t>
            </w:r>
          </w:p>
        </w:tc>
        <w:tc>
          <w:tcPr>
            <w:tcW w:w="2531"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6" w:type="dxa"/>
            <w:vMerge w:val="restart"/>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年度总体目标</w:t>
            </w:r>
          </w:p>
        </w:tc>
        <w:tc>
          <w:tcPr>
            <w:tcW w:w="5354" w:type="dxa"/>
            <w:gridSpan w:val="7"/>
            <w:tcBorders>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年初设定目标</w:t>
            </w:r>
          </w:p>
        </w:tc>
        <w:tc>
          <w:tcPr>
            <w:tcW w:w="4251" w:type="dxa"/>
            <w:gridSpan w:val="7"/>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jc w:val="center"/>
        </w:trPr>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5354"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巫溪县内从事科技创新活动的单位、个人等创新主体，重点支持科技创新平台、高新技术企业、规模以上企业及入库重庆市科技型企业库的企业，激发本地企业创新，加大研发投入，主要用于企业的研发、创新、孵化平台建设补助及科技型企业培育、创新项目配套、专利资助奖励、完善科技服务体系及其他科技创新等方面的支出，资金主要采用间接投入、专项扶持、事后补助、奖励性后补助、贷款贴息等方式，优先扶持科技含量高、成长性强、市场前景好的创新项目</w:t>
            </w:r>
          </w:p>
        </w:tc>
        <w:tc>
          <w:tcPr>
            <w:tcW w:w="4251" w:type="dxa"/>
            <w:gridSpan w:val="7"/>
            <w:tcBorders>
              <w:top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县内18个符合巫溪县创新驱动发展专项资金管理办法的企业进行了补助，对本辖区内的3个高企进行了补助，对新建的2个专家大院的进行了补助，正在运行的1个市级孵化器、1个市级星创天地，2个市级众创空间分别给予补助，企业研发投入奖励给予补助，专利支出奖励及知识产权服务分别给予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6" w:type="dxa"/>
            <w:vMerge w:val="restart"/>
            <w:tcBorders>
              <w:left w:val="single" w:color="000000" w:sz="4" w:space="0"/>
              <w:bottom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绩效指标</w:t>
            </w:r>
          </w:p>
        </w:tc>
        <w:tc>
          <w:tcPr>
            <w:tcW w:w="3930" w:type="dxa"/>
            <w:gridSpan w:val="5"/>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指标名称</w:t>
            </w:r>
          </w:p>
        </w:tc>
        <w:tc>
          <w:tcPr>
            <w:tcW w:w="1424" w:type="dxa"/>
            <w:gridSpan w:val="2"/>
            <w:vMerge w:val="restart"/>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年度指标值</w:t>
            </w:r>
          </w:p>
        </w:tc>
        <w:tc>
          <w:tcPr>
            <w:tcW w:w="930" w:type="dxa"/>
            <w:gridSpan w:val="2"/>
            <w:vMerge w:val="restart"/>
            <w:tcBorders>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全年完成值</w:t>
            </w:r>
          </w:p>
        </w:tc>
        <w:tc>
          <w:tcPr>
            <w:tcW w:w="790" w:type="dxa"/>
            <w:gridSpan w:val="2"/>
            <w:vMerge w:val="restart"/>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完成比例</w:t>
            </w:r>
          </w:p>
        </w:tc>
        <w:tc>
          <w:tcPr>
            <w:tcW w:w="950" w:type="dxa"/>
            <w:gridSpan w:val="2"/>
            <w:vMerge w:val="restart"/>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指标得分（分）</w:t>
            </w:r>
          </w:p>
        </w:tc>
        <w:tc>
          <w:tcPr>
            <w:tcW w:w="1581" w:type="dxa"/>
            <w:vMerge w:val="restart"/>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未完成原因和改进措施及相关说明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restart"/>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绩效指标</w:t>
            </w:r>
          </w:p>
        </w:tc>
        <w:tc>
          <w:tcPr>
            <w:tcW w:w="786" w:type="dxa"/>
            <w:tcBorders>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一级指标</w:t>
            </w:r>
          </w:p>
        </w:tc>
        <w:tc>
          <w:tcPr>
            <w:tcW w:w="786" w:type="dxa"/>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二级指标</w:t>
            </w: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三级指标</w:t>
            </w:r>
          </w:p>
        </w:tc>
        <w:tc>
          <w:tcPr>
            <w:tcW w:w="1424" w:type="dxa"/>
            <w:gridSpan w:val="2"/>
            <w:vMerge w:val="continue"/>
            <w:tcBorders>
              <w:bottom w:val="single" w:color="000000" w:sz="4" w:space="0"/>
              <w:right w:val="single" w:color="000000" w:sz="4" w:space="0"/>
            </w:tcBorders>
            <w:vAlign w:val="center"/>
          </w:tcPr>
          <w:p>
            <w:pPr>
              <w:kinsoku/>
              <w:autoSpaceDE/>
              <w:autoSpaceDN w:val="0"/>
              <w:ind w:left="0" w:leftChars="0" w:right="0" w:rightChars="0" w:firstLine="0" w:firstLineChars="0"/>
              <w:textAlignment w:val="auto"/>
              <w:rPr>
                <w:rFonts w:hint="default"/>
                <w:snapToGrid/>
                <w:sz w:val="21"/>
                <w:lang w:eastAsia="zh-CN"/>
              </w:rPr>
            </w:pPr>
          </w:p>
        </w:tc>
        <w:tc>
          <w:tcPr>
            <w:tcW w:w="930" w:type="dxa"/>
            <w:gridSpan w:val="2"/>
            <w:vMerge w:val="continue"/>
            <w:tcBorders>
              <w:right w:val="single" w:color="000000" w:sz="4" w:space="0"/>
            </w:tcBorders>
            <w:vAlign w:val="center"/>
          </w:tcPr>
          <w:p>
            <w:pPr>
              <w:kinsoku/>
              <w:autoSpaceDE/>
              <w:autoSpaceDN w:val="0"/>
              <w:ind w:left="0" w:leftChars="0" w:right="0" w:rightChars="0" w:firstLine="0" w:firstLineChars="0"/>
              <w:textAlignment w:val="auto"/>
              <w:rPr>
                <w:rFonts w:hint="default"/>
                <w:snapToGrid/>
                <w:sz w:val="21"/>
                <w:lang w:eastAsia="zh-CN"/>
              </w:rPr>
            </w:pPr>
          </w:p>
        </w:tc>
        <w:tc>
          <w:tcPr>
            <w:tcW w:w="790" w:type="dxa"/>
            <w:gridSpan w:val="2"/>
            <w:vMerge w:val="continue"/>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textAlignment w:val="auto"/>
              <w:rPr>
                <w:rFonts w:hint="default"/>
                <w:snapToGrid/>
                <w:sz w:val="21"/>
                <w:lang w:eastAsia="zh-CN"/>
              </w:rPr>
            </w:pPr>
          </w:p>
        </w:tc>
        <w:tc>
          <w:tcPr>
            <w:tcW w:w="950" w:type="dxa"/>
            <w:gridSpan w:val="2"/>
            <w:vMerge w:val="continue"/>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textAlignment w:val="auto"/>
              <w:rPr>
                <w:rFonts w:hint="default"/>
                <w:snapToGrid/>
                <w:sz w:val="21"/>
                <w:lang w:eastAsia="zh-CN"/>
              </w:rPr>
            </w:pPr>
          </w:p>
        </w:tc>
        <w:tc>
          <w:tcPr>
            <w:tcW w:w="1581" w:type="dxa"/>
            <w:vMerge w:val="continue"/>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textAlignment w:val="auto"/>
              <w:rPr>
                <w:rFonts w:hint="default"/>
                <w:snapToGrid/>
                <w:sz w:val="21"/>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产出指标（70分）</w:t>
            </w:r>
          </w:p>
        </w:tc>
        <w:tc>
          <w:tcPr>
            <w:tcW w:w="786" w:type="dxa"/>
            <w:vMerge w:val="restart"/>
            <w:tcBorders>
              <w:top w:val="single" w:color="000000" w:sz="4" w:space="0"/>
              <w:bottom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数量指标（30）分</w:t>
            </w: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对符合巫溪县创新驱动发展专项资金管理办法的相关企业进行补助奖励（8分）</w:t>
            </w:r>
          </w:p>
        </w:tc>
        <w:tc>
          <w:tcPr>
            <w:tcW w:w="14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≧20个</w:t>
            </w:r>
          </w:p>
        </w:tc>
        <w:tc>
          <w:tcPr>
            <w:tcW w:w="930" w:type="dxa"/>
            <w:gridSpan w:val="2"/>
            <w:tcBorders>
              <w:top w:val="single" w:color="000000" w:sz="4" w:space="0"/>
              <w:left w:val="single" w:color="000000" w:sz="4" w:space="0"/>
              <w:bottom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20个</w:t>
            </w:r>
          </w:p>
        </w:tc>
        <w:tc>
          <w:tcPr>
            <w:tcW w:w="79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95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对纳入重庆市科技型企业管理数据库的企业申报高新技术企业首次认定后一次性奖励（5分）</w:t>
            </w:r>
          </w:p>
        </w:tc>
        <w:tc>
          <w:tcPr>
            <w:tcW w:w="1424"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3个</w:t>
            </w:r>
          </w:p>
        </w:tc>
        <w:tc>
          <w:tcPr>
            <w:tcW w:w="930"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3个</w:t>
            </w:r>
          </w:p>
        </w:tc>
        <w:tc>
          <w:tcPr>
            <w:tcW w:w="790"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95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5</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新建专家大院（3分）</w:t>
            </w:r>
          </w:p>
        </w:tc>
        <w:tc>
          <w:tcPr>
            <w:tcW w:w="1424" w:type="dxa"/>
            <w:gridSpan w:val="2"/>
            <w:tcBorders>
              <w:left w:val="single" w:color="000000" w:sz="4" w:space="0"/>
              <w:bottom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2个</w:t>
            </w:r>
          </w:p>
        </w:tc>
        <w:tc>
          <w:tcPr>
            <w:tcW w:w="930"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2个</w:t>
            </w:r>
          </w:p>
        </w:tc>
        <w:tc>
          <w:tcPr>
            <w:tcW w:w="79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95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对运行正常并发挥作用的1个市级孵化器、1个市级星创天地，2个市级众创空间分别给予补助（5分）</w:t>
            </w:r>
          </w:p>
        </w:tc>
        <w:tc>
          <w:tcPr>
            <w:tcW w:w="1424" w:type="dxa"/>
            <w:gridSpan w:val="2"/>
            <w:tcBorders>
              <w:left w:val="single" w:color="000000" w:sz="4" w:space="0"/>
              <w:bottom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1个市级孵化器、1个市级星创天地，2个市级众创空间</w:t>
            </w:r>
          </w:p>
        </w:tc>
        <w:tc>
          <w:tcPr>
            <w:tcW w:w="1125" w:type="dxa"/>
            <w:gridSpan w:val="3"/>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1个市级孵化器、1个市级星创天地，2个市级众创空间</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5</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对符合研发投入奖励办法的企业进行奖励，对符合巫溪县专利资助与奖励办法的企业进行奖励补助（6分）</w:t>
            </w:r>
          </w:p>
        </w:tc>
        <w:tc>
          <w:tcPr>
            <w:tcW w:w="1424" w:type="dxa"/>
            <w:gridSpan w:val="2"/>
            <w:tcBorders>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≧40个</w:t>
            </w:r>
          </w:p>
        </w:tc>
        <w:tc>
          <w:tcPr>
            <w:tcW w:w="1125" w:type="dxa"/>
            <w:gridSpan w:val="3"/>
            <w:tcBorders>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20个</w:t>
            </w:r>
          </w:p>
        </w:tc>
        <w:tc>
          <w:tcPr>
            <w:tcW w:w="810" w:type="dxa"/>
            <w:gridSpan w:val="2"/>
            <w:tcBorders>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80%</w:t>
            </w:r>
          </w:p>
        </w:tc>
        <w:tc>
          <w:tcPr>
            <w:tcW w:w="735" w:type="dxa"/>
            <w:tcBorders>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w:t>
            </w:r>
          </w:p>
        </w:tc>
        <w:tc>
          <w:tcPr>
            <w:tcW w:w="1581" w:type="dxa"/>
            <w:tcBorders>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由于专利管理办法修改，授权专利由事前补助改为事后补助，另由于疫情影响，有的企业项目实施进度有所延后，待项目验收通过后再补助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种子基金管理机构（3分）</w:t>
            </w:r>
          </w:p>
        </w:tc>
        <w:tc>
          <w:tcPr>
            <w:tcW w:w="1424" w:type="dxa"/>
            <w:gridSpan w:val="2"/>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1个</w:t>
            </w:r>
          </w:p>
        </w:tc>
        <w:tc>
          <w:tcPr>
            <w:tcW w:w="1125" w:type="dxa"/>
            <w:gridSpan w:val="3"/>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1个</w:t>
            </w:r>
          </w:p>
        </w:tc>
        <w:tc>
          <w:tcPr>
            <w:tcW w:w="810" w:type="dxa"/>
            <w:gridSpan w:val="2"/>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735" w:type="dxa"/>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w:t>
            </w:r>
          </w:p>
        </w:tc>
        <w:tc>
          <w:tcPr>
            <w:tcW w:w="1581" w:type="dxa"/>
            <w:tcBorders>
              <w:top w:val="single" w:color="000000" w:sz="4" w:space="0"/>
              <w:left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restart"/>
            <w:tcBorders>
              <w:top w:val="single" w:color="000000" w:sz="4" w:space="0"/>
              <w:bottom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成本指标（30分）</w:t>
            </w: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创新驱动发展资金（8分）</w:t>
            </w:r>
          </w:p>
        </w:tc>
        <w:tc>
          <w:tcPr>
            <w:tcW w:w="1424"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用于县内企业创新驱动发展专项、创新创业大赛项目经费等共计200万元</w:t>
            </w:r>
          </w:p>
        </w:tc>
        <w:tc>
          <w:tcPr>
            <w:tcW w:w="1125"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200万元已全额拨付</w:t>
            </w:r>
          </w:p>
        </w:tc>
        <w:tc>
          <w:tcPr>
            <w:tcW w:w="8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735"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w:t>
            </w:r>
          </w:p>
        </w:tc>
        <w:tc>
          <w:tcPr>
            <w:tcW w:w="1581"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高新技术企业奖励（5分）</w:t>
            </w:r>
          </w:p>
        </w:tc>
        <w:tc>
          <w:tcPr>
            <w:tcW w:w="1424"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对纳入重庆市科技型企业管理数据库的企业申报高新技术企业首次认定后一次性奖励20万元，三个高企共计60万元</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60万元已全额拨付</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5</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0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新建的2个专家大院（3分）</w:t>
            </w:r>
          </w:p>
        </w:tc>
        <w:tc>
          <w:tcPr>
            <w:tcW w:w="1424"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每个专家大院给予建设后补助20万元，共计40万元</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40万元已全额拨付</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科技平台补助（5分）</w:t>
            </w:r>
          </w:p>
        </w:tc>
        <w:tc>
          <w:tcPr>
            <w:tcW w:w="1424"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对运行正常并发挥作用的1个市级孵化器、1个市级星创天地，2个市级众创空间分别给予3－5万元补助，合计18万元</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18万元已全额拨付</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5</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企业研发投入奖励，科技创新规划，创新科普宣传，专利支出奖励及知识产权服务（6分）</w:t>
            </w:r>
          </w:p>
        </w:tc>
        <w:tc>
          <w:tcPr>
            <w:tcW w:w="1424"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企业研发投入奖励6.36万元，科技创新规划20万元，创新科普宣传5万元，专利支出奖励及知识产权服务76.64万元，共计108万元</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已拨付41.89万元，余下66.11万元待有关项目验收通过后拨付</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61%</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由于专利管理办法修改，授权专利由事前补助改为事后补助，另由于疫情影响，有的企业待项目验收通过后再补助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tcBorders>
            <w:vAlign w:val="center"/>
          </w:tcPr>
          <w:p>
            <w:pPr>
              <w:ind w:left="0" w:leftChars="0" w:right="0" w:rightChars="0" w:firstLine="0" w:firstLineChars="0"/>
              <w:rPr>
                <w:rFonts w:hint="default"/>
                <w:sz w:val="21"/>
              </w:rPr>
            </w:pPr>
          </w:p>
        </w:tc>
        <w:tc>
          <w:tcPr>
            <w:tcW w:w="1572"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种子基金管理机构（3分）</w:t>
            </w:r>
          </w:p>
        </w:tc>
        <w:tc>
          <w:tcPr>
            <w:tcW w:w="1424" w:type="dxa"/>
            <w:gridSpan w:val="2"/>
            <w:tcBorders>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1个种子基金管理机构工作经费6万元</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6万元已全额拨付</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tcBorders>
              <w:top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质量指标（5）分</w:t>
            </w: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企业管理制度的完善程度（5分）</w:t>
            </w:r>
          </w:p>
        </w:tc>
        <w:tc>
          <w:tcPr>
            <w:tcW w:w="1424"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企业管理制度的完善程度</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企业管理制度的完善程度有所提高</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95%</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企业管理者对企业管理的意识有待提高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tcBorders>
              <w:top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时效指标（5）分</w:t>
            </w: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2020年12月底前（5分）</w:t>
            </w:r>
          </w:p>
        </w:tc>
        <w:tc>
          <w:tcPr>
            <w:tcW w:w="1424"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2020年12月底前完成所有补助资金项目</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2020年8月底前已兑付资金的85%</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95%</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由于疫情影响，企业的项目实施进度有所延迟，资金兑付延迟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restart"/>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效益指标（10分）</w:t>
            </w:r>
          </w:p>
        </w:tc>
        <w:tc>
          <w:tcPr>
            <w:tcW w:w="78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经济效益指标（5）分</w:t>
            </w: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加大对科技成果转化的支持力度（5分）</w:t>
            </w:r>
          </w:p>
        </w:tc>
        <w:tc>
          <w:tcPr>
            <w:tcW w:w="1424"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加大对科技成果转化的支持力度</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加大了对科技成果转化的支持力度</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95%</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由于财力有限，对企业的资金补助额度不大，对企业支持力度不够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社会效益指标（5）分</w:t>
            </w: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对企业市场竞争力的提升作用（5分）</w:t>
            </w:r>
          </w:p>
        </w:tc>
        <w:tc>
          <w:tcPr>
            <w:tcW w:w="1424"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对企业市场竞争力的提升作用</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有所提升</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95%</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由于资金有限，对企业的资金补助额度不大，对企业支持力度不够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44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restart"/>
            <w:tcBorders>
              <w:top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满意度指标（10分）</w:t>
            </w:r>
          </w:p>
        </w:tc>
        <w:tc>
          <w:tcPr>
            <w:tcW w:w="786"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服务对象满意度（10）分</w:t>
            </w: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科技创新企业对政策的综合满意度（5分）</w:t>
            </w:r>
          </w:p>
        </w:tc>
        <w:tc>
          <w:tcPr>
            <w:tcW w:w="1424"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≧95%</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95%</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由于资金有限，对企业的资金补助额度不大，对企业支持力度不够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0" w:hRule="atLeast"/>
          <w:jc w:val="center"/>
        </w:trPr>
        <w:tc>
          <w:tcPr>
            <w:tcW w:w="786" w:type="dxa"/>
            <w:vMerge w:val="continue"/>
            <w:tcBorders>
              <w:left w:val="single" w:color="000000" w:sz="4" w:space="0"/>
              <w:bottom w:val="single" w:color="000000" w:sz="4" w:space="0"/>
            </w:tcBorders>
            <w:vAlign w:val="center"/>
          </w:tcPr>
          <w:p>
            <w:pPr>
              <w:ind w:left="0" w:leftChars="0" w:right="0" w:rightChars="0" w:firstLine="0" w:firstLineChars="0"/>
              <w:rPr>
                <w:rFonts w:hint="default"/>
                <w:sz w:val="21"/>
              </w:rPr>
            </w:pPr>
          </w:p>
        </w:tc>
        <w:tc>
          <w:tcPr>
            <w:tcW w:w="786" w:type="dxa"/>
            <w:vMerge w:val="continue"/>
            <w:tcBorders>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786" w:type="dxa"/>
            <w:vMerge w:val="continue"/>
            <w:tcBorders>
              <w:top w:val="single" w:color="000000" w:sz="4" w:space="0"/>
              <w:left w:val="single" w:color="000000" w:sz="4" w:space="0"/>
              <w:bottom w:val="single" w:color="000000" w:sz="4" w:space="0"/>
              <w:right w:val="single" w:color="000000" w:sz="4" w:space="0"/>
            </w:tcBorders>
            <w:vAlign w:val="center"/>
          </w:tcPr>
          <w:p>
            <w:pPr>
              <w:ind w:left="0" w:leftChars="0" w:right="0" w:rightChars="0" w:firstLine="0" w:firstLineChars="0"/>
              <w:rPr>
                <w:rFonts w:hint="default"/>
                <w:sz w:val="21"/>
              </w:rPr>
            </w:pPr>
          </w:p>
        </w:tc>
        <w:tc>
          <w:tcPr>
            <w:tcW w:w="1572"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16"/>
                <w:u w:val="none"/>
                <w:lang w:eastAsia="zh-CN"/>
              </w:rPr>
            </w:pPr>
            <w:r>
              <w:rPr>
                <w:rFonts w:hint="default" w:ascii="宋体" w:hAnsi="宋体" w:eastAsia="宋体"/>
                <w:b w:val="0"/>
                <w:i w:val="0"/>
                <w:snapToGrid/>
                <w:color w:val="000000"/>
                <w:sz w:val="16"/>
                <w:u w:val="none"/>
                <w:lang w:eastAsia="zh-CN"/>
              </w:rPr>
              <w:t>政策的知晓率（5分）</w:t>
            </w:r>
          </w:p>
        </w:tc>
        <w:tc>
          <w:tcPr>
            <w:tcW w:w="1424"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≧100%</w:t>
            </w:r>
          </w:p>
        </w:tc>
        <w:tc>
          <w:tcPr>
            <w:tcW w:w="1125" w:type="dxa"/>
            <w:gridSpan w:val="3"/>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≧95%</w:t>
            </w:r>
          </w:p>
        </w:tc>
        <w:tc>
          <w:tcPr>
            <w:tcW w:w="810" w:type="dxa"/>
            <w:gridSpan w:val="2"/>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95%</w:t>
            </w:r>
          </w:p>
        </w:tc>
        <w:tc>
          <w:tcPr>
            <w:tcW w:w="735" w:type="dxa"/>
            <w:tcBorders>
              <w:bottom w:val="single" w:color="000000" w:sz="4" w:space="0"/>
              <w:right w:val="single" w:color="000000" w:sz="4" w:space="0"/>
            </w:tcBorders>
            <w:vAlign w:val="center"/>
          </w:tcPr>
          <w:p>
            <w:pPr>
              <w:kinsoku/>
              <w:autoSpaceDE/>
              <w:autoSpaceDN w:val="0"/>
              <w:ind w:left="0" w:leftChars="0" w:right="0" w:rightChars="0" w:firstLine="0" w:firstLineChars="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w:t>
            </w:r>
          </w:p>
        </w:tc>
        <w:tc>
          <w:tcPr>
            <w:tcW w:w="1581" w:type="dxa"/>
            <w:tcBorders>
              <w:bottom w:val="single" w:color="000000" w:sz="4" w:space="0"/>
              <w:right w:val="single" w:color="000000" w:sz="4" w:space="0"/>
            </w:tcBorders>
            <w:vAlign w:val="center"/>
          </w:tcPr>
          <w:p>
            <w:pPr>
              <w:kinsoku/>
              <w:autoSpaceDE/>
              <w:autoSpaceDN w:val="0"/>
              <w:ind w:left="0" w:leftChars="0" w:right="0" w:rightChars="0" w:firstLine="0" w:firstLineChars="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企业参加培训会议不积极，宣传力度有待加强</w:t>
            </w:r>
          </w:p>
        </w:tc>
      </w:tr>
    </w:tbl>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25FDC"/>
    <w:rsid w:val="3D225FDC"/>
    <w:rsid w:val="446673F9"/>
    <w:rsid w:val="4CDA2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2020-09-21T02:11:00Z</dcterms:created>
  <dc:creator>qasdfg</dc:creator>
  <cp:lastModifiedBy>qasdfg</cp:lastModifiedBy>
  <dcterms:modified xsi:type="dcterms:W3CDTF">2020-09-21T02:12:20Z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