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方正小标宋_GBK" w:hAnsi="方正小标宋_GBK" w:eastAsia="方正小标宋_GBK" w:cs="方正小标宋_GBK"/>
          <w:b w:val="0"/>
          <w:bCs w:val="0"/>
          <w:sz w:val="36"/>
          <w:szCs w:val="36"/>
          <w:lang w:val="en-US" w:eastAsia="zh-CN"/>
        </w:rPr>
      </w:pPr>
      <w:bookmarkStart w:id="0" w:name="_GoBack"/>
      <w:bookmarkEnd w:id="0"/>
    </w:p>
    <w:p>
      <w:pPr>
        <w:pStyle w:val="5"/>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巫溪县民政局</w:t>
      </w:r>
    </w:p>
    <w:p>
      <w:pPr>
        <w:pStyle w:val="5"/>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w:t>
      </w:r>
      <w:r>
        <w:rPr>
          <w:rFonts w:hint="eastAsia" w:ascii="Times New Roman" w:hAnsi="Times New Roman" w:eastAsia="方正黑体_GBK" w:cs="Times New Roman"/>
          <w:sz w:val="32"/>
          <w:szCs w:val="32"/>
          <w:lang w:eastAsia="zh-CN"/>
        </w:rPr>
        <w:t>部门</w:t>
      </w:r>
      <w:r>
        <w:rPr>
          <w:rFonts w:hint="default" w:ascii="Times New Roman" w:hAnsi="Times New Roman" w:eastAsia="方正黑体_GBK" w:cs="Times New Roman"/>
          <w:sz w:val="32"/>
          <w:szCs w:val="32"/>
        </w:rPr>
        <w:t>基本情况</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贯彻执行民政法律法规，落实民政事业发展政策、规划和地方标准。</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负责全县社会团体、基金会、社会服务机构等社会组织登记管理工作，依法对社会组织进行执法监督。</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贯彻落实社会救助政策、标准，统筹社会救助体系建设，负责城乡居民最低生活保障、特困人员救助供养、临时救助、生活无着流浪乞讨人员救助工作。</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贯彻落实行政区划、行政区域界限管理和地名管理政策、标准，承办县内行政区划设立、命名、变更和政府驻地迁移的申报工作，负责县内行政区域界线的勘定和管理，负责地名管理工作，负责县内重要自然地理实体的命名、更名审核工作。</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贯彻落实婚姻管理政策，推进婚俗改革。</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贯彻落实殡葬管理政策和服务规范，负责殡葬服务管理工作，推进殡葬改革。</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组织并协调落实积极应对人口老龄化的政策措施，承担县老龄工作委员会办公室的具体工作，强化综合协调、督促指导、组织推进老龄事业发展职责。</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统筹推进、督促指导、监督管理养老服务工作，贯彻落实养老服务体系建设规划、政策、标准，承担老年人福利和特殊困难老年人救助工作。</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贯彻落实残疾人权益保护政策，统筹推进残疾人福利制度建设和康复辅助器具产业发展。</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贯彻落实儿童福利、孤弃儿童保障、儿童收养、儿童救助保护政策、标准，健全农村留守儿童关爱服务体系和困境儿童保障制度。</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贯彻落实慈善事业发展政策，指导社会捐助工作，负责福利彩票管理工作。</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负责机关、所属事业单位和社会组织党建工作。</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完成县委、县政府交办的其他任务。</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与其他部门职责分工</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与县卫生健康委的有关职责分工。县民政局负责贯彻落实积极应对人口老龄化、促进养老事业发展的政策措施，执行养老服务体系建设规划、法规、政策、标准并组织实施，承担老年人福利和特殊困难老年人救助等工作。县卫生健康委负责贯彻落实医养结合政策措施，承担老年疾病防治、老年人医疗照护、老年人心理健康与关怀服务等老年健康工作。</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2.与县规划自然资源局的有关职责分工。县民政局会同县规划自然资源局组织编制公布行政区划信息的巫溪县行政区划图。</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3.与县委社会工作部的有关职责分工。县委社会工作部统筹推进党建引领基层治理有关工作，统筹推进基层智治工作，县民政局密切配合县委社会工作部，形成基层治理合力。</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县民政局有关基层治理、基层政权建设等职责划入县委社会工作部后，协助做好涉及村民委员会、居民委员会工作中需以政府名义出面的工作职责。</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eastAsia" w:ascii="Times New Roman" w:hAnsi="Times New Roman" w:eastAsia="方正楷体_GBK" w:cs="Times New Roman"/>
          <w:sz w:val="32"/>
          <w:szCs w:val="32"/>
          <w:lang w:eastAsia="zh-CN"/>
        </w:rPr>
        <w:t>二</w:t>
      </w:r>
      <w:r>
        <w:rPr>
          <w:rFonts w:hint="default" w:ascii="Times New Roman" w:hAnsi="Times New Roman" w:eastAsia="方正楷体_GBK" w:cs="Times New Roman"/>
          <w:sz w:val="32"/>
          <w:szCs w:val="32"/>
        </w:rPr>
        <w:t>）机构设置</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巫溪县民政局内设机构有：办公室、社会事务科、社会救助科、</w:t>
      </w:r>
      <w:r>
        <w:rPr>
          <w:rFonts w:hint="default" w:ascii="Times New Roman" w:hAnsi="Times New Roman" w:eastAsia="方正仿宋_GBK" w:cs="Times New Roman"/>
          <w:sz w:val="32"/>
          <w:szCs w:val="32"/>
          <w:lang w:eastAsia="zh-CN"/>
        </w:rPr>
        <w:t>社会福利科（老龄工作科）。</w:t>
      </w:r>
      <w:r>
        <w:rPr>
          <w:rFonts w:hint="eastAsia" w:ascii="Times New Roman" w:hAnsi="Times New Roman" w:eastAsia="方正仿宋_GBK" w:cs="Times New Roman"/>
          <w:sz w:val="32"/>
          <w:szCs w:val="32"/>
          <w:lang w:eastAsia="zh-CN"/>
        </w:rPr>
        <w:t>局属事业单位</w:t>
      </w:r>
      <w:r>
        <w:rPr>
          <w:rFonts w:hint="eastAsia" w:ascii="Times New Roman" w:hAnsi="Times New Roman" w:eastAsia="方正仿宋_GBK" w:cs="Times New Roman"/>
          <w:sz w:val="32"/>
          <w:szCs w:val="32"/>
          <w:lang w:val="en-US" w:eastAsia="zh-CN"/>
        </w:rPr>
        <w:t>4个，包括参照公务员法管理事业单位2个：县低保中心、县救助管理站；事业单位2个：县社会福利服务中心、殡葬管理所。</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w:t>
      </w:r>
      <w:r>
        <w:rPr>
          <w:rFonts w:hint="eastAsia" w:ascii="Times New Roman" w:hAnsi="Times New Roman" w:eastAsia="方正黑体_GBK" w:cs="Times New Roman"/>
          <w:sz w:val="32"/>
          <w:szCs w:val="32"/>
          <w:lang w:val="en-US" w:eastAsia="zh-CN"/>
        </w:rPr>
        <w:t>部门</w:t>
      </w:r>
      <w:r>
        <w:rPr>
          <w:rFonts w:hint="default" w:ascii="Times New Roman" w:hAnsi="Times New Roman" w:eastAsia="方正黑体_GBK" w:cs="Times New Roman"/>
          <w:sz w:val="32"/>
          <w:szCs w:val="32"/>
          <w:lang w:val="en-US" w:eastAsia="zh-CN"/>
        </w:rPr>
        <w:t>决算</w:t>
      </w:r>
      <w:r>
        <w:rPr>
          <w:rFonts w:hint="eastAsia" w:ascii="Times New Roman" w:hAnsi="Times New Roman" w:eastAsia="方正黑体_GBK" w:cs="Times New Roman"/>
          <w:sz w:val="32"/>
          <w:szCs w:val="32"/>
          <w:lang w:val="en-US" w:eastAsia="zh-CN"/>
        </w:rPr>
        <w:t>收支</w:t>
      </w:r>
      <w:r>
        <w:rPr>
          <w:rFonts w:hint="default" w:ascii="Times New Roman" w:hAnsi="Times New Roman" w:eastAsia="方正黑体_GBK" w:cs="Times New Roman"/>
          <w:sz w:val="32"/>
          <w:szCs w:val="32"/>
          <w:lang w:val="en-US" w:eastAsia="zh-CN"/>
        </w:rPr>
        <w:t>情况说明</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Times New Roman" w:hAnsi="Times New Roman" w:eastAsia="方正楷体_GBK" w:cs="Times New Roman"/>
          <w:sz w:val="32"/>
          <w:szCs w:val="32"/>
        </w:rPr>
      </w:pPr>
      <w:r>
        <w:rPr>
          <w:rFonts w:hint="eastAsia" w:ascii="Times New Roman" w:hAnsi="Times New Roman" w:eastAsia="方正楷体_GBK" w:cs="Times New Roman"/>
          <w:sz w:val="32"/>
          <w:szCs w:val="32"/>
        </w:rPr>
        <w:t>（一）收入支出决算总体情况说明。</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1.总体情况。</w:t>
      </w: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度收入总计20310.08万元，支出总计20310.08万元。收、支与2023年度相比，增加2022.78万元，增长11.1%，主要原因是</w:t>
      </w:r>
      <w:r>
        <w:rPr>
          <w:rFonts w:hint="default" w:ascii="Times New Roman" w:hAnsi="Times New Roman" w:eastAsia="方正仿宋_GBK" w:cs="Times New Roman"/>
          <w:sz w:val="32"/>
          <w:szCs w:val="32"/>
          <w:lang w:eastAsia="zh-CN"/>
        </w:rPr>
        <w:t>殡葬、养老服务、特困人员救助供养、老年福利增加。</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w:t>
      </w: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度收入合计20310.08万元，与2023年度相比，增加2022.78万元，增长11.1%，主要原因是</w:t>
      </w:r>
      <w:r>
        <w:rPr>
          <w:rFonts w:hint="default" w:ascii="Times New Roman" w:hAnsi="Times New Roman" w:eastAsia="方正仿宋_GBK" w:cs="Times New Roman"/>
          <w:sz w:val="32"/>
          <w:szCs w:val="32"/>
          <w:lang w:eastAsia="zh-CN"/>
        </w:rPr>
        <w:t>殡葬、养老服务、特困人员救助供养、老年福利增加。</w:t>
      </w:r>
      <w:r>
        <w:rPr>
          <w:rFonts w:hint="default" w:ascii="Times New Roman" w:hAnsi="Times New Roman" w:eastAsia="方正仿宋_GBK" w:cs="Times New Roman"/>
          <w:sz w:val="32"/>
          <w:szCs w:val="32"/>
        </w:rPr>
        <w:t>其中：财政拨款收入20310.08万元，占100.00%。此外，使用非财政拨款结余和专用结余0.00万元，年初结转和结余0.00万元。</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w:t>
      </w: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度支出合计20310.08万元，与2023年度相比，增加2022.78万元，增长11.1%，主要原因是</w:t>
      </w:r>
      <w:r>
        <w:rPr>
          <w:rFonts w:hint="default" w:ascii="Times New Roman" w:hAnsi="Times New Roman" w:eastAsia="方正仿宋_GBK" w:cs="Times New Roman"/>
          <w:sz w:val="32"/>
          <w:szCs w:val="32"/>
          <w:lang w:eastAsia="zh-CN"/>
        </w:rPr>
        <w:t>殡葬、养老服务、特困人员救助供养、老年福利增加。</w:t>
      </w:r>
      <w:r>
        <w:rPr>
          <w:rFonts w:hint="default" w:ascii="Times New Roman" w:hAnsi="Times New Roman" w:eastAsia="方正仿宋_GBK" w:cs="Times New Roman"/>
          <w:sz w:val="32"/>
          <w:szCs w:val="32"/>
        </w:rPr>
        <w:t>其中：基本支出610.91万元，占3.01%；项目支出19699.17万元，占96.99%。此外，结余分配0.00万元。</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4.结转结余情况。</w:t>
      </w: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度年末结转和结余0.00万元，与2023年度相比，无增减，主要原因是</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年部门预算执行结余零结转。</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楷体_GBK" w:cs="Times New Roman"/>
          <w:sz w:val="32"/>
          <w:szCs w:val="32"/>
        </w:rPr>
      </w:pPr>
      <w:r>
        <w:rPr>
          <w:rFonts w:hint="eastAsia" w:ascii="Times New Roman" w:hAnsi="Times New Roman" w:eastAsia="方正楷体_GBK" w:cs="Times New Roman"/>
          <w:sz w:val="32"/>
          <w:szCs w:val="32"/>
        </w:rPr>
        <w:t>（二）财政拨款收入支出决算总体情况说明</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度财政拨款收、支总计20310.08万元。与202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年相比，财政拨款收、支总计各增加2022.78万元，增长11.1%。主要原因是</w:t>
      </w:r>
      <w:r>
        <w:rPr>
          <w:rFonts w:hint="default" w:ascii="Times New Roman" w:hAnsi="Times New Roman" w:eastAsia="方正仿宋_GBK" w:cs="Times New Roman"/>
          <w:sz w:val="32"/>
          <w:szCs w:val="32"/>
          <w:lang w:eastAsia="zh-CN"/>
        </w:rPr>
        <w:t>殡葬、养老服务、特困人员救助供养、老年福利增加。</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楷体_GBK" w:cs="Times New Roman"/>
          <w:sz w:val="32"/>
          <w:szCs w:val="32"/>
        </w:rPr>
      </w:pPr>
      <w:r>
        <w:rPr>
          <w:rFonts w:hint="eastAsia" w:ascii="Times New Roman" w:hAnsi="Times New Roman" w:eastAsia="方正楷体_GBK" w:cs="Times New Roman"/>
          <w:sz w:val="32"/>
          <w:szCs w:val="32"/>
        </w:rPr>
        <w:t>（三）一般公共预算财政拨款收入支出决算情况说明</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w:t>
      </w: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度一般公共预算财政拨款收入19472.60万元，与2023年度相比，增加1599.15万元，增长9.0%。主要原因是</w:t>
      </w:r>
      <w:r>
        <w:rPr>
          <w:rFonts w:hint="default" w:ascii="Times New Roman" w:hAnsi="Times New Roman" w:eastAsia="方正仿宋_GBK" w:cs="Times New Roman"/>
          <w:sz w:val="32"/>
          <w:szCs w:val="32"/>
          <w:lang w:eastAsia="zh-CN"/>
        </w:rPr>
        <w:t>殡葬、养老服务、特困人员救助供养、老年福利增加。</w:t>
      </w:r>
      <w:r>
        <w:rPr>
          <w:rFonts w:hint="default" w:ascii="Times New Roman" w:hAnsi="Times New Roman" w:eastAsia="方正仿宋_GBK" w:cs="Times New Roman"/>
          <w:sz w:val="32"/>
          <w:szCs w:val="32"/>
        </w:rPr>
        <w:t>较年初预算数增加3529.48万元，增长22.1%。主要原因是</w:t>
      </w:r>
      <w:r>
        <w:rPr>
          <w:rFonts w:hint="default" w:ascii="Times New Roman" w:hAnsi="Times New Roman" w:eastAsia="方正仿宋_GBK" w:cs="Times New Roman"/>
          <w:sz w:val="32"/>
          <w:szCs w:val="32"/>
          <w:lang w:eastAsia="zh-CN"/>
        </w:rPr>
        <w:t>殡葬、养老服务、特困人员救助供养、老年福利增加。</w:t>
      </w:r>
      <w:r>
        <w:rPr>
          <w:rFonts w:hint="default" w:ascii="Times New Roman" w:hAnsi="Times New Roman" w:eastAsia="方正仿宋_GBK" w:cs="Times New Roman"/>
          <w:sz w:val="32"/>
          <w:szCs w:val="32"/>
        </w:rPr>
        <w:t>此外，年初财政拨款结转和结余0.00万元。</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2.支出情况。</w:t>
      </w: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度一般公共预算财政拨款支出19472.60万元，与2023年度相比，增加1599.15万元，增长9.0%。主要原因是</w:t>
      </w:r>
      <w:r>
        <w:rPr>
          <w:rFonts w:hint="default" w:ascii="Times New Roman" w:hAnsi="Times New Roman" w:eastAsia="方正仿宋_GBK" w:cs="Times New Roman"/>
          <w:sz w:val="32"/>
          <w:szCs w:val="32"/>
          <w:lang w:eastAsia="zh-CN"/>
        </w:rPr>
        <w:t>殡葬、养老服务、特困人员救助供养、老年福利增加。</w:t>
      </w:r>
      <w:r>
        <w:rPr>
          <w:rFonts w:hint="default" w:ascii="Times New Roman" w:hAnsi="Times New Roman" w:eastAsia="方正仿宋_GBK" w:cs="Times New Roman"/>
          <w:sz w:val="32"/>
          <w:szCs w:val="32"/>
        </w:rPr>
        <w:t>较年初预算数增加3529.48万元，增长22.1%。主要原因是</w:t>
      </w:r>
      <w:r>
        <w:rPr>
          <w:rFonts w:hint="default" w:ascii="Times New Roman" w:hAnsi="Times New Roman" w:eastAsia="方正仿宋_GBK" w:cs="Times New Roman"/>
          <w:sz w:val="32"/>
          <w:szCs w:val="32"/>
          <w:lang w:eastAsia="zh-CN"/>
        </w:rPr>
        <w:t>殡葬、养老服务、特困人员救助供养、老年福利增加。</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3.结转结余情况。</w:t>
      </w: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度年末一般公共预算财政拨款结转和结余0.00万元，与2023年度相比，无增减，主要原因是202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年部门预算执行结余零结转。</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4.比较情况。本部门</w:t>
      </w: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度一般公共预算财政拨款支出主要用于以下几个方面：</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）社会保障与就业支出19418.65万元，占99.72%，较年初预算数增加3545.10万元，增长22.3%，主要原因是</w:t>
      </w:r>
      <w:r>
        <w:rPr>
          <w:rFonts w:hint="default" w:ascii="Times New Roman" w:hAnsi="Times New Roman" w:eastAsia="方正仿宋_GBK" w:cs="Times New Roman"/>
          <w:sz w:val="32"/>
          <w:szCs w:val="32"/>
          <w:lang w:eastAsia="zh-CN"/>
        </w:rPr>
        <w:t>殡葬、养老服务、特困人员救助供养、老年福利支出增加。</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）卫生健康支出23.36万元，占0.12%，较年初预算数减少7.12万元，下降23.4%，主要原因是</w:t>
      </w:r>
      <w:r>
        <w:rPr>
          <w:rFonts w:hint="default" w:ascii="Times New Roman" w:hAnsi="Times New Roman" w:eastAsia="方正仿宋_GBK" w:cs="Times New Roman"/>
          <w:sz w:val="32"/>
          <w:szCs w:val="32"/>
          <w:lang w:eastAsia="zh-CN"/>
        </w:rPr>
        <w:t>本年度退休一人，调出两人，支出减少。</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）住房保障支出30.58万元，占0.16%，较年初预算数减少8.51万元，下降21.8%，主要原因是</w:t>
      </w:r>
      <w:r>
        <w:rPr>
          <w:rFonts w:hint="default" w:ascii="Times New Roman" w:hAnsi="Times New Roman" w:eastAsia="方正仿宋_GBK" w:cs="Times New Roman"/>
          <w:sz w:val="32"/>
          <w:szCs w:val="32"/>
          <w:lang w:eastAsia="zh-CN"/>
        </w:rPr>
        <w:t>本年度退休一人，调出两人，支出减少。</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楷体_GBK" w:cs="Times New Roman"/>
          <w:sz w:val="32"/>
          <w:szCs w:val="32"/>
        </w:rPr>
      </w:pPr>
      <w:r>
        <w:rPr>
          <w:rFonts w:hint="eastAsia" w:ascii="Times New Roman" w:hAnsi="Times New Roman" w:eastAsia="方正楷体_GBK" w:cs="Times New Roman"/>
          <w:sz w:val="32"/>
          <w:szCs w:val="32"/>
        </w:rPr>
        <w:t>（四）一般公共预算财政拨款基本支出决算情况说明</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ascii="方正仿宋_GBK" w:hAnsi="方正仿宋_GBK" w:eastAsia="方正仿宋_GBK" w:cs="方正仿宋_GBK"/>
          <w:sz w:val="32"/>
          <w:szCs w:val="32"/>
          <w:shd w:val="clear" w:color="auto" w:fill="FFFFFF"/>
        </w:rPr>
        <w:t> </w:t>
      </w: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lang w:eastAsia="zh-CN"/>
        </w:rPr>
        <w:t>度一般公共财政拨款基本支出610.91万元。其中：人员经费524.28万元，与2023年度相比，减少14.84万元，下降2.8%，主要原因是本年度退休一人，调出两人，支出减少。人员经费用途主要包括基本工资、津贴补贴、奖金、社会保障缴费、住房公积金等。公用经费86.63万元，与2023年度相比，增加3.59万元，增长4.3%，主要原因是</w:t>
      </w:r>
      <w:r>
        <w:rPr>
          <w:rFonts w:hint="eastAsia" w:ascii="Times New Roman" w:hAnsi="Times New Roman" w:eastAsia="方正仿宋_GBK" w:cs="Times New Roman"/>
          <w:sz w:val="32"/>
          <w:szCs w:val="32"/>
          <w:lang w:val="en-US" w:eastAsia="zh-CN"/>
        </w:rPr>
        <w:t>部分办公设备无法正常使用，超过报废年限，按照安可替代工作要求，购置国产新设备替代，办公设备购置费增加。</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公用经费用途主要包括办公费、水费、电费、邮电费、差旅费、公务接待费等。</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楷体_GBK" w:cs="Times New Roman"/>
          <w:sz w:val="32"/>
          <w:szCs w:val="32"/>
        </w:rPr>
      </w:pPr>
      <w:r>
        <w:rPr>
          <w:rFonts w:hint="eastAsia" w:ascii="Times New Roman" w:hAnsi="Times New Roman" w:eastAsia="方正楷体_GBK" w:cs="Times New Roman"/>
          <w:sz w:val="32"/>
          <w:szCs w:val="32"/>
        </w:rPr>
        <w:t>（五）政府性基金预算收支决算情况说明</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lang w:eastAsia="zh-CN"/>
        </w:rPr>
        <w:t>度政府性基金预算财政拨款年初结转结余0.00万元，年末结转结余0.00万元。本年收入837.48万元，与2023年度相比，增加423.63万元，增长102.4%，主要原因是本年度增加了用于社会福利的彩票公益金及用于残疾人事业的彩票公益金收入。本年支出837.48万元，与2023年度相比，增加423.63万元，增长102.4%，主要原因是增加了用于社会福利的彩票公益金及用于残疾人事业的彩票公益金支出。</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Times New Roman" w:hAnsi="Times New Roman" w:eastAsia="方正楷体_GBK" w:cs="Times New Roman"/>
          <w:sz w:val="32"/>
          <w:szCs w:val="32"/>
        </w:rPr>
      </w:pPr>
      <w:r>
        <w:rPr>
          <w:rFonts w:hint="eastAsia" w:ascii="Times New Roman" w:hAnsi="Times New Roman" w:eastAsia="方正楷体_GBK" w:cs="Times New Roman"/>
          <w:sz w:val="32"/>
          <w:szCs w:val="32"/>
        </w:rPr>
        <w:t>（六）国有资本经营预算财政拨款支出决算情况说明</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ascii="方正仿宋_GBK" w:hAnsi="方正仿宋_GBK" w:eastAsia="方正仿宋_GBK" w:cs="方正仿宋_GBK"/>
          <w:sz w:val="32"/>
          <w:szCs w:val="32"/>
          <w:shd w:val="clear" w:color="auto" w:fill="FFFFFF"/>
        </w:rPr>
        <w:t> </w:t>
      </w:r>
      <w:r>
        <w:rPr>
          <w:rFonts w:hint="default" w:ascii="Times New Roman" w:hAnsi="Times New Roman" w:eastAsia="方正仿宋_GBK" w:cs="Times New Roman"/>
          <w:sz w:val="32"/>
          <w:szCs w:val="32"/>
          <w:lang w:eastAsia="zh-CN"/>
        </w:rPr>
        <w:t>本</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lang w:val="en-US" w:eastAsia="zh-CN"/>
        </w:rPr>
        <w:t>2024年度无国有资本经营预算财政拨款支出。</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w:t>
      </w:r>
      <w:r>
        <w:rPr>
          <w:rFonts w:hint="eastAsia" w:ascii="Times New Roman" w:hAnsi="Times New Roman" w:eastAsia="方正黑体_GBK" w:cs="Times New Roman"/>
          <w:sz w:val="32"/>
          <w:szCs w:val="32"/>
          <w:lang w:val="en-US" w:eastAsia="zh-CN"/>
        </w:rPr>
        <w:t>财政拨款</w:t>
      </w:r>
      <w:r>
        <w:rPr>
          <w:rFonts w:hint="default" w:ascii="Times New Roman" w:hAnsi="Times New Roman" w:eastAsia="方正黑体_GBK" w:cs="Times New Roman"/>
          <w:sz w:val="32"/>
          <w:szCs w:val="32"/>
          <w:lang w:val="en-US" w:eastAsia="zh-CN"/>
        </w:rPr>
        <w:t>“三公”经费情况说明</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Times New Roman" w:hAnsi="Times New Roman" w:eastAsia="方正楷体_GBK" w:cs="Times New Roman"/>
          <w:sz w:val="32"/>
          <w:szCs w:val="32"/>
          <w:lang w:val="en-US" w:eastAsia="zh-CN" w:bidi="ar-SA"/>
        </w:rPr>
        <w:t>（一）“三公”经费支出总体情况说明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2024年</w:t>
      </w:r>
      <w:r>
        <w:rPr>
          <w:rFonts w:hint="default" w:ascii="Times New Roman" w:hAnsi="Times New Roman" w:eastAsia="方正仿宋_GBK" w:cs="Times New Roman"/>
          <w:sz w:val="32"/>
          <w:szCs w:val="32"/>
          <w:lang w:val="en-US" w:eastAsia="zh-CN" w:bidi="ar-SA"/>
        </w:rPr>
        <w:t>度“三公”经费支出共计16.20万元，较年初预算数减少1.30万元，下降7.4%，主要原因是严格按照规定制定预算，缩减三公经费的支出。较上年支出数减少2.34万元，下降12.6%，主要原因是落实过紧日子的要求、厉行节约、从严控制和压缩三公经费支出，从而减少了公务用车和公务接待支出。</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楷体_GBK" w:cs="Times New Roman"/>
          <w:sz w:val="32"/>
          <w:szCs w:val="32"/>
        </w:rPr>
      </w:pPr>
      <w:r>
        <w:rPr>
          <w:rFonts w:hint="eastAsia" w:ascii="Times New Roman" w:hAnsi="Times New Roman" w:eastAsia="方正楷体_GBK" w:cs="Times New Roman"/>
          <w:sz w:val="32"/>
          <w:szCs w:val="32"/>
        </w:rPr>
        <w:t>（二）“三公”经费分项支出情况</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lang w:eastAsia="zh-CN"/>
        </w:rPr>
        <w:t>度本部门因公出国（境）费用0.00万元，202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年度未发生因公出国（境）费用，与上年决算数持平。</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公务车购置费0.00万元，202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年度未发生公务车购置费，与上年决算数持平。</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公务车运行维护费11.50万元，主要用于市内因公出行，民政相关业务检查、督查等工作需要的燃料费、维修费、过桥过路费、保险费等。费用支出较年初预算数无增减，与上年决算数持平。较上年支出数减少0.41万元，下降3.4%，主要原因是严格按照规定控制车辆外出，减少不必要的派车。</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公务接待费4.70万元，主要用于接待接待相关部门检查和指导工作及遣送救助人员的餐饮费。费用支出较年初预算数减少1.30万元，下降21.7%，主要原因是严格控制公务接待费用的支出，减少非必要的接待。较上年支出数减少1.93万元，下降29.1%，主要原因是严格控制公务接待费用的支出，减少非必要的接待。</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楷体_GBK" w:cs="Times New Roman"/>
          <w:sz w:val="32"/>
          <w:szCs w:val="32"/>
        </w:rPr>
      </w:pPr>
      <w:r>
        <w:rPr>
          <w:rFonts w:hint="eastAsia" w:ascii="Times New Roman" w:hAnsi="Times New Roman" w:eastAsia="方正楷体_GBK" w:cs="Times New Roman"/>
          <w:sz w:val="32"/>
          <w:szCs w:val="32"/>
        </w:rPr>
        <w:t>（三）“三公”经费实物量情况</w:t>
      </w:r>
    </w:p>
    <w:p>
      <w:pPr>
        <w:pStyle w:val="5"/>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w:t>
      </w:r>
      <w:r>
        <w:rPr>
          <w:rFonts w:hint="eastAsia" w:ascii="Times New Roman" w:hAnsi="Times New Roman" w:eastAsia="方正仿宋_GBK" w:cs="Times New Roman"/>
          <w:sz w:val="32"/>
          <w:szCs w:val="32"/>
          <w:lang w:val="en-US" w:eastAsia="zh-CN" w:bidi="ar-SA"/>
        </w:rPr>
        <w:t>2024年</w:t>
      </w:r>
      <w:r>
        <w:rPr>
          <w:rFonts w:hint="default" w:ascii="Times New Roman" w:hAnsi="Times New Roman" w:eastAsia="方正仿宋_GBK" w:cs="Times New Roman"/>
          <w:sz w:val="32"/>
          <w:szCs w:val="32"/>
          <w:lang w:val="en-US" w:eastAsia="zh-CN" w:bidi="ar-SA"/>
        </w:rPr>
        <w:t>度本部门因公出国（境）共计0个团组，0人；公务用车购置0辆，公务车保有量为3辆；国内公务接待77批次399人，其中：国内外事接待0批次，0人；国（境）外公务接待0批次，0人。</w:t>
      </w:r>
      <w:r>
        <w:rPr>
          <w:rFonts w:hint="eastAsia" w:ascii="Times New Roman" w:hAnsi="Times New Roman" w:eastAsia="方正仿宋_GBK" w:cs="Times New Roman"/>
          <w:sz w:val="32"/>
          <w:szCs w:val="32"/>
          <w:lang w:val="en-US" w:eastAsia="zh-CN" w:bidi="ar-SA"/>
        </w:rPr>
        <w:t>2024年</w:t>
      </w:r>
      <w:r>
        <w:rPr>
          <w:rFonts w:hint="default" w:ascii="Times New Roman" w:hAnsi="Times New Roman" w:eastAsia="方正仿宋_GBK" w:cs="Times New Roman"/>
          <w:sz w:val="32"/>
          <w:szCs w:val="32"/>
          <w:lang w:val="en-US" w:eastAsia="zh-CN" w:bidi="ar-SA"/>
        </w:rPr>
        <w:t>本部门人均接待费117.82元，车均购置费0万元，车均维护费3.83万元。</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四、其他需要说明的事项</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Times New Roman" w:hAnsi="Times New Roman" w:eastAsia="方正楷体_GBK" w:cs="Times New Roman"/>
          <w:sz w:val="32"/>
          <w:szCs w:val="32"/>
          <w:lang w:val="en-US" w:eastAsia="zh-CN" w:bidi="ar-SA"/>
        </w:rPr>
        <w:t>（一）财政拨款会议费和培训费情况说明</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本年度会议费支出0.00万元，与2023年度相比，无增减，</w:t>
      </w:r>
      <w:r>
        <w:rPr>
          <w:rFonts w:hint="default" w:ascii="Times New Roman" w:hAnsi="Times New Roman" w:eastAsia="方正仿宋_GBK" w:cs="Times New Roman"/>
          <w:sz w:val="32"/>
          <w:szCs w:val="32"/>
          <w:lang w:eastAsia="zh-CN"/>
        </w:rPr>
        <w:t>与上年持平</w:t>
      </w:r>
      <w:r>
        <w:rPr>
          <w:rFonts w:hint="default" w:ascii="Times New Roman" w:hAnsi="Times New Roman" w:eastAsia="方正仿宋_GBK" w:cs="Times New Roman"/>
          <w:sz w:val="32"/>
          <w:szCs w:val="32"/>
        </w:rPr>
        <w:t>。本年度培训费支出28.41万元，与2023年度相比，增加26.41万元，增长1320.5%，主要原因是</w:t>
      </w:r>
      <w:r>
        <w:rPr>
          <w:rFonts w:hint="default" w:ascii="Times New Roman" w:hAnsi="Times New Roman" w:eastAsia="方正仿宋_GBK" w:cs="Times New Roman"/>
          <w:sz w:val="32"/>
          <w:szCs w:val="32"/>
          <w:lang w:eastAsia="zh-CN"/>
        </w:rPr>
        <w:t>本年开展民政相关养老管理员、护理员培训。</w:t>
      </w:r>
    </w:p>
    <w:p>
      <w:pPr>
        <w:pStyle w:val="9"/>
        <w:autoSpaceDE w:val="0"/>
        <w:ind w:firstLine="643"/>
        <w:rPr>
          <w:rFonts w:ascii="楷体" w:hAnsi="楷体" w:eastAsia="楷体" w:cs="楷体"/>
          <w:b/>
          <w:bCs/>
          <w:sz w:val="32"/>
          <w:szCs w:val="32"/>
          <w:shd w:val="clear" w:color="auto" w:fill="FFFFFF"/>
        </w:rPr>
      </w:pPr>
      <w:r>
        <w:rPr>
          <w:rFonts w:hint="eastAsia" w:ascii="Times New Roman" w:hAnsi="Times New Roman" w:eastAsia="方正楷体_GBK" w:cs="Times New Roman"/>
          <w:sz w:val="32"/>
          <w:szCs w:val="32"/>
          <w:lang w:val="en-US" w:eastAsia="zh-CN" w:bidi="ar-SA"/>
        </w:rPr>
        <w:t>（二）机关运行经费情况说明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2024年</w:t>
      </w:r>
      <w:r>
        <w:rPr>
          <w:rFonts w:hint="default" w:ascii="Times New Roman" w:hAnsi="Times New Roman" w:eastAsia="方正仿宋_GBK" w:cs="Times New Roman"/>
          <w:sz w:val="32"/>
          <w:szCs w:val="32"/>
          <w:lang w:val="en-US" w:eastAsia="zh-CN" w:bidi="ar-SA"/>
        </w:rPr>
        <w:t>度本部门机关运行经费支出53.42万元，机关运行经费主要用于开支</w:t>
      </w:r>
      <w:r>
        <w:rPr>
          <w:rFonts w:hint="eastAsia" w:ascii="Times New Roman" w:hAnsi="Times New Roman" w:eastAsia="方正仿宋_GBK" w:cs="Times New Roman"/>
          <w:sz w:val="32"/>
          <w:szCs w:val="32"/>
          <w:lang w:val="en-US" w:eastAsia="zh-CN" w:bidi="ar-SA"/>
        </w:rPr>
        <w:t>办公费24.08万元、水费0.6万元、电费3.75万元、邮电费8.58万元、差旅费7.18万元、租赁费1.61万元、培训费0.15万元、公务接待费4.7万元、劳务费1.66万元、工会经费1.51万元、福利费2.38万元、</w:t>
      </w:r>
      <w:r>
        <w:rPr>
          <w:rFonts w:hint="default" w:ascii="Times New Roman" w:hAnsi="Times New Roman" w:eastAsia="方正仿宋_GBK" w:cs="Times New Roman"/>
          <w:sz w:val="32"/>
          <w:szCs w:val="32"/>
          <w:lang w:val="en-US" w:eastAsia="zh-CN" w:bidi="ar-SA"/>
        </w:rPr>
        <w:t>公务用车运行维护费</w:t>
      </w:r>
      <w:r>
        <w:rPr>
          <w:rFonts w:hint="eastAsia" w:ascii="Times New Roman" w:hAnsi="Times New Roman" w:eastAsia="方正仿宋_GBK" w:cs="Times New Roman"/>
          <w:sz w:val="32"/>
          <w:szCs w:val="32"/>
          <w:lang w:val="en-US" w:eastAsia="zh-CN" w:bidi="ar-SA"/>
        </w:rPr>
        <w:t>11.5万元、其他交通费11.75万元、</w:t>
      </w:r>
      <w:r>
        <w:rPr>
          <w:rFonts w:hint="default" w:ascii="Times New Roman" w:hAnsi="Times New Roman" w:eastAsia="方正仿宋_GBK" w:cs="Times New Roman"/>
          <w:sz w:val="32"/>
          <w:szCs w:val="32"/>
          <w:lang w:val="en-US" w:eastAsia="zh-CN" w:bidi="ar-SA"/>
        </w:rPr>
        <w:t>其他商品和服务支出</w:t>
      </w:r>
      <w:r>
        <w:rPr>
          <w:rFonts w:hint="eastAsia" w:ascii="Times New Roman" w:hAnsi="Times New Roman" w:eastAsia="方正仿宋_GBK" w:cs="Times New Roman"/>
          <w:sz w:val="32"/>
          <w:szCs w:val="32"/>
          <w:lang w:val="en-US" w:eastAsia="zh-CN" w:bidi="ar-SA"/>
        </w:rPr>
        <w:t>1.62万元。</w:t>
      </w:r>
      <w:r>
        <w:rPr>
          <w:rFonts w:hint="default" w:ascii="Times New Roman" w:hAnsi="Times New Roman" w:eastAsia="方正仿宋_GBK" w:cs="Times New Roman"/>
          <w:sz w:val="32"/>
          <w:szCs w:val="32"/>
          <w:lang w:val="en-US" w:eastAsia="zh-CN" w:bidi="ar-SA"/>
        </w:rPr>
        <w:t>机关运行经费较上年支出数减少29.62万元，下降35.7%，主要原因是办公费、差旅费、其他交通费等费用减少。</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楷体_GBK" w:cs="Times New Roman"/>
          <w:sz w:val="32"/>
          <w:szCs w:val="32"/>
        </w:rPr>
      </w:pPr>
      <w:r>
        <w:rPr>
          <w:rFonts w:hint="eastAsia" w:ascii="Times New Roman" w:hAnsi="Times New Roman" w:eastAsia="方正楷体_GBK" w:cs="Times New Roman"/>
          <w:sz w:val="32"/>
          <w:szCs w:val="32"/>
        </w:rPr>
        <w:t>（三）国有资产占用情况说明</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w:t>
      </w: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12月31日，本部门共有车辆3辆，其中，副部（省）级及以上领导用车0辆、主要负责人用车0辆、机要通信用车0辆、应急保障用车3辆、执法执勤用车0辆，特种专业技术用车0辆，离退休干部用车0辆。单价100万元（含）以上专用设备0台（套）。</w:t>
      </w:r>
    </w:p>
    <w:p>
      <w:pPr>
        <w:pStyle w:val="9"/>
        <w:autoSpaceDE w:val="0"/>
        <w:ind w:firstLine="643"/>
        <w:rPr>
          <w:rFonts w:ascii="楷体" w:hAnsi="楷体" w:eastAsia="楷体" w:cs="楷体"/>
          <w:b/>
          <w:bCs/>
          <w:sz w:val="32"/>
          <w:szCs w:val="32"/>
          <w:shd w:val="clear" w:color="auto" w:fill="FFFFFF"/>
        </w:rPr>
      </w:pPr>
      <w:r>
        <w:rPr>
          <w:rFonts w:hint="eastAsia" w:ascii="Times New Roman" w:hAnsi="Times New Roman" w:eastAsia="方正楷体_GBK" w:cs="Times New Roman"/>
          <w:sz w:val="32"/>
          <w:szCs w:val="32"/>
          <w:lang w:val="en-US" w:eastAsia="zh-CN" w:bidi="ar-SA"/>
        </w:rPr>
        <w:t>（四）政府采购支出情况说明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bCs/>
          <w:color w:val="FF0000"/>
          <w:sz w:val="32"/>
          <w:szCs w:val="32"/>
          <w:shd w:val="clear" w:color="auto" w:fill="FFFFFF"/>
        </w:rPr>
      </w:pPr>
      <w:r>
        <w:rPr>
          <w:rFonts w:hint="eastAsia" w:ascii="Times New Roman" w:hAnsi="Times New Roman" w:eastAsia="方正仿宋_GBK" w:cs="Times New Roman"/>
          <w:sz w:val="32"/>
          <w:szCs w:val="32"/>
          <w:lang w:val="en-US" w:eastAsia="zh-CN" w:bidi="ar-SA"/>
        </w:rPr>
        <w:t>2024年</w:t>
      </w:r>
      <w:r>
        <w:rPr>
          <w:rFonts w:hint="default" w:ascii="Times New Roman" w:hAnsi="Times New Roman" w:eastAsia="方正仿宋_GBK" w:cs="Times New Roman"/>
          <w:sz w:val="32"/>
          <w:szCs w:val="32"/>
          <w:lang w:val="en-US" w:eastAsia="zh-CN" w:bidi="ar-SA"/>
        </w:rPr>
        <w:t>度本部门政府采购支出总额487.97万元，其中：政府采购货物支出2.97万元、政府采购工程支出0.00万元、政府采购服务支出485.00万元。授予中小企业合同金额487.97万元，占政府采购支出总额的100.00%，其中：授予小微企业合同金额487.97万元，占政府采购支出总额的100.00 %。主要用于</w:t>
      </w:r>
      <w:r>
        <w:rPr>
          <w:rFonts w:hint="eastAsia" w:ascii="Times New Roman" w:hAnsi="Times New Roman" w:eastAsia="方正仿宋_GBK" w:cs="Times New Roman"/>
          <w:sz w:val="32"/>
          <w:szCs w:val="32"/>
          <w:lang w:val="en-US" w:eastAsia="zh-CN" w:bidi="ar-SA"/>
        </w:rPr>
        <w:t>采购养老护理床、巫溪县乡镇级行政区域界线勘界项目。</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五、2024年度预算绩效管理情况说明</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Times New Roman" w:hAnsi="Times New Roman" w:eastAsia="方正楷体_GBK" w:cs="Times New Roman"/>
          <w:sz w:val="32"/>
          <w:szCs w:val="32"/>
        </w:rPr>
      </w:pPr>
      <w:r>
        <w:rPr>
          <w:rFonts w:hint="eastAsia" w:ascii="Times New Roman" w:hAnsi="Times New Roman" w:eastAsia="方正楷体_GBK" w:cs="Times New Roman"/>
          <w:sz w:val="32"/>
          <w:szCs w:val="32"/>
        </w:rPr>
        <w:t>（一）单位自评情况</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根据预算绩效管理要求，我部门（单位）对部门整体和</w:t>
      </w:r>
      <w:r>
        <w:rPr>
          <w:rFonts w:hint="default" w:ascii="Times New Roman" w:hAnsi="Times New Roman" w:eastAsia="方正仿宋_GBK" w:cs="Times New Roman"/>
          <w:sz w:val="32"/>
          <w:szCs w:val="32"/>
          <w:lang w:val="en-US" w:eastAsia="zh-CN"/>
        </w:rPr>
        <w:t>60</w:t>
      </w:r>
      <w:r>
        <w:rPr>
          <w:rFonts w:hint="default" w:ascii="Times New Roman" w:hAnsi="Times New Roman" w:eastAsia="方正仿宋_GBK" w:cs="Times New Roman"/>
          <w:sz w:val="32"/>
          <w:szCs w:val="32"/>
        </w:rPr>
        <w:t>个二级项目开展了绩效自评，涉及财政拨款项目支出资金</w:t>
      </w:r>
      <w:r>
        <w:rPr>
          <w:rFonts w:hint="default" w:ascii="Times New Roman" w:hAnsi="Times New Roman" w:eastAsia="方正仿宋_GBK" w:cs="Times New Roman"/>
          <w:sz w:val="32"/>
          <w:szCs w:val="32"/>
          <w:lang w:val="en-US" w:eastAsia="zh-CN"/>
        </w:rPr>
        <w:t>19699.17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，从评价情况看，主要从服务全县城乡低保、特困人员救助、临时救助及时高效、救急解难等满意度作为绩效目标，达到预期效果。</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部门整体绩效自评</w:t>
      </w:r>
      <w:r>
        <w:rPr>
          <w:rFonts w:hint="default" w:ascii="Times New Roman" w:hAnsi="Times New Roman" w:eastAsia="方正仿宋_GBK" w:cs="Times New Roman"/>
          <w:sz w:val="32"/>
          <w:szCs w:val="32"/>
          <w:lang w:eastAsia="zh-CN"/>
        </w:rPr>
        <w:t>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47"/>
        <w:gridCol w:w="570"/>
        <w:gridCol w:w="36"/>
        <w:gridCol w:w="866"/>
        <w:gridCol w:w="530"/>
        <w:gridCol w:w="9"/>
        <w:gridCol w:w="266"/>
        <w:gridCol w:w="556"/>
        <w:gridCol w:w="249"/>
        <w:gridCol w:w="322"/>
        <w:gridCol w:w="486"/>
        <w:gridCol w:w="528"/>
        <w:gridCol w:w="382"/>
        <w:gridCol w:w="59"/>
        <w:gridCol w:w="110"/>
        <w:gridCol w:w="369"/>
        <w:gridCol w:w="163"/>
        <w:gridCol w:w="63"/>
        <w:gridCol w:w="743"/>
        <w:gridCol w:w="126"/>
        <w:gridCol w:w="222"/>
        <w:gridCol w:w="458"/>
        <w:gridCol w:w="131"/>
        <w:gridCol w:w="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eastAsia="方正小标宋_GBK" w:cs="Times New Roman"/>
                <w:kern w:val="2"/>
                <w:sz w:val="32"/>
                <w:szCs w:val="32"/>
                <w:lang w:val="en-US" w:eastAsia="zh-CN"/>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000" w:type="pct"/>
            <w:gridSpan w:val="2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both"/>
              <w:rPr>
                <w:rFonts w:hint="default" w:ascii="Times New Roman" w:hAnsi="Times New Roman" w:cs="Times New Roman"/>
                <w:kern w:val="2"/>
                <w:sz w:val="21"/>
              </w:rPr>
            </w:pPr>
            <w:r>
              <w:rPr>
                <w:rFonts w:hint="default" w:ascii="Times New Roman" w:hAnsi="Times New Roman" w:cs="Times New Roman"/>
                <w:kern w:val="2"/>
                <w:sz w:val="21"/>
                <w:lang w:val="en-US" w:eastAsia="zh-CN"/>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87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项目名称：</w:t>
            </w:r>
          </w:p>
        </w:tc>
        <w:tc>
          <w:tcPr>
            <w:tcW w:w="7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巫溪县民政局整体监控</w:t>
            </w:r>
          </w:p>
        </w:tc>
        <w:tc>
          <w:tcPr>
            <w:tcW w:w="46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项目编码：</w:t>
            </w:r>
          </w:p>
        </w:tc>
        <w:tc>
          <w:tcPr>
            <w:tcW w:w="89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50023800024P000060</w:t>
            </w: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自评总分：</w:t>
            </w:r>
          </w:p>
        </w:tc>
        <w:tc>
          <w:tcPr>
            <w:tcW w:w="61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99.91</w:t>
            </w:r>
          </w:p>
        </w:tc>
        <w:tc>
          <w:tcPr>
            <w:tcW w:w="45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val="0"/>
              <w:jc w:val="center"/>
              <w:rPr>
                <w:rFonts w:hint="default" w:ascii="Times New Roman" w:hAnsi="Times New Roman" w:cs="Times New Roman"/>
                <w:kern w:val="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87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项目主管部门：</w:t>
            </w:r>
          </w:p>
        </w:tc>
        <w:tc>
          <w:tcPr>
            <w:tcW w:w="7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066-巫溪县民政局</w:t>
            </w:r>
          </w:p>
        </w:tc>
        <w:tc>
          <w:tcPr>
            <w:tcW w:w="46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财政归口处室：</w:t>
            </w:r>
          </w:p>
        </w:tc>
        <w:tc>
          <w:tcPr>
            <w:tcW w:w="89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006-社保科</w:t>
            </w: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部门联系人：</w:t>
            </w:r>
          </w:p>
        </w:tc>
        <w:tc>
          <w:tcPr>
            <w:tcW w:w="61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李昌怡</w:t>
            </w:r>
          </w:p>
        </w:tc>
        <w:tc>
          <w:tcPr>
            <w:tcW w:w="45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b/>
                <w:bCs/>
                <w:kern w:val="2"/>
                <w:sz w:val="21"/>
                <w:lang w:val="en-US" w:eastAsia="zh-CN"/>
              </w:rPr>
              <w:t>联系电话：</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51515978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00" w:type="pct"/>
            <w:gridSpan w:val="2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eastAsia="方正小标宋_GBK" w:cs="Times New Roman"/>
                <w:kern w:val="2"/>
                <w:sz w:val="32"/>
                <w:szCs w:val="32"/>
                <w:lang w:val="en-US" w:eastAsia="zh-CN"/>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both"/>
              <w:rPr>
                <w:rFonts w:hint="default" w:ascii="Times New Roman" w:hAnsi="Times New Roman" w:cs="Times New Roman"/>
                <w:kern w:val="2"/>
                <w:sz w:val="21"/>
              </w:rPr>
            </w:pPr>
          </w:p>
        </w:tc>
        <w:tc>
          <w:tcPr>
            <w:tcW w:w="80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年初预算数</w:t>
            </w:r>
          </w:p>
        </w:tc>
        <w:tc>
          <w:tcPr>
            <w:tcW w:w="790"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全年（调整）预算数</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both"/>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全年执行数</w:t>
            </w:r>
          </w:p>
        </w:tc>
        <w:tc>
          <w:tcPr>
            <w:tcW w:w="43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both"/>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执行率</w:t>
            </w:r>
          </w:p>
        </w:tc>
        <w:tc>
          <w:tcPr>
            <w:tcW w:w="61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执行率权重</w:t>
            </w:r>
          </w:p>
        </w:tc>
        <w:tc>
          <w:tcPr>
            <w:tcW w:w="7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年度总金额</w:t>
            </w:r>
          </w:p>
        </w:tc>
        <w:tc>
          <w:tcPr>
            <w:tcW w:w="80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166,187,193.36</w:t>
            </w:r>
          </w:p>
        </w:tc>
        <w:tc>
          <w:tcPr>
            <w:tcW w:w="790"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205,030,796.80</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203,100,796.80</w:t>
            </w:r>
          </w:p>
        </w:tc>
        <w:tc>
          <w:tcPr>
            <w:tcW w:w="43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p>
        </w:tc>
        <w:tc>
          <w:tcPr>
            <w:tcW w:w="61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p>
        </w:tc>
        <w:tc>
          <w:tcPr>
            <w:tcW w:w="7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其中：财政拨款</w:t>
            </w:r>
          </w:p>
        </w:tc>
        <w:tc>
          <w:tcPr>
            <w:tcW w:w="80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166,187,193.36</w:t>
            </w:r>
          </w:p>
        </w:tc>
        <w:tc>
          <w:tcPr>
            <w:tcW w:w="790"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205,030,796.80</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203,100,796.80</w:t>
            </w:r>
          </w:p>
        </w:tc>
        <w:tc>
          <w:tcPr>
            <w:tcW w:w="43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99.06</w:t>
            </w:r>
          </w:p>
        </w:tc>
        <w:tc>
          <w:tcPr>
            <w:tcW w:w="61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10.00</w:t>
            </w:r>
          </w:p>
        </w:tc>
        <w:tc>
          <w:tcPr>
            <w:tcW w:w="7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一般公共预算</w:t>
            </w:r>
          </w:p>
        </w:tc>
        <w:tc>
          <w:tcPr>
            <w:tcW w:w="80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159,431,193.36</w:t>
            </w:r>
          </w:p>
        </w:tc>
        <w:tc>
          <w:tcPr>
            <w:tcW w:w="790"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196,655,969.51</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194,725,969.51</w:t>
            </w:r>
          </w:p>
        </w:tc>
        <w:tc>
          <w:tcPr>
            <w:tcW w:w="43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99.02</w:t>
            </w:r>
          </w:p>
        </w:tc>
        <w:tc>
          <w:tcPr>
            <w:tcW w:w="61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p>
        </w:tc>
        <w:tc>
          <w:tcPr>
            <w:tcW w:w="7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00" w:type="pct"/>
            <w:gridSpan w:val="2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eastAsia="方正小标宋_GBK" w:cs="Times New Roman"/>
                <w:kern w:val="2"/>
                <w:sz w:val="32"/>
                <w:szCs w:val="32"/>
                <w:lang w:val="en-US" w:eastAsia="zh-CN"/>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66"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年初绩效目标</w:t>
            </w:r>
          </w:p>
        </w:tc>
        <w:tc>
          <w:tcPr>
            <w:tcW w:w="1666" w:type="pct"/>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全年（调整）绩效目标</w:t>
            </w:r>
          </w:p>
        </w:tc>
        <w:tc>
          <w:tcPr>
            <w:tcW w:w="1666" w:type="pct"/>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0" w:hRule="atLeast"/>
        </w:trPr>
        <w:tc>
          <w:tcPr>
            <w:tcW w:w="1666" w:type="pct"/>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widowControl w:val="0"/>
              <w:jc w:val="both"/>
              <w:rPr>
                <w:rFonts w:hint="default" w:ascii="Times New Roman" w:hAnsi="Times New Roman" w:cs="Times New Roman"/>
                <w:kern w:val="2"/>
                <w:sz w:val="21"/>
              </w:rPr>
            </w:pPr>
            <w:r>
              <w:rPr>
                <w:rFonts w:hint="default" w:ascii="Times New Roman" w:hAnsi="Times New Roman" w:cs="Times New Roman"/>
                <w:kern w:val="2"/>
                <w:sz w:val="21"/>
                <w:lang w:val="en-US" w:eastAsia="zh-CN"/>
              </w:rPr>
              <w:t>贯彻执行民政工作法律、法规和方针政策，研究提出全县民政事业发展规划，并负责组织实施和监督检查。承担依法对全县性社团、跨镇乡（街道）社团、基金会、民办非企业单位进行登记、管理和监察的责任。监督社团活动、查处社团组织的违法行为和未经登记而以社团名义开展活动的社团组织。负责县级单位所属和挂靠的民办非企业单位的登记和年度检查；会同有关部门对民办非企业单位实施监督、管理。负责建立和实施全区城乡居民最低生活保障制度；负责城乡居民最低生活保障、临时救助、生活无着人员救助工作；组织和指导扶贫济困等社会互助活动；承担社会福利募捐和社会救济工作，协助落实对福利企业扶持、保护政策。负责研究提出加强和改进全县城乡基层群众自治建设、社区建设的意见和建议；指导村（居）民委员会民主选举、民主管理和民主监督工作，推动村务公开和基层民主政治建设；拟订社区建设规划和社区服务管理办法及促进发展的政策措施，指导社区服务体系建设，推动社区建设、发展。拟订全县行政区划总体规划；承担镇乡（街道）和村（居）委行政区域的设立、撤销、调整、更名和界线变更及政府驻地迁移的审核呈报；承担重要的地理实体的地名命名、更名的审核报批；规范全县地名标志的设置和管理；负责全县标准地名图书资料的审定。承担组织、协调、指导镇乡（街道）级行政区域界线勘定和管理；负责镇乡（街道）及以下边界争议的调查和调处。拟订促进慈善事业、社会福利事业发展规划和各类福利设施标准，并组织实施；负责城市</w:t>
            </w:r>
            <w:r>
              <w:rPr>
                <w:rFonts w:hint="eastAsia" w:ascii="Times New Roman" w:hAnsi="Times New Roman" w:cs="Times New Roman"/>
                <w:kern w:val="2"/>
                <w:sz w:val="21"/>
                <w:lang w:val="en-US" w:eastAsia="zh-CN"/>
              </w:rPr>
              <w:t>“</w:t>
            </w:r>
            <w:r>
              <w:rPr>
                <w:rFonts w:hint="default" w:ascii="Times New Roman" w:hAnsi="Times New Roman" w:cs="Times New Roman"/>
                <w:kern w:val="2"/>
                <w:sz w:val="21"/>
                <w:lang w:val="en-US" w:eastAsia="zh-CN"/>
              </w:rPr>
              <w:t>三无</w:t>
            </w:r>
            <w:r>
              <w:rPr>
                <w:rFonts w:hint="eastAsia" w:ascii="Times New Roman" w:hAnsi="Times New Roman" w:cs="Times New Roman"/>
                <w:kern w:val="2"/>
                <w:sz w:val="21"/>
                <w:lang w:val="en-US" w:eastAsia="zh-CN"/>
              </w:rPr>
              <w:t>”</w:t>
            </w:r>
            <w:r>
              <w:rPr>
                <w:rFonts w:hint="default" w:ascii="Times New Roman" w:hAnsi="Times New Roman" w:cs="Times New Roman"/>
                <w:kern w:val="2"/>
                <w:sz w:val="21"/>
                <w:lang w:val="en-US" w:eastAsia="zh-CN"/>
              </w:rPr>
              <w:t>和农村</w:t>
            </w:r>
            <w:r>
              <w:rPr>
                <w:rFonts w:hint="eastAsia" w:ascii="Times New Roman" w:hAnsi="Times New Roman" w:cs="Times New Roman"/>
                <w:kern w:val="2"/>
                <w:sz w:val="21"/>
                <w:lang w:val="en-US" w:eastAsia="zh-CN"/>
              </w:rPr>
              <w:t>“</w:t>
            </w:r>
            <w:r>
              <w:rPr>
                <w:rFonts w:hint="default" w:ascii="Times New Roman" w:hAnsi="Times New Roman" w:cs="Times New Roman"/>
                <w:kern w:val="2"/>
                <w:sz w:val="21"/>
                <w:lang w:val="en-US" w:eastAsia="zh-CN"/>
              </w:rPr>
              <w:t>五保老人</w:t>
            </w:r>
            <w:r>
              <w:rPr>
                <w:rFonts w:hint="eastAsia" w:ascii="Times New Roman" w:hAnsi="Times New Roman" w:cs="Times New Roman"/>
                <w:kern w:val="2"/>
                <w:sz w:val="21"/>
                <w:lang w:val="en-US" w:eastAsia="zh-CN"/>
              </w:rPr>
              <w:t>”</w:t>
            </w:r>
            <w:r>
              <w:rPr>
                <w:rFonts w:hint="default" w:ascii="Times New Roman" w:hAnsi="Times New Roman" w:cs="Times New Roman"/>
                <w:kern w:val="2"/>
                <w:sz w:val="21"/>
                <w:lang w:val="en-US" w:eastAsia="zh-CN"/>
              </w:rPr>
              <w:t>的供养和管理工作；负责社会办养老机构的管理；推进慈善事业发展。研究提出福利彩票发行规划，并对其管理；管理本级福利资金，监督指导全区福利资金的管理使用。贯彻执行婚姻登记管理、殡葬管理和儿童收养的政策，指导婚姻、殡葬和儿童收养服务机构管理工作；负责推进婚俗和殡葬改革。组织拟订全县社会工作发展规划、政策和职业规范，推进社会工作人才队伍建设和相关志愿者队伍建设。</w:t>
            </w:r>
          </w:p>
        </w:tc>
        <w:tc>
          <w:tcPr>
            <w:tcW w:w="1666" w:type="pct"/>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widowControl w:val="0"/>
              <w:jc w:val="both"/>
              <w:rPr>
                <w:rFonts w:hint="default" w:ascii="Times New Roman" w:hAnsi="Times New Roman" w:cs="Times New Roman"/>
                <w:kern w:val="2"/>
                <w:sz w:val="21"/>
              </w:rPr>
            </w:pPr>
          </w:p>
        </w:tc>
        <w:tc>
          <w:tcPr>
            <w:tcW w:w="1666" w:type="pct"/>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widowControl w:val="0"/>
              <w:jc w:val="both"/>
              <w:rPr>
                <w:rFonts w:hint="default" w:ascii="Times New Roman" w:hAnsi="Times New Roman" w:cs="Times New Roman"/>
                <w:kern w:val="2"/>
                <w:sz w:val="21"/>
              </w:rPr>
            </w:pPr>
            <w:r>
              <w:rPr>
                <w:rFonts w:hint="default" w:ascii="Times New Roman" w:hAnsi="Times New Roman" w:cs="Times New Roman"/>
                <w:kern w:val="2"/>
                <w:sz w:val="21"/>
                <w:lang w:val="en-US" w:eastAsia="zh-CN"/>
              </w:rPr>
              <w:t>贯彻执行民政工作法律、法规和方针政策，研究提出全县民政事业发展规划，并负责组织实施和监督检查。承担依法对全县性社团、跨镇乡（街道）社团、基金会、民办非企业单位进行登记、管理和监察的责任。监督社团活动、查处社团组织的违法行为和未经登记而以社团名义开展活动的社团组织。负责县级单位所属和挂靠的民办非企业单位的登记和年度检查；会同有关部门对民办非企业单位实施监督、管理。负责建立和实施全区城乡居民最低生活保障制度；负责城乡居民最低生活保障、临时救助、生活无着人员救助工作；组织和指导扶贫济困等社会互助活动；承担社会福利募捐和社会救济工作，协助落实对福利企业扶持、保护政策。负责研究提出加强和改进全县城乡基层群众自治建设、社区建设的意见和建议；指导村（居）民委员会民主选举、民主管理和民主监督工作，推动村务公开和基层民主政治建设；拟订社区建设规划和社区服务管理办法及促进发展的政策措施，指导社区服务体系建设，推动社区建设、发展。拟订全县行政区划总体规划；承担镇乡（街道）和村（居）委行政区域的设立、撤销、调整、更名和界线变更及政府驻地迁移的审核呈报；承担重要的地理实体的地名命名、更名的审核报批；规范全县地名标志的设置和管理；负责全县标准地名图书资料的审定。承担组织、协调、指导镇乡（街道）级行政区域界线勘定和管理；负责镇乡（街道）及以下边界争议的调查和调处。拟订促进慈善事业、社会福利事业发展规划和各类福利设施标准，并组织实施；负责城市</w:t>
            </w:r>
            <w:r>
              <w:rPr>
                <w:rFonts w:hint="eastAsia" w:ascii="Times New Roman" w:hAnsi="Times New Roman" w:cs="Times New Roman"/>
                <w:kern w:val="2"/>
                <w:sz w:val="21"/>
                <w:lang w:val="en-US" w:eastAsia="zh-CN"/>
              </w:rPr>
              <w:t>“</w:t>
            </w:r>
            <w:r>
              <w:rPr>
                <w:rFonts w:hint="default" w:ascii="Times New Roman" w:hAnsi="Times New Roman" w:cs="Times New Roman"/>
                <w:kern w:val="2"/>
                <w:sz w:val="21"/>
                <w:lang w:val="en-US" w:eastAsia="zh-CN"/>
              </w:rPr>
              <w:t>三无</w:t>
            </w:r>
            <w:r>
              <w:rPr>
                <w:rFonts w:hint="eastAsia" w:ascii="Times New Roman" w:hAnsi="Times New Roman" w:cs="Times New Roman"/>
                <w:kern w:val="2"/>
                <w:sz w:val="21"/>
                <w:lang w:val="en-US" w:eastAsia="zh-CN"/>
              </w:rPr>
              <w:t>”</w:t>
            </w:r>
            <w:r>
              <w:rPr>
                <w:rFonts w:hint="default" w:ascii="Times New Roman" w:hAnsi="Times New Roman" w:cs="Times New Roman"/>
                <w:kern w:val="2"/>
                <w:sz w:val="21"/>
                <w:lang w:val="en-US" w:eastAsia="zh-CN"/>
              </w:rPr>
              <w:t>和农村</w:t>
            </w:r>
            <w:r>
              <w:rPr>
                <w:rFonts w:hint="eastAsia" w:ascii="Times New Roman" w:hAnsi="Times New Roman" w:cs="Times New Roman"/>
                <w:kern w:val="2"/>
                <w:sz w:val="21"/>
                <w:lang w:val="en-US" w:eastAsia="zh-CN"/>
              </w:rPr>
              <w:t>“</w:t>
            </w:r>
            <w:r>
              <w:rPr>
                <w:rFonts w:hint="default" w:ascii="Times New Roman" w:hAnsi="Times New Roman" w:cs="Times New Roman"/>
                <w:kern w:val="2"/>
                <w:sz w:val="21"/>
                <w:lang w:val="en-US" w:eastAsia="zh-CN"/>
              </w:rPr>
              <w:t>五保老人</w:t>
            </w:r>
            <w:r>
              <w:rPr>
                <w:rFonts w:hint="eastAsia" w:ascii="Times New Roman" w:hAnsi="Times New Roman" w:cs="Times New Roman"/>
                <w:kern w:val="2"/>
                <w:sz w:val="21"/>
                <w:lang w:val="en-US" w:eastAsia="zh-CN"/>
              </w:rPr>
              <w:t>”</w:t>
            </w:r>
            <w:r>
              <w:rPr>
                <w:rFonts w:hint="default" w:ascii="Times New Roman" w:hAnsi="Times New Roman" w:cs="Times New Roman"/>
                <w:kern w:val="2"/>
                <w:sz w:val="21"/>
                <w:lang w:val="en-US" w:eastAsia="zh-CN"/>
              </w:rPr>
              <w:t>的供养和管理工作；负责社会办养老机构的管理；推进慈善事业发展。研究提出福利彩票发行规划，并对其管理；管理本级福利资金，监督指导全区福利资金的管理使用。贯彻执行婚姻登记管理、殡葬管理和儿童收养的政策，指导婚姻、殡葬和儿童收养服务机构管理工作；负责推进婚俗和殡葬改革。组织拟订全县社会工作发展规划、政策和职业规范，推进社会工作人才队伍建设和相关志愿者队伍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00" w:type="pct"/>
            <w:gridSpan w:val="2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eastAsia="方正小标宋_GBK" w:cs="Times New Roman"/>
                <w:kern w:val="2"/>
                <w:sz w:val="32"/>
                <w:szCs w:val="32"/>
                <w:lang w:val="en-US" w:eastAsia="zh-CN"/>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指标名称</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计量单位</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指标性质</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指标值</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全年完成值</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偏离度（%）</w:t>
            </w: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得分系数（%）</w:t>
            </w:r>
          </w:p>
        </w:tc>
        <w:tc>
          <w:tcPr>
            <w:tcW w:w="3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指标权重</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指标得分</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是否核心指标</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特困人员发放数量</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6232</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6232</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0</w:t>
            </w: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100</w:t>
            </w:r>
          </w:p>
        </w:tc>
        <w:tc>
          <w:tcPr>
            <w:tcW w:w="3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20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20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是</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乡镇养老中心建设数量</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个</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2</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2</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0</w:t>
            </w: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100</w:t>
            </w:r>
          </w:p>
        </w:tc>
        <w:tc>
          <w:tcPr>
            <w:tcW w:w="3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是</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最低生活保障人员发放数量</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17443</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17443</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0</w:t>
            </w: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100</w:t>
            </w:r>
          </w:p>
        </w:tc>
        <w:tc>
          <w:tcPr>
            <w:tcW w:w="3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20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20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是</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部门决算按时公开率</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100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100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0</w:t>
            </w: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100</w:t>
            </w:r>
          </w:p>
        </w:tc>
        <w:tc>
          <w:tcPr>
            <w:tcW w:w="3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是</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民政惠民政策落实率</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100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100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0</w:t>
            </w: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100</w:t>
            </w:r>
          </w:p>
        </w:tc>
        <w:tc>
          <w:tcPr>
            <w:tcW w:w="3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20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20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是</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困难群众满意度</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80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80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0</w:t>
            </w: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100</w:t>
            </w:r>
          </w:p>
        </w:tc>
        <w:tc>
          <w:tcPr>
            <w:tcW w:w="3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20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20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是</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p>
        </w:tc>
      </w:tr>
    </w:tbl>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项目支出绩效自评表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7"/>
        <w:gridCol w:w="886"/>
        <w:gridCol w:w="79"/>
        <w:gridCol w:w="489"/>
        <w:gridCol w:w="318"/>
        <w:gridCol w:w="540"/>
        <w:gridCol w:w="22"/>
        <w:gridCol w:w="245"/>
        <w:gridCol w:w="302"/>
        <w:gridCol w:w="503"/>
        <w:gridCol w:w="805"/>
        <w:gridCol w:w="371"/>
        <w:gridCol w:w="510"/>
        <w:gridCol w:w="200"/>
        <w:gridCol w:w="252"/>
        <w:gridCol w:w="280"/>
        <w:gridCol w:w="198"/>
        <w:gridCol w:w="608"/>
        <w:gridCol w:w="187"/>
        <w:gridCol w:w="619"/>
        <w:gridCol w:w="157"/>
        <w:gridCol w:w="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eastAsia="方正小标宋_GBK" w:cs="Times New Roman"/>
                <w:kern w:val="2"/>
                <w:sz w:val="32"/>
                <w:szCs w:val="32"/>
                <w:lang w:val="en-US" w:eastAsia="zh-CN"/>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000" w:type="pct"/>
            <w:gridSpan w:val="2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both"/>
              <w:rPr>
                <w:rFonts w:hint="default" w:ascii="Times New Roman" w:hAnsi="Times New Roman" w:cs="Times New Roman"/>
                <w:kern w:val="2"/>
                <w:sz w:val="21"/>
              </w:rPr>
            </w:pPr>
            <w:r>
              <w:rPr>
                <w:rFonts w:hint="default" w:ascii="Times New Roman" w:hAnsi="Times New Roman" w:cs="Times New Roman"/>
                <w:kern w:val="2"/>
                <w:sz w:val="21"/>
                <w:lang w:val="en-US" w:eastAsia="zh-CN"/>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8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项目名称：</w:t>
            </w:r>
          </w:p>
        </w:tc>
        <w:tc>
          <w:tcPr>
            <w:tcW w:w="81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2024年城市低保（上级）</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项目编码：</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50023824T000004207051</w:t>
            </w:r>
          </w:p>
        </w:tc>
        <w:tc>
          <w:tcPr>
            <w:tcW w:w="54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自评总分：</w:t>
            </w:r>
          </w:p>
        </w:tc>
        <w:tc>
          <w:tcPr>
            <w:tcW w:w="71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100.00</w:t>
            </w:r>
          </w:p>
        </w:tc>
        <w:tc>
          <w:tcPr>
            <w:tcW w:w="43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val="0"/>
              <w:jc w:val="center"/>
              <w:rPr>
                <w:rFonts w:hint="default" w:ascii="Times New Roman" w:hAnsi="Times New Roman" w:cs="Times New Roman"/>
                <w:kern w:val="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8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项目主管部门：</w:t>
            </w:r>
          </w:p>
        </w:tc>
        <w:tc>
          <w:tcPr>
            <w:tcW w:w="81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066-巫溪县民政局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财政归口处室：</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006-社保科</w:t>
            </w:r>
          </w:p>
        </w:tc>
        <w:tc>
          <w:tcPr>
            <w:tcW w:w="54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部门联系人：</w:t>
            </w:r>
          </w:p>
        </w:tc>
        <w:tc>
          <w:tcPr>
            <w:tcW w:w="71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罗先术</w:t>
            </w:r>
          </w:p>
        </w:tc>
        <w:tc>
          <w:tcPr>
            <w:tcW w:w="43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b/>
                <w:bCs/>
                <w:kern w:val="2"/>
                <w:sz w:val="21"/>
                <w:lang w:val="en-US" w:eastAsia="zh-CN"/>
              </w:rPr>
              <w:t>联系电话：</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51515523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2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eastAsia="方正小标宋_GBK" w:cs="Times New Roman"/>
                <w:kern w:val="2"/>
                <w:sz w:val="32"/>
                <w:szCs w:val="32"/>
                <w:lang w:val="en-US" w:eastAsia="zh-CN"/>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8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both"/>
              <w:rPr>
                <w:rFonts w:hint="default" w:ascii="Times New Roman" w:hAnsi="Times New Roman" w:cs="Times New Roman"/>
                <w:kern w:val="2"/>
                <w:sz w:val="21"/>
              </w:rPr>
            </w:pPr>
          </w:p>
        </w:tc>
        <w:tc>
          <w:tcPr>
            <w:tcW w:w="802"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年初预算数</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全年（调整）预算数</w:t>
            </w:r>
          </w:p>
        </w:tc>
        <w:tc>
          <w:tcPr>
            <w:tcW w:w="81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全年执行数</w:t>
            </w:r>
          </w:p>
        </w:tc>
        <w:tc>
          <w:tcPr>
            <w:tcW w:w="44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执行率</w:t>
            </w:r>
          </w:p>
        </w:tc>
        <w:tc>
          <w:tcPr>
            <w:tcW w:w="43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执行率权重</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83" w:type="pct"/>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年度总金额</w:t>
            </w:r>
          </w:p>
        </w:tc>
        <w:tc>
          <w:tcPr>
            <w:tcW w:w="802"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9,360,000.00</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14,360,000.00</w:t>
            </w:r>
          </w:p>
        </w:tc>
        <w:tc>
          <w:tcPr>
            <w:tcW w:w="81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14,360,000.00</w:t>
            </w:r>
          </w:p>
        </w:tc>
        <w:tc>
          <w:tcPr>
            <w:tcW w:w="44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p>
        </w:tc>
        <w:tc>
          <w:tcPr>
            <w:tcW w:w="43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83" w:type="pct"/>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其中：财政拨款</w:t>
            </w:r>
          </w:p>
        </w:tc>
        <w:tc>
          <w:tcPr>
            <w:tcW w:w="802"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9,360,000.00</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14,360,000.00</w:t>
            </w:r>
          </w:p>
        </w:tc>
        <w:tc>
          <w:tcPr>
            <w:tcW w:w="81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14,360,000.00</w:t>
            </w:r>
          </w:p>
        </w:tc>
        <w:tc>
          <w:tcPr>
            <w:tcW w:w="44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100</w:t>
            </w:r>
          </w:p>
        </w:tc>
        <w:tc>
          <w:tcPr>
            <w:tcW w:w="43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10.00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83" w:type="pct"/>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一般公共预算</w:t>
            </w:r>
          </w:p>
        </w:tc>
        <w:tc>
          <w:tcPr>
            <w:tcW w:w="802"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9,360,000.00</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14,360,000.00</w:t>
            </w:r>
          </w:p>
        </w:tc>
        <w:tc>
          <w:tcPr>
            <w:tcW w:w="81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14,360,000.00</w:t>
            </w:r>
          </w:p>
        </w:tc>
        <w:tc>
          <w:tcPr>
            <w:tcW w:w="44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100</w:t>
            </w:r>
          </w:p>
        </w:tc>
        <w:tc>
          <w:tcPr>
            <w:tcW w:w="43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2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eastAsia="方正小标宋_GBK" w:cs="Times New Roman"/>
                <w:kern w:val="2"/>
                <w:sz w:val="32"/>
                <w:szCs w:val="32"/>
                <w:lang w:val="en-US" w:eastAsia="zh-CN"/>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66"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年初绩效目标</w:t>
            </w:r>
          </w:p>
        </w:tc>
        <w:tc>
          <w:tcPr>
            <w:tcW w:w="1666" w:type="pct"/>
            <w:gridSpan w:val="8"/>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全年（调整）绩效目标</w:t>
            </w:r>
          </w:p>
        </w:tc>
        <w:tc>
          <w:tcPr>
            <w:tcW w:w="1666" w:type="pct"/>
            <w:gridSpan w:val="8"/>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trPr>
        <w:tc>
          <w:tcPr>
            <w:tcW w:w="1666" w:type="pct"/>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保障全县城乡低保人员基本生活。</w:t>
            </w:r>
          </w:p>
        </w:tc>
        <w:tc>
          <w:tcPr>
            <w:tcW w:w="1666" w:type="pct"/>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widowControl w:val="0"/>
              <w:jc w:val="center"/>
              <w:rPr>
                <w:rFonts w:hint="default" w:ascii="Times New Roman" w:hAnsi="Times New Roman" w:cs="Times New Roman"/>
                <w:kern w:val="2"/>
                <w:sz w:val="21"/>
              </w:rPr>
            </w:pPr>
          </w:p>
        </w:tc>
        <w:tc>
          <w:tcPr>
            <w:tcW w:w="1666" w:type="pct"/>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保障全县城乡低保人员基本生活。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2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eastAsia="方正小标宋_GBK" w:cs="Times New Roman"/>
                <w:kern w:val="2"/>
                <w:sz w:val="32"/>
                <w:szCs w:val="32"/>
                <w:lang w:val="en-US" w:eastAsia="zh-CN"/>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指标名称</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计量单位</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指标性质</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指标值</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全年完成值</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偏离度（%）</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得分系数（%）</w:t>
            </w:r>
          </w:p>
        </w:tc>
        <w:tc>
          <w:tcPr>
            <w:tcW w:w="41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指标权重</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指标得分</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是否核心指标</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b/>
                <w:bCs/>
                <w:kern w:val="2"/>
                <w:sz w:val="21"/>
              </w:rPr>
            </w:pPr>
            <w:r>
              <w:rPr>
                <w:rFonts w:hint="default" w:ascii="Times New Roman" w:hAnsi="Times New Roman" w:cs="Times New Roman"/>
                <w:b/>
                <w:bCs/>
                <w:kern w:val="2"/>
                <w:sz w:val="21"/>
                <w:lang w:val="en-US" w:eastAsia="zh-CN"/>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符合条件低保人员数量</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人</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2238</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2238</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0</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100</w:t>
            </w:r>
          </w:p>
        </w:tc>
        <w:tc>
          <w:tcPr>
            <w:tcW w:w="41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20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20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是</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受益对象信息准确率</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90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90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0</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100</w:t>
            </w:r>
          </w:p>
        </w:tc>
        <w:tc>
          <w:tcPr>
            <w:tcW w:w="41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20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20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否</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救助资金拨付及时率</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天</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30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30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0</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100</w:t>
            </w:r>
          </w:p>
        </w:tc>
        <w:tc>
          <w:tcPr>
            <w:tcW w:w="41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20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20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否</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受救助家庭基本生活保障率</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90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90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0</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100</w:t>
            </w:r>
          </w:p>
        </w:tc>
        <w:tc>
          <w:tcPr>
            <w:tcW w:w="41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20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20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否</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救助对象满意度</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90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90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0</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100</w:t>
            </w:r>
          </w:p>
        </w:tc>
        <w:tc>
          <w:tcPr>
            <w:tcW w:w="41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10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r>
              <w:rPr>
                <w:rFonts w:hint="default" w:ascii="Times New Roman" w:hAnsi="Times New Roman" w:cs="Times New Roman"/>
                <w:kern w:val="2"/>
                <w:sz w:val="21"/>
                <w:lang w:val="en-US" w:eastAsia="zh-CN"/>
              </w:rPr>
              <w:t>否</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val="0"/>
              <w:jc w:val="center"/>
              <w:rPr>
                <w:rFonts w:hint="default" w:ascii="Times New Roman" w:hAnsi="Times New Roman" w:cs="Times New Roman"/>
                <w:kern w:val="2"/>
                <w:sz w:val="21"/>
              </w:rPr>
            </w:pPr>
          </w:p>
        </w:tc>
      </w:tr>
    </w:tbl>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2" w:firstLineChars="200"/>
        <w:jc w:val="left"/>
        <w:textAlignment w:val="auto"/>
        <w:rPr>
          <w:rFonts w:hint="eastAsia" w:ascii="楷体" w:hAnsi="楷体" w:eastAsia="楷体" w:cs="楷体"/>
          <w:b/>
          <w:bCs/>
          <w:kern w:val="0"/>
          <w:sz w:val="32"/>
          <w:szCs w:val="32"/>
          <w:shd w:val="clear" w:fill="FFFFFF"/>
        </w:rPr>
      </w:pP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Times New Roman" w:hAnsi="Times New Roman" w:eastAsia="方正楷体_GBK" w:cs="Times New Roman"/>
          <w:sz w:val="32"/>
          <w:szCs w:val="32"/>
        </w:rPr>
      </w:pPr>
      <w:r>
        <w:rPr>
          <w:rFonts w:hint="eastAsia" w:ascii="Times New Roman" w:hAnsi="Times New Roman" w:eastAsia="方正楷体_GBK" w:cs="Times New Roman"/>
          <w:sz w:val="32"/>
          <w:szCs w:val="32"/>
        </w:rPr>
        <w:t>（二）部门绩效评价情况</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我单位未组织开展绩效评价。</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Times New Roman" w:hAnsi="Times New Roman" w:eastAsia="方正楷体_GBK" w:cs="Times New Roman"/>
          <w:sz w:val="32"/>
          <w:szCs w:val="32"/>
        </w:rPr>
      </w:pPr>
      <w:r>
        <w:rPr>
          <w:rFonts w:hint="eastAsia" w:ascii="Times New Roman" w:hAnsi="Times New Roman" w:eastAsia="方正楷体_GBK" w:cs="Times New Roman"/>
          <w:sz w:val="32"/>
          <w:szCs w:val="32"/>
          <w:lang w:val="en-US" w:eastAsia="zh-CN"/>
        </w:rPr>
        <w:t>（三）财政绩效评价情况</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县财政局未委托第三方对我部门开展绩效评价。</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Times New Roman" w:hAnsi="Times New Roman" w:eastAsia="方正黑体_GBK" w:cs="Times New Roman"/>
          <w:sz w:val="32"/>
          <w:szCs w:val="32"/>
          <w:lang w:val="en-US" w:eastAsia="zh-CN" w:bidi="ar-SA"/>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w:t>
      </w:r>
      <w:r>
        <w:rPr>
          <w:rFonts w:hint="eastAsia" w:ascii="Times New Roman" w:hAnsi="Times New Roman" w:eastAsia="方正黑体_GBK" w:cs="Times New Roman"/>
          <w:sz w:val="32"/>
          <w:szCs w:val="32"/>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（一）财政拨款收入：</w:t>
      </w:r>
      <w:r>
        <w:rPr>
          <w:rFonts w:hint="eastAsia" w:ascii="Times New Roman" w:hAnsi="Times New Roman" w:eastAsia="方正仿宋_GBK" w:cs="Times New Roman"/>
          <w:sz w:val="32"/>
          <w:szCs w:val="32"/>
          <w:lang w:val="en-US" w:eastAsia="zh-CN" w:bidi="ar-SA"/>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（二）事业收入：</w:t>
      </w:r>
      <w:r>
        <w:rPr>
          <w:rFonts w:hint="eastAsia" w:ascii="Times New Roman" w:hAnsi="Times New Roman" w:eastAsia="方正仿宋_GBK" w:cs="Times New Roman"/>
          <w:sz w:val="32"/>
          <w:szCs w:val="32"/>
          <w:lang w:val="en-US" w:eastAsia="zh-CN" w:bidi="ar-SA"/>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（三）经营收入：</w:t>
      </w:r>
      <w:r>
        <w:rPr>
          <w:rFonts w:hint="eastAsia" w:ascii="Times New Roman" w:hAnsi="Times New Roman" w:eastAsia="方正仿宋_GBK" w:cs="Times New Roman"/>
          <w:sz w:val="32"/>
          <w:szCs w:val="32"/>
          <w:lang w:val="en-US" w:eastAsia="zh-CN" w:bidi="ar-SA"/>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（四）其他收入：</w:t>
      </w:r>
      <w:r>
        <w:rPr>
          <w:rFonts w:hint="eastAsia" w:ascii="Times New Roman" w:hAnsi="Times New Roman" w:eastAsia="方正仿宋_GBK" w:cs="Times New Roman"/>
          <w:sz w:val="32"/>
          <w:szCs w:val="32"/>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Times New Roman"/>
          <w:sz w:val="32"/>
          <w:szCs w:val="32"/>
          <w:lang w:val="en-US" w:eastAsia="zh-CN" w:bidi="ar-SA"/>
        </w:rPr>
      </w:pPr>
      <w:r>
        <w:rPr>
          <w:rFonts w:hint="eastAsia" w:ascii="Times New Roman" w:hAnsi="Times New Roman" w:eastAsia="方正楷体_GBK" w:cs="Times New Roman"/>
          <w:sz w:val="32"/>
          <w:szCs w:val="32"/>
          <w:lang w:val="en-US" w:eastAsia="zh-CN" w:bidi="ar-SA"/>
        </w:rPr>
        <w:t>（五）使用非财政拨款结余：</w:t>
      </w:r>
      <w:r>
        <w:rPr>
          <w:rFonts w:hint="eastAsia" w:ascii="Times New Roman" w:hAnsi="Times New Roman" w:eastAsia="方正仿宋_GBK" w:cs="Times New Roman"/>
          <w:sz w:val="32"/>
          <w:szCs w:val="32"/>
          <w:lang w:val="en-US" w:eastAsia="zh-CN" w:bidi="ar-SA"/>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（六）年初结转和结余：</w:t>
      </w:r>
      <w:r>
        <w:rPr>
          <w:rFonts w:hint="eastAsia" w:ascii="Times New Roman" w:hAnsi="Times New Roman" w:eastAsia="方正仿宋_GBK" w:cs="Times New Roman"/>
          <w:sz w:val="32"/>
          <w:szCs w:val="32"/>
          <w:lang w:val="en-US" w:eastAsia="zh-CN" w:bidi="ar-SA"/>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（七）结余分配：</w:t>
      </w:r>
      <w:r>
        <w:rPr>
          <w:rFonts w:hint="eastAsia" w:ascii="Times New Roman" w:hAnsi="Times New Roman" w:eastAsia="方正仿宋_GBK" w:cs="Times New Roman"/>
          <w:sz w:val="32"/>
          <w:szCs w:val="32"/>
          <w:lang w:val="en-US" w:eastAsia="zh-CN" w:bidi="ar-SA"/>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（八）年末结转和结余：</w:t>
      </w:r>
      <w:r>
        <w:rPr>
          <w:rFonts w:hint="eastAsia" w:ascii="Times New Roman" w:hAnsi="Times New Roman" w:eastAsia="方正仿宋_GBK" w:cs="Times New Roman"/>
          <w:sz w:val="32"/>
          <w:szCs w:val="32"/>
          <w:lang w:val="en-US" w:eastAsia="zh-CN" w:bidi="ar-SA"/>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（九）基本支出：</w:t>
      </w:r>
      <w:r>
        <w:rPr>
          <w:rFonts w:hint="eastAsia" w:ascii="Times New Roman" w:hAnsi="Times New Roman" w:eastAsia="方正仿宋_GBK" w:cs="Times New Roman"/>
          <w:sz w:val="32"/>
          <w:szCs w:val="32"/>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（十）项目支出：</w:t>
      </w:r>
      <w:r>
        <w:rPr>
          <w:rFonts w:hint="eastAsia" w:ascii="Times New Roman" w:hAnsi="Times New Roman" w:eastAsia="方正仿宋_GBK" w:cs="Times New Roman"/>
          <w:sz w:val="32"/>
          <w:szCs w:val="32"/>
          <w:lang w:val="en-US" w:eastAsia="zh-CN" w:bidi="ar-SA"/>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（十一）经营支出：</w:t>
      </w:r>
      <w:r>
        <w:rPr>
          <w:rFonts w:hint="eastAsia" w:ascii="方正仿宋_GBK" w:hAnsi="方正仿宋_GBK" w:eastAsia="方正仿宋_GBK" w:cs="方正仿宋_GBK"/>
          <w:kern w:val="0"/>
          <w:sz w:val="32"/>
          <w:szCs w:val="32"/>
          <w:shd w:val="clear" w:fill="FFFFFF"/>
        </w:rPr>
        <w:t>指</w:t>
      </w:r>
      <w:r>
        <w:rPr>
          <w:rFonts w:hint="eastAsia" w:ascii="Times New Roman" w:hAnsi="Times New Roman" w:eastAsia="方正仿宋_GBK" w:cs="Times New Roman"/>
          <w:sz w:val="32"/>
          <w:szCs w:val="32"/>
          <w:lang w:val="en-US" w:eastAsia="zh-CN" w:bidi="ar-SA"/>
        </w:rPr>
        <w:t>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（十二）“三公”经费：</w:t>
      </w:r>
      <w:r>
        <w:rPr>
          <w:rFonts w:hint="eastAsia" w:ascii="Times New Roman" w:hAnsi="Times New Roman" w:eastAsia="方正仿宋_GBK" w:cs="Times New Roman"/>
          <w:sz w:val="32"/>
          <w:szCs w:val="32"/>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Times New Roman"/>
          <w:sz w:val="32"/>
          <w:szCs w:val="32"/>
          <w:lang w:val="en-US" w:eastAsia="zh-CN" w:bidi="ar-SA"/>
        </w:rPr>
      </w:pPr>
      <w:r>
        <w:rPr>
          <w:rFonts w:hint="eastAsia" w:ascii="Times New Roman" w:hAnsi="Times New Roman" w:eastAsia="方正楷体_GBK" w:cs="Times New Roman"/>
          <w:sz w:val="32"/>
          <w:szCs w:val="32"/>
          <w:lang w:val="en-US" w:eastAsia="zh-CN" w:bidi="ar-SA"/>
        </w:rPr>
        <w:t>（十三）机关运行经费：</w:t>
      </w:r>
      <w:r>
        <w:rPr>
          <w:rFonts w:hint="eastAsia" w:ascii="Times New Roman" w:hAnsi="Times New Roman" w:eastAsia="方正仿宋_GBK" w:cs="Times New Roman"/>
          <w:sz w:val="32"/>
          <w:szCs w:val="32"/>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Times New Roman"/>
          <w:sz w:val="32"/>
          <w:szCs w:val="32"/>
          <w:lang w:val="en-US" w:eastAsia="zh-CN" w:bidi="ar-SA"/>
        </w:rPr>
      </w:pPr>
      <w:r>
        <w:rPr>
          <w:rFonts w:hint="eastAsia" w:ascii="Times New Roman" w:hAnsi="Times New Roman" w:eastAsia="方正楷体_GBK" w:cs="Times New Roman"/>
          <w:sz w:val="32"/>
          <w:szCs w:val="32"/>
          <w:lang w:val="en-US" w:eastAsia="zh-CN" w:bidi="ar-SA"/>
        </w:rPr>
        <w:t>（十四）工资福利支出（支出经济分类科目类级）：</w:t>
      </w:r>
      <w:r>
        <w:rPr>
          <w:rFonts w:hint="eastAsia" w:ascii="Times New Roman" w:hAnsi="Times New Roman" w:eastAsia="方正仿宋_GBK" w:cs="Times New Roman"/>
          <w:sz w:val="32"/>
          <w:szCs w:val="32"/>
          <w:lang w:val="en-US" w:eastAsia="zh-CN" w:bidi="ar-SA"/>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Times New Roman"/>
          <w:sz w:val="32"/>
          <w:szCs w:val="32"/>
          <w:lang w:val="en-US" w:eastAsia="zh-CN" w:bidi="ar-SA"/>
        </w:rPr>
      </w:pPr>
      <w:r>
        <w:rPr>
          <w:rFonts w:hint="eastAsia" w:ascii="Times New Roman" w:hAnsi="Times New Roman" w:eastAsia="方正楷体_GBK" w:cs="Times New Roman"/>
          <w:sz w:val="32"/>
          <w:szCs w:val="32"/>
          <w:lang w:val="en-US" w:eastAsia="zh-CN" w:bidi="ar-SA"/>
        </w:rPr>
        <w:t>（十五）商品和服务支出（支出经济分类科目类级）：</w:t>
      </w:r>
      <w:r>
        <w:rPr>
          <w:rFonts w:hint="eastAsia" w:ascii="Times New Roman" w:hAnsi="Times New Roman" w:eastAsia="方正仿宋_GBK" w:cs="Times New Roman"/>
          <w:sz w:val="32"/>
          <w:szCs w:val="32"/>
          <w:lang w:val="en-US" w:eastAsia="zh-CN" w:bidi="ar-SA"/>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（十六）对个人和家庭的补助（支出经济分类科目类级）：</w:t>
      </w:r>
      <w:r>
        <w:rPr>
          <w:rFonts w:hint="eastAsia" w:ascii="Times New Roman" w:hAnsi="Times New Roman" w:eastAsia="方正仿宋_GBK" w:cs="Times New Roman"/>
          <w:sz w:val="32"/>
          <w:szCs w:val="32"/>
          <w:lang w:val="en-US" w:eastAsia="zh-CN" w:bidi="ar-SA"/>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sz w:val="32"/>
          <w:szCs w:val="32"/>
          <w:lang w:val="en-US" w:eastAsia="zh-CN" w:bidi="ar-SA"/>
        </w:rPr>
        <w:t>（十七）其他资本性支出（支出经济分类科目类级）：</w:t>
      </w:r>
      <w:r>
        <w:rPr>
          <w:rFonts w:hint="eastAsia" w:ascii="Times New Roman" w:hAnsi="Times New Roman" w:eastAsia="方正仿宋_GBK" w:cs="Times New Roman"/>
          <w:sz w:val="32"/>
          <w:szCs w:val="32"/>
          <w:lang w:val="en-US" w:eastAsia="zh-CN" w:bidi="ar-SA"/>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七、决算公开联系方式及信息反馈渠道</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本单位决算公开信息反馈和联系方式：</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方正仿宋_GBK" w:hAnsi="方正仿宋_GBK" w:eastAsia="方正仿宋_GBK" w:cs="方正仿宋_GBK"/>
          <w:kern w:val="0"/>
          <w:sz w:val="32"/>
          <w:szCs w:val="32"/>
        </w:rPr>
      </w:pPr>
      <w:r>
        <w:rPr>
          <w:rFonts w:hint="default" w:ascii="Times New Roman" w:hAnsi="Times New Roman" w:eastAsia="方正仿宋_GBK" w:cs="Times New Roman"/>
          <w:sz w:val="32"/>
          <w:szCs w:val="32"/>
          <w:lang w:eastAsia="zh-CN"/>
        </w:rPr>
        <w:t>联系人：向佳希</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联系电话：</w:t>
      </w:r>
      <w:r>
        <w:rPr>
          <w:rFonts w:hint="default" w:ascii="Times New Roman" w:hAnsi="Times New Roman" w:eastAsia="方正仿宋_GBK" w:cs="Times New Roman"/>
          <w:sz w:val="32"/>
          <w:szCs w:val="32"/>
          <w:lang w:val="en-US" w:eastAsia="zh-CN"/>
        </w:rPr>
        <w:t>023-51515978</w:t>
      </w:r>
    </w:p>
    <w:p>
      <w:pPr>
        <w:pStyle w:val="9"/>
        <w:autoSpaceDE w:val="0"/>
        <w:spacing w:line="596" w:lineRule="exact"/>
        <w:ind w:firstLine="640"/>
        <w:jc w:val="both"/>
        <w:rPr>
          <w:rStyle w:val="8"/>
          <w:rFonts w:ascii="方正仿宋_GBK" w:hAnsi="方正仿宋_GBK" w:eastAsia="方正仿宋_GBK" w:cs="方正仿宋_GBK"/>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巫溪县民政局</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19,472.60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837.48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19,418.65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837.48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20,310.08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20,310.08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20,310.08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20,310.08</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巫溪县民政局</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20,310.08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20,310.08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19,418.65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19,418.65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1,224.71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1,224.71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行政区划和地名管理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其他民政管理事务支出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929.60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929.60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145.18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145.18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社会福利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2,217.49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2,217.49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2081001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儿童福利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395.91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395.91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2081002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老年福利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777.37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777.37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2081004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殡葬</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2081006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养老服务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550.29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550.29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2081099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其他社会福利支出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253.91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253.91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残疾人事业</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残疾人生活和护理补贴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20819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最低生活保障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10,058.13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10,058.13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2081901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城市最低生活保障金支出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1,499.19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1,499.19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2081902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农村最低生活保障金支出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8,558.95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8,558.95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2082002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流浪乞讨人员救助支出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特困人员救助供养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4,250.97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4,250.97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农村特困人员救助供养支出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4,250.97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4,250.97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837.48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837.48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837.48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837.48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2296002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用于社会福利的彩票公益金支出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690.97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690.97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2296006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用于残疾人事业的彩票公益金支出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2296099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用于其他社会公益事业的彩票公益金支出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巫溪县民政局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20,310.08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610.91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19,699.17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19,418.65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18,861.69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1,224.71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422.52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802.19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行政区划和地名管理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其他民政管理事务支出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929.60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211.76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717.83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145.18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141.84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社会福利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2,217.49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2,217.49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2081001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儿童福利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395.91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395.91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2081002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老年福利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777.37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777.37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2081004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殡葬</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2081006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养老服务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550.29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550.29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2081099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其他社会福利支出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253.91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253.91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残疾人事业</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残疾人生活和护理补贴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20819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最低生活保障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10,058.13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10,058.13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2081901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城市最低生活保障金支出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1,499.19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1,499.19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2081902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农村最低生活保障金支出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8,558.95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8,558.95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2082002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流浪乞讨人员救助支出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特困人员救助供养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4,250.97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4,250.97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农村特困人员救助供养支出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4,250.97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4,250.97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2296002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用于社会福利的彩票公益金支出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690.97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690.97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2296006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用于残疾人事业的彩票公益金支出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2296099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用于其他社会公益事业的彩票公益金支出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巫溪县民政局</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19,472.60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837.48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19,418.65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19,418.65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837.48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837.48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20,310.08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20,310.08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19,472.60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837.48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20,310.08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20,310.08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19,472.60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837.48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巫溪县民政局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19,472.60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610.91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18,861.69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19,472.60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610.91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18,861.69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19,418.65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556.97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18,861.69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19,418.65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556.97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18,861.69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1,224.71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422.52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802.19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1,224.71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422.52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802.19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210.75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210.75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行政区划和地名管理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84.36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84.36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其他民政管理事务支出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929.60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211.76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717.83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929.60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211.76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717.83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131.11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131.11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131.11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131.11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37.30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37.30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25.29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25.29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25.29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25.29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145.18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141.84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145.18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141.84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141.84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141.84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社会福利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2,217.49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2,217.49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2,217.49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2,217.49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2081001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儿童福利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395.91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395.91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395.91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395.91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2081002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老年福利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777.37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777.37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777.37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777.37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2081004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殡葬</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2081006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养老服务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550.29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550.29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550.29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550.29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2081099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其他社会福利支出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253.91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253.91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253.91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253.91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残疾人事业</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1,200.48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1,200.48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2081107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残疾人生活和护理补贴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1,200.48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1,200.48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20819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最低生活保障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10,058.13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10,058.13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10,058.13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10,058.13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2081901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城市最低生活保障金支出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1,499.19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1,499.19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1,499.19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1,499.19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2081902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农村最低生活保障金支出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8,558.95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8,558.95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8,558.95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8,558.95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59.53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59.53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59.53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59.53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55.17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55.17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55.17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55.17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流浪乞讨人员救助支出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特困人员救助供养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4,250.97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4,250.97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4,250.97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4,250.97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农村特困人员救助供养支出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4,250.97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4,250.97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4,250.97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4,250.97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131.06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131.06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131.06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131.06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131.06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131.06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131.06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131.06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巫溪县民政局</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452.42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81.07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5.56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116.38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24.08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57.10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5.56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55.38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105.70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37.30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25.29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8.58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23.32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30.58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71.86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64.67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11.75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524.28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86.63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巫溪县民政局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837.48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837.48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837.48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837.48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837.48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837.48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837.48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837.48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837.48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837.48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837.48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837.48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2296002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用于社会福利的彩票公益金支出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690.97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690.97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690.97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690.97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2296006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用于残疾人事业的彩票公益金支出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2296099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用于其他社会公益事业的彩票公益金支出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130.52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130.52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巫溪县民政局</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default" w:ascii="Times New Roman" w:hAnsi="Times New Roman" w:eastAsia="方正仿宋_GBK" w:cs="Times New Roman"/>
          <w:sz w:val="32"/>
          <w:szCs w:val="32"/>
          <w:lang w:eastAsia="zh-CN"/>
        </w:rPr>
        <w:t>备注：本单位无该项收支，故此表无数据</w:t>
      </w: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巫溪县民政局</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53.42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16.20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11.50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11.50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77</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487.97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399</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487.97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487.97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28.41</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7.18</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656028"/>
    <w:rsid w:val="0E9478E1"/>
    <w:rsid w:val="0F836721"/>
    <w:rsid w:val="103645A3"/>
    <w:rsid w:val="107B59E5"/>
    <w:rsid w:val="10AA219D"/>
    <w:rsid w:val="11003CB0"/>
    <w:rsid w:val="11124E18"/>
    <w:rsid w:val="111445C7"/>
    <w:rsid w:val="1158083A"/>
    <w:rsid w:val="117C63FE"/>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D8332EB"/>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0B7187"/>
    <w:rsid w:val="411B6CE5"/>
    <w:rsid w:val="412070D7"/>
    <w:rsid w:val="41314E40"/>
    <w:rsid w:val="415C674B"/>
    <w:rsid w:val="426C1EA8"/>
    <w:rsid w:val="42E86A87"/>
    <w:rsid w:val="43136432"/>
    <w:rsid w:val="443A3B12"/>
    <w:rsid w:val="44487B36"/>
    <w:rsid w:val="44EF6BE8"/>
    <w:rsid w:val="45A30364"/>
    <w:rsid w:val="465B470D"/>
    <w:rsid w:val="469D6AD4"/>
    <w:rsid w:val="46C027C2"/>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7B1B6F"/>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BBC47D"/>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7EF924E"/>
    <w:rsid w:val="7875383E"/>
    <w:rsid w:val="796D60A4"/>
    <w:rsid w:val="79A031D5"/>
    <w:rsid w:val="79A52681"/>
    <w:rsid w:val="7A1525F7"/>
    <w:rsid w:val="7A3E6CB6"/>
    <w:rsid w:val="7A99799F"/>
    <w:rsid w:val="7B420052"/>
    <w:rsid w:val="7B7D43A1"/>
    <w:rsid w:val="7BD06A28"/>
    <w:rsid w:val="7BF766D4"/>
    <w:rsid w:val="7C1E4CD7"/>
    <w:rsid w:val="7C3A7C0B"/>
    <w:rsid w:val="7C5248E4"/>
    <w:rsid w:val="7C566698"/>
    <w:rsid w:val="7CE56AF6"/>
    <w:rsid w:val="7CF02E5B"/>
    <w:rsid w:val="7D213FB2"/>
    <w:rsid w:val="7FF723E4"/>
    <w:rsid w:val="9EBD14A2"/>
    <w:rsid w:val="DCFE29D8"/>
    <w:rsid w:val="EDB70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7711</Words>
  <Characters>21008</Characters>
  <Lines>161</Lines>
  <Paragraphs>45</Paragraphs>
  <TotalTime>167</TotalTime>
  <ScaleCrop>false</ScaleCrop>
  <LinksUpToDate>false</LinksUpToDate>
  <CharactersWithSpaces>21460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mzj</cp:lastModifiedBy>
  <dcterms:modified xsi:type="dcterms:W3CDTF">2025-09-22T11:05:45Z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C5BD5F0625CB4063A2AF428359372995_13</vt:lpwstr>
  </property>
  <property fmtid="{D5CDD505-2E9C-101B-9397-08002B2CF9AE}" pid="4" name="KSOTemplateDocerSaveRecord">
    <vt:lpwstr>eyJoZGlkIjoiMDU3MWJmYTkyOWUwYmVjYzNjYzA0MjQzM2QyZGU1MzMifQ==</vt:lpwstr>
  </property>
</Properties>
</file>