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both"/>
        <w:textAlignment w:val="auto"/>
        <w:rPr>
          <w:rStyle w:val="7"/>
          <w:rFonts w:hint="eastAsia" w:ascii="方正黑体_GBK" w:hAnsi="方正黑体_GBK" w:eastAsia="方正黑体_GBK" w:cs="方正黑体_GBK"/>
          <w:sz w:val="32"/>
          <w:szCs w:val="32"/>
          <w:shd w:val="clear" w:color="auto" w:fill="FFFFFF"/>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重庆市巫溪县人力资源和社会保障局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方正小标宋_GBK" w:hAnsi="方正小标宋_GBK" w:eastAsia="方正小标宋_GBK" w:cs="方正小标宋_GBK"/>
          <w:sz w:val="44"/>
          <w:szCs w:val="44"/>
          <w:shd w:val="clear" w:color="auto" w:fill="FFFFFF"/>
        </w:rPr>
      </w:pPr>
      <w:bookmarkStart w:id="0" w:name="_GoBack"/>
      <w:bookmarkEnd w:id="0"/>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color="auto" w:fill="FFFFFF"/>
        </w:rPr>
        <w:t>一、部门基本情况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（一）职能职责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1.贯彻执行人力资源和社会保障法律、法规、规章和方针政策，拟订相关发展规划、政策并组织实施和监督检查。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2.拟订人力资源市场发展规划，贯彻落实人力资源服务业发展、人力资源流动政策，促进人力资源合理流动、有效配置。综合管理人力资源市场和人力资源开发培训、流动调配等工作。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3.负责促进就业工作，拟订统筹城乡的就业发展规划，完善公共就业创业服务体系，统筹建立面向城乡劳动者的职业技能培训制度，贯彻落实就业援助制度和高校毕业生就业政策。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4.统筹推进建立覆盖城乡的多层次社会保障体系。贯彻养老、失业、工伤等社会保险及其补充保险政策和地方标准。贯彻养老、失业、工伤保险关系转续办法。贯彻养老、失业、工伤等社会保险及其补充保险基金管理和监督制度，承担行政监督责任。会同相关部门编制相关社会保险基金决算，会同有关部门实施全民参保计划。</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5.负责就业、失业和相关社会保险基金预测预警和信息引导，拟订应对预案，实施预防、调节和控制，保持就业形势稳定和相关社会保险基金总体收支平衡。</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贯彻落实劳动人事争议调解仲裁制度和劳动关系政策，完善劳动关系协商协调机制，贯彻职工工作时间、休息休假和假期制度，贯彻消除非法使用童工政策和女工、未成年工的特殊劳动保护政策。组织实施劳动保障监察，协调劳动者维权工作，依法查处重大案件。</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7.参与拟订全县人才队伍建设的总体规划等工作，负责县级有关重点人才项目的组织实施和监督检查。参与拟订人才引进政策。</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专业技术人才队伍和高技能人才队伍建设。牵头推进深化职称制度改革工作，负责专业技术人员管理和继续教育工作，负责高层次专业技术人才选拔和培养工作。负责技能人才培养、评价、使用和激励工作，贯彻执行职业资格制度和职业技能多元化评价政策。参与紧缺优秀人才的引进工作。负责专家、高层次人才服务工作。</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9.会同相关部门指导推进事业单位人事制度改革，按照管理权限负责规范事业单位岗位设置、公开招聘、聘用合同、人员交流等人事综合管理工作，组织实施事业单位人员和机关工勤人员管理政策。</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10.贯彻执行全市表彰奖励政策，按规定开展表彰奖励工作。</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11.贯彻执行机关事业单位人员工资收入分配、津补贴政策和企业职工工资收入分配的调控政策和措施，组织实施机关企事业单位人员福利、工（公）伤和离退休政策。</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12.会同有关部门贯彻落实农民工工作综合性政策和规划，拟订相关配套政策并组织实施，协调解决重点难点问题，维护农民工合法权益。</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13.负责全县人力资源和社会保障领域对外交流与合作。</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方正仿宋_GBK" w:cs="Times New Roman"/>
          <w:i w:val="0"/>
          <w:iCs w:val="0"/>
          <w:caps w:val="0"/>
          <w:color w:val="333333"/>
          <w:spacing w:val="0"/>
          <w:szCs w:val="32"/>
        </w:rPr>
      </w:pPr>
      <w:r>
        <w:rPr>
          <w:rFonts w:hint="default" w:ascii="Times New Roman" w:hAnsi="Times New Roman" w:eastAsia="方正仿宋_GBK" w:cs="Times New Roman"/>
          <w:sz w:val="32"/>
          <w:szCs w:val="32"/>
        </w:rPr>
        <w:t>14.负责机关和所属单位的党建工作</w:t>
      </w:r>
      <w:r>
        <w:rPr>
          <w:rFonts w:hint="default" w:ascii="Times New Roman" w:hAnsi="Times New Roman" w:eastAsia="方正仿宋_GBK" w:cs="Times New Roman"/>
          <w:i w:val="0"/>
          <w:iCs w:val="0"/>
          <w:caps w:val="0"/>
          <w:color w:val="333333"/>
          <w:spacing w:val="0"/>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15.完成县委、县政府交办的其他任务。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16.职能转变。深入推进简政放权、放管结合、优化服务改革，按规定减少行政审批事项，规范和优化对外办理事项，减少职业资格许可和认定等审批事项，贯彻执行国家职业资格目录清单，加强事中事后监管，创新就业和社会保障等公共服务方式，拟订信息规划，加强信息共享，提高公共服务水平。将巫溪县人力资源和社会保障局所属事业单位承担的行政职能划归巫溪县人力资源和社会保障局，除执法队伍承担具体执法工作外，所属事业单位不再承担行政职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eastAsia" w:ascii="方正楷体_GBK" w:hAnsi="方正楷体_GBK" w:eastAsia="方正楷体_GBK" w:cs="方正楷体_GBK"/>
          <w:b w:val="0"/>
          <w:bCs/>
          <w:sz w:val="32"/>
          <w:szCs w:val="32"/>
        </w:rPr>
      </w:pPr>
      <w:r>
        <w:rPr>
          <w:rStyle w:val="7"/>
          <w:rFonts w:hint="eastAsia" w:ascii="方正楷体_GBK" w:hAnsi="方正楷体_GBK" w:eastAsia="方正楷体_GBK" w:cs="方正楷体_GBK"/>
          <w:b w:val="0"/>
          <w:bCs/>
          <w:sz w:val="32"/>
          <w:szCs w:val="32"/>
          <w:shd w:val="clear" w:color="auto" w:fill="FFFFFF"/>
        </w:rPr>
        <w:t>（二）机构设置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本单位内设7个科室：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办公室、事业单位人事管理科、工资福利科、社会保险科、法规仲裁科（行政审批科）、劳动监察科（基金监管科）、就业促进科。</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eastAsia" w:ascii="方正黑体_GBK" w:hAnsi="方正黑体_GBK" w:eastAsia="方正黑体_GBK" w:cs="方正黑体_GBK"/>
          <w:b w:val="0"/>
          <w:bCs/>
          <w:sz w:val="32"/>
          <w:szCs w:val="32"/>
        </w:rPr>
      </w:pPr>
      <w:r>
        <w:rPr>
          <w:rStyle w:val="7"/>
          <w:rFonts w:hint="eastAsia" w:ascii="方正黑体_GBK" w:hAnsi="方正黑体_GBK" w:eastAsia="方正黑体_GBK" w:cs="方正黑体_GBK"/>
          <w:b w:val="0"/>
          <w:bCs/>
          <w:sz w:val="32"/>
          <w:szCs w:val="32"/>
          <w:shd w:val="clear" w:color="auto" w:fill="FFFFFF"/>
        </w:rPr>
        <w:t>二、部门决算情况说明</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2023年度收入总计1206.00万元，支出总计</w:t>
      </w:r>
      <w:r>
        <w:rPr>
          <w:rFonts w:hint="default" w:ascii="Times New Roman" w:hAnsi="Times New Roman" w:eastAsia="方正仿宋_GBK" w:cs="Times New Roman"/>
          <w:sz w:val="32"/>
          <w:szCs w:val="32"/>
        </w:rPr>
        <w:t>1206.00</w:t>
      </w:r>
      <w:r>
        <w:rPr>
          <w:rFonts w:hint="default" w:ascii="Times New Roman" w:hAnsi="Times New Roman" w:eastAsia="方正仿宋_GBK" w:cs="Times New Roman"/>
          <w:sz w:val="32"/>
          <w:szCs w:val="32"/>
          <w:shd w:val="clear" w:color="auto" w:fill="FFFFFF"/>
        </w:rPr>
        <w:t>万元。收支较上年决算数增加132.85万元，增长12.38%，主要原因是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2023年度收入合计1206.00万元，较上年决算数增加132.85万元，增长12.38%，主要原因是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1206.00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1206.00</w:t>
      </w:r>
      <w:r>
        <w:rPr>
          <w:rFonts w:hint="default" w:ascii="Times New Roman" w:hAnsi="Times New Roman" w:eastAsia="方正仿宋_GBK" w:cs="Times New Roman"/>
          <w:sz w:val="32"/>
          <w:szCs w:val="32"/>
          <w:shd w:val="clear" w:color="auto" w:fill="FFFFFF"/>
        </w:rPr>
        <w:t>万元，较上年决算数增加132.85万元，增长12.38%，主要原因是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832.90</w:t>
      </w:r>
      <w:r>
        <w:rPr>
          <w:rFonts w:hint="default" w:ascii="Times New Roman" w:hAnsi="Times New Roman" w:eastAsia="方正仿宋_GBK" w:cs="Times New Roman"/>
          <w:sz w:val="32"/>
          <w:szCs w:val="32"/>
          <w:shd w:val="clear" w:color="auto" w:fill="FFFFFF"/>
        </w:rPr>
        <w:t>万元，占69.06%；项目支出</w:t>
      </w:r>
      <w:r>
        <w:rPr>
          <w:rFonts w:hint="default" w:ascii="Times New Roman" w:hAnsi="Times New Roman" w:eastAsia="方正仿宋_GBK" w:cs="Times New Roman"/>
          <w:sz w:val="32"/>
          <w:szCs w:val="32"/>
        </w:rPr>
        <w:t>373.10</w:t>
      </w:r>
      <w:r>
        <w:rPr>
          <w:rFonts w:hint="default" w:ascii="Times New Roman" w:hAnsi="Times New Roman" w:eastAsia="方正仿宋_GBK" w:cs="Times New Roman"/>
          <w:sz w:val="32"/>
          <w:szCs w:val="32"/>
          <w:shd w:val="clear" w:color="auto" w:fill="FFFFFF"/>
        </w:rPr>
        <w:t>万元，占30.94%；经营支出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年部门预算执行结余实行零结转。</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2023年度财政拨款收、支总计1206.00万元。与2022年相比，财政拨款收、支总计各增加132.85万元，增长12.38%。主要原因是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1206.00</w:t>
      </w:r>
      <w:r>
        <w:rPr>
          <w:rFonts w:hint="default" w:ascii="Times New Roman" w:hAnsi="Times New Roman" w:eastAsia="方正仿宋_GBK" w:cs="Times New Roman"/>
          <w:sz w:val="32"/>
          <w:szCs w:val="32"/>
          <w:shd w:val="clear" w:color="auto" w:fill="FFFFFF"/>
        </w:rPr>
        <w:t>万元，较上年决算数增加132.85万元，增长12.38%。主要原因是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较年初预算数增加160.69万元，增长15.37%。主要原因是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1206.00</w:t>
      </w:r>
      <w:r>
        <w:rPr>
          <w:rFonts w:hint="default" w:ascii="Times New Roman" w:hAnsi="Times New Roman" w:eastAsia="方正仿宋_GBK" w:cs="Times New Roman"/>
          <w:sz w:val="32"/>
          <w:szCs w:val="32"/>
          <w:shd w:val="clear" w:color="auto" w:fill="FFFFFF"/>
        </w:rPr>
        <w:t>万元，较上年决算数增加132.85万元，增长12.38%。主要原因是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较年初预算数增加160.69万元，增长15.37%。主要原因是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万元，主要原因是</w:t>
      </w: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年部门预算执行结余实行零结转。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w:t>
      </w:r>
      <w:r>
        <w:rPr>
          <w:rFonts w:ascii="方正仿宋_GBK" w:hAnsi="方正仿宋_GBK" w:eastAsia="方正仿宋_GBK" w:cs="方正仿宋_GBK"/>
          <w:sz w:val="32"/>
          <w:szCs w:val="32"/>
          <w:shd w:val="clear" w:color="auto" w:fill="FFFFFF"/>
        </w:rPr>
        <w:t>算财政拨款支出主</w:t>
      </w:r>
      <w:r>
        <w:rPr>
          <w:rFonts w:hint="default" w:ascii="Times New Roman" w:hAnsi="Times New Roman" w:eastAsia="方正仿宋_GBK" w:cs="Times New Roman"/>
          <w:sz w:val="32"/>
          <w:szCs w:val="32"/>
          <w:shd w:val="clear" w:color="auto" w:fill="FFFFFF"/>
        </w:rPr>
        <w:t>要用于以下几个方面：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w:t>
      </w:r>
      <w:r>
        <w:rPr>
          <w:rFonts w:hint="eastAsia" w:ascii="方正仿宋_GBK" w:hAnsi="方正仿宋_GBK" w:eastAsia="方正仿宋_GBK" w:cs="方正仿宋_GBK"/>
          <w:sz w:val="32"/>
          <w:szCs w:val="32"/>
          <w:shd w:val="clear" w:color="auto" w:fill="FFFFFF"/>
        </w:rPr>
        <w:t>会保障</w:t>
      </w:r>
      <w:r>
        <w:rPr>
          <w:rFonts w:hint="default" w:ascii="Times New Roman" w:hAnsi="Times New Roman" w:eastAsia="方正仿宋_GBK" w:cs="Times New Roman"/>
          <w:sz w:val="32"/>
          <w:szCs w:val="32"/>
          <w:shd w:val="clear" w:color="auto" w:fill="FFFFFF"/>
        </w:rPr>
        <w:t>与就业支出</w:t>
      </w:r>
      <w:r>
        <w:rPr>
          <w:rFonts w:hint="default" w:ascii="Times New Roman" w:hAnsi="Times New Roman" w:eastAsia="方正仿宋_GBK" w:cs="Times New Roman"/>
          <w:sz w:val="32"/>
          <w:szCs w:val="32"/>
        </w:rPr>
        <w:t>971.21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80.53</w:t>
      </w:r>
      <w:r>
        <w:rPr>
          <w:rFonts w:hint="default" w:ascii="Times New Roman" w:hAnsi="Times New Roman" w:eastAsia="方正仿宋_GBK" w:cs="Times New Roman"/>
          <w:sz w:val="32"/>
          <w:szCs w:val="32"/>
          <w:shd w:val="clear" w:color="auto" w:fill="FFFFFF"/>
        </w:rPr>
        <w:t>%，较年初预算数增加160.69万元，增长19.83%，主要原因是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29.82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2.47</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2022年度工资为预算基数，故2023年无变化</w:t>
      </w:r>
      <w:r>
        <w:rPr>
          <w:rFonts w:hint="default" w:ascii="Times New Roman" w:hAnsi="Times New Roman" w:eastAsia="方正仿宋_GBK" w:cs="Times New Roman"/>
          <w:i w:val="0"/>
          <w:iCs w:val="0"/>
          <w:caps w:val="0"/>
          <w:color w:val="333333"/>
          <w:spacing w:val="0"/>
          <w:sz w:val="32"/>
          <w:szCs w:val="32"/>
          <w:shd w:val="clear" w:fill="FFFFFF"/>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150.00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12.44</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2022年度工资为预算基数，故2023年无变化</w:t>
      </w:r>
      <w:r>
        <w:rPr>
          <w:rFonts w:hint="default" w:ascii="Times New Roman" w:hAnsi="Times New Roman" w:eastAsia="方正仿宋_GBK" w:cs="Times New Roman"/>
          <w:i w:val="0"/>
          <w:iCs w:val="0"/>
          <w:caps w:val="0"/>
          <w:color w:val="333333"/>
          <w:spacing w:val="0"/>
          <w:sz w:val="32"/>
          <w:szCs w:val="32"/>
          <w:shd w:val="clear" w:fill="FFFFFF"/>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住房保障支出54.97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4.56</w:t>
      </w:r>
      <w:r>
        <w:rPr>
          <w:rFonts w:hint="default" w:ascii="Times New Roman" w:hAnsi="Times New Roman" w:eastAsia="方正仿宋_GBK" w:cs="Times New Roman"/>
          <w:sz w:val="32"/>
          <w:szCs w:val="32"/>
          <w:shd w:val="clear" w:color="auto" w:fill="FFFFFF"/>
        </w:rPr>
        <w:t>%，较年初预算数无增减，主要原因是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以</w:t>
      </w:r>
      <w:r>
        <w:rPr>
          <w:rFonts w:hint="default" w:ascii="Times New Roman" w:hAnsi="Times New Roman" w:eastAsia="方正仿宋_GBK" w:cs="Times New Roman"/>
          <w:i w:val="0"/>
          <w:iCs w:val="0"/>
          <w:caps w:val="0"/>
          <w:color w:val="333333"/>
          <w:spacing w:val="0"/>
          <w:sz w:val="32"/>
          <w:szCs w:val="32"/>
          <w:shd w:val="clear" w:fill="FFFFFF"/>
          <w:lang w:val="en-US" w:eastAsia="zh-CN"/>
        </w:rPr>
        <w:t>2022年度工资为预算基数，故2023年无变化</w:t>
      </w:r>
      <w:r>
        <w:rPr>
          <w:rFonts w:hint="default" w:ascii="Times New Roman" w:hAnsi="Times New Roman" w:eastAsia="方正仿宋_GBK" w:cs="Times New Roman"/>
          <w:i w:val="0"/>
          <w:iCs w:val="0"/>
          <w:caps w:val="0"/>
          <w:color w:val="333333"/>
          <w:spacing w:val="0"/>
          <w:sz w:val="32"/>
          <w:szCs w:val="32"/>
          <w:shd w:val="clear" w:fill="FFFFFF"/>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832.90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721.15</w:t>
      </w:r>
      <w:r>
        <w:rPr>
          <w:rFonts w:hint="default" w:ascii="Times New Roman" w:hAnsi="Times New Roman" w:eastAsia="方正仿宋_GBK" w:cs="Times New Roman"/>
          <w:sz w:val="32"/>
          <w:szCs w:val="32"/>
          <w:shd w:val="clear" w:color="auto" w:fill="FFFFFF"/>
        </w:rPr>
        <w:t>万元，较上年决算数增加15.06万元，增长2.13%，主要原因是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人员变动及调资等因素</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333333"/>
          <w:spacing w:val="0"/>
          <w:sz w:val="32"/>
          <w:szCs w:val="32"/>
          <w:shd w:val="clear" w:fill="FFFFFF"/>
        </w:rPr>
        <w:t>基本工资、津贴补贴、奖金、绩效工资</w:t>
      </w:r>
      <w:r>
        <w:rPr>
          <w:rFonts w:hint="default" w:ascii="Times New Roman" w:hAnsi="Times New Roman" w:eastAsia="方正仿宋_GBK" w:cs="Times New Roman"/>
          <w:i w:val="0"/>
          <w:iCs w:val="0"/>
          <w:caps w:val="0"/>
          <w:color w:val="333333"/>
          <w:spacing w:val="0"/>
          <w:sz w:val="32"/>
          <w:szCs w:val="32"/>
          <w:shd w:val="clear" w:fill="FFFFFF"/>
          <w:lang w:eastAsia="zh-CN"/>
        </w:rPr>
        <w:t>、社会保险缴费</w:t>
      </w:r>
      <w:r>
        <w:rPr>
          <w:rFonts w:hint="default" w:ascii="Times New Roman" w:hAnsi="Times New Roman" w:eastAsia="方正仿宋_GBK" w:cs="Times New Roman"/>
          <w:i w:val="0"/>
          <w:iCs w:val="0"/>
          <w:caps w:val="0"/>
          <w:color w:val="333333"/>
          <w:spacing w:val="0"/>
          <w:sz w:val="32"/>
          <w:szCs w:val="32"/>
          <w:shd w:val="clear" w:fill="FFFFFF"/>
        </w:rPr>
        <w:t>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111.74</w:t>
      </w:r>
      <w:r>
        <w:rPr>
          <w:rFonts w:hint="default" w:ascii="Times New Roman" w:hAnsi="Times New Roman" w:eastAsia="方正仿宋_GBK" w:cs="Times New Roman"/>
          <w:sz w:val="32"/>
          <w:szCs w:val="32"/>
          <w:shd w:val="clear" w:color="auto" w:fill="FFFFFF"/>
        </w:rPr>
        <w:t>万元，较上年决算数增加12.68万元，增长12.80%，主要原因是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增加了智慧人社建设、劳动监察执法工作经费</w:t>
      </w:r>
      <w:r>
        <w:rPr>
          <w:rFonts w:hint="default" w:ascii="Times New Roman" w:hAnsi="Times New Roman" w:eastAsia="方正仿宋_GBK" w:cs="Times New Roman"/>
          <w:i w:val="0"/>
          <w:iCs w:val="0"/>
          <w:caps w:val="0"/>
          <w:color w:val="333333"/>
          <w:spacing w:val="0"/>
          <w:sz w:val="32"/>
          <w:szCs w:val="32"/>
          <w:shd w:val="clear" w:fill="FFFFFF"/>
        </w:rPr>
        <w:t>等项目收入和支出。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i w:val="0"/>
          <w:iCs w:val="0"/>
          <w:caps w:val="0"/>
          <w:color w:val="333333"/>
          <w:spacing w:val="0"/>
          <w:sz w:val="32"/>
          <w:szCs w:val="32"/>
          <w:shd w:val="clear" w:fill="FFFFFF"/>
        </w:rPr>
        <w:t>办公费、印刷费、咨询费、水电费、差旅费、劳务费、公务接待费、邮电费等。</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（五）政府性基金预算收支决算情况说明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US" w:eastAsia="zh-CN"/>
        </w:rPr>
        <w:t>2023年度无政府性基金预算财政拨款收支。</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US" w:eastAsia="zh-CN"/>
        </w:rPr>
        <w:t>2023年度无国有资本经营预算财政拨款支出。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三、“三公”经费情况说明</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15.44</w:t>
      </w:r>
      <w:r>
        <w:rPr>
          <w:rFonts w:hint="default" w:ascii="Times New Roman" w:hAnsi="Times New Roman" w:eastAsia="方正仿宋_GBK" w:cs="Times New Roman"/>
          <w:sz w:val="32"/>
          <w:szCs w:val="32"/>
          <w:shd w:val="clear" w:color="auto" w:fill="FFFFFF"/>
        </w:rPr>
        <w:t>万元，较年初预算数减少4.56万元，下降22.80%，主要原因是</w:t>
      </w:r>
      <w:r>
        <w:rPr>
          <w:rFonts w:hint="default" w:ascii="Times New Roman" w:hAnsi="Times New Roman" w:eastAsia="方正仿宋_GBK" w:cs="Times New Roman"/>
          <w:i w:val="0"/>
          <w:iCs w:val="0"/>
          <w:caps w:val="0"/>
          <w:color w:val="333333"/>
          <w:spacing w:val="0"/>
          <w:sz w:val="32"/>
          <w:szCs w:val="32"/>
          <w:shd w:val="clear" w:fill="FFFFFF"/>
        </w:rPr>
        <w:t>按照要求厉行节约，严格控制“三公”经费的支出，减少</w:t>
      </w:r>
      <w:r>
        <w:rPr>
          <w:rFonts w:hint="default" w:ascii="Times New Roman" w:hAnsi="Times New Roman" w:eastAsia="方正仿宋_GBK" w:cs="Times New Roman"/>
          <w:i w:val="0"/>
          <w:iCs w:val="0"/>
          <w:caps w:val="0"/>
          <w:color w:val="333333"/>
          <w:spacing w:val="0"/>
          <w:sz w:val="32"/>
          <w:szCs w:val="32"/>
          <w:shd w:val="clear" w:fill="FFFFFF"/>
          <w:lang w:eastAsia="zh-CN"/>
        </w:rPr>
        <w:t>公务用车、</w:t>
      </w:r>
      <w:r>
        <w:rPr>
          <w:rFonts w:hint="default" w:ascii="Times New Roman" w:hAnsi="Times New Roman" w:eastAsia="方正仿宋_GBK" w:cs="Times New Roman"/>
          <w:i w:val="0"/>
          <w:iCs w:val="0"/>
          <w:caps w:val="0"/>
          <w:color w:val="333333"/>
          <w:spacing w:val="0"/>
          <w:sz w:val="32"/>
          <w:szCs w:val="32"/>
          <w:shd w:val="clear" w:fill="FFFFFF"/>
        </w:rPr>
        <w:t>公务接待费及陪餐人数。</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i w:val="0"/>
          <w:iCs w:val="0"/>
          <w:caps w:val="0"/>
          <w:color w:val="333333"/>
          <w:spacing w:val="0"/>
          <w:sz w:val="32"/>
          <w:szCs w:val="32"/>
          <w:shd w:val="clear" w:fill="FFFFFF"/>
        </w:rPr>
        <w:t>一是认真贯彻落实中央八项规定精神，按照只减不增的要求从严控制“三公”经费，全年实际支出较预算和决算</w:t>
      </w:r>
      <w:r>
        <w:rPr>
          <w:rFonts w:hint="default" w:ascii="Times New Roman" w:hAnsi="Times New Roman" w:eastAsia="方正仿宋_GBK" w:cs="Times New Roman"/>
          <w:i w:val="0"/>
          <w:iCs w:val="0"/>
          <w:caps w:val="0"/>
          <w:color w:val="333333"/>
          <w:spacing w:val="0"/>
          <w:sz w:val="32"/>
          <w:szCs w:val="32"/>
          <w:shd w:val="clear" w:fill="FFFFFF"/>
          <w:lang w:eastAsia="zh-CN"/>
        </w:rPr>
        <w:t>持平</w:t>
      </w:r>
      <w:r>
        <w:rPr>
          <w:rFonts w:hint="default" w:ascii="Times New Roman" w:hAnsi="Times New Roman" w:eastAsia="方正仿宋_GBK" w:cs="Times New Roman"/>
          <w:i w:val="0"/>
          <w:iCs w:val="0"/>
          <w:caps w:val="0"/>
          <w:color w:val="333333"/>
          <w:spacing w:val="0"/>
          <w:sz w:val="32"/>
          <w:szCs w:val="32"/>
          <w:shd w:val="clear" w:fill="FFFFFF"/>
        </w:rPr>
        <w:t>。二是严格落实公车使用规定，公车运行维护成本下降。三是强化公务接待支出管理，严格遵守公务接待开支范围和开支标准，严格控制陪餐人数，对应由接待对象承担的费用一律由接待对象自行支付，公务接待费</w:t>
      </w:r>
      <w:r>
        <w:rPr>
          <w:rFonts w:hint="default" w:ascii="Times New Roman" w:hAnsi="Times New Roman" w:eastAsia="方正仿宋_GBK" w:cs="Times New Roman"/>
          <w:i w:val="0"/>
          <w:iCs w:val="0"/>
          <w:caps w:val="0"/>
          <w:color w:val="333333"/>
          <w:spacing w:val="0"/>
          <w:sz w:val="32"/>
          <w:szCs w:val="32"/>
          <w:shd w:val="clear" w:fill="FFFFFF"/>
          <w:lang w:eastAsia="zh-CN"/>
        </w:rPr>
        <w:t>持平</w:t>
      </w:r>
      <w:r>
        <w:rPr>
          <w:rFonts w:hint="default" w:ascii="Times New Roman" w:hAnsi="Times New Roman" w:eastAsia="方正仿宋_GBK" w:cs="Times New Roman"/>
          <w:i w:val="0"/>
          <w:iCs w:val="0"/>
          <w:caps w:val="0"/>
          <w:color w:val="333333"/>
          <w:spacing w:val="0"/>
          <w:sz w:val="32"/>
          <w:szCs w:val="32"/>
          <w:shd w:val="clear" w:fill="FFFFFF"/>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i w:val="0"/>
          <w:iCs w:val="0"/>
          <w:caps w:val="0"/>
          <w:color w:val="333333"/>
          <w:spacing w:val="0"/>
          <w:sz w:val="32"/>
          <w:szCs w:val="32"/>
          <w:shd w:val="clear" w:fill="FFFFFF"/>
        </w:rPr>
        <w:t>本单位202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年度未发生因公出国（境）费用支出。</w:t>
      </w:r>
      <w:r>
        <w:rPr>
          <w:rFonts w:hint="default" w:ascii="Times New Roman" w:hAnsi="Times New Roman" w:eastAsia="方正仿宋_GBK" w:cs="Times New Roman"/>
          <w:sz w:val="32"/>
          <w:szCs w:val="32"/>
          <w:shd w:val="clear" w:color="auto" w:fill="FFFFFF"/>
        </w:rPr>
        <w:t>较上年支出数无增减，主要原因</w:t>
      </w:r>
      <w:r>
        <w:rPr>
          <w:rFonts w:hint="default" w:ascii="Times New Roman" w:hAnsi="Times New Roman" w:eastAsia="方正仿宋_GBK" w:cs="Times New Roman"/>
          <w:sz w:val="32"/>
          <w:szCs w:val="32"/>
          <w:shd w:val="clear" w:color="auto" w:fill="FFFFFF"/>
          <w:lang w:eastAsia="zh-CN"/>
        </w:rPr>
        <w:t>是</w:t>
      </w:r>
      <w:r>
        <w:rPr>
          <w:rFonts w:hint="default" w:ascii="Times New Roman" w:hAnsi="Times New Roman" w:eastAsia="方正仿宋_GBK" w:cs="Times New Roman"/>
          <w:i w:val="0"/>
          <w:iCs w:val="0"/>
          <w:caps w:val="0"/>
          <w:color w:val="333333"/>
          <w:spacing w:val="0"/>
          <w:sz w:val="32"/>
          <w:szCs w:val="32"/>
          <w:shd w:val="clear" w:fill="FFFFFF"/>
        </w:rPr>
        <w:t>本单位202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年度未发生因公出国（境）费用支出。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default" w:ascii="Times New Roman" w:hAnsi="Times New Roman" w:eastAsia="方正仿宋_GBK" w:cs="Times New Roman"/>
          <w:i w:val="0"/>
          <w:iCs w:val="0"/>
          <w:caps w:val="0"/>
          <w:color w:val="333333"/>
          <w:spacing w:val="0"/>
          <w:sz w:val="32"/>
          <w:szCs w:val="32"/>
          <w:shd w:val="clear" w:fill="FFFFFF"/>
        </w:rPr>
        <w:t>本单位202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年度未购置公务用车。</w:t>
      </w:r>
      <w:r>
        <w:rPr>
          <w:rFonts w:hint="default" w:ascii="Times New Roman" w:hAnsi="Times New Roman" w:eastAsia="方正仿宋_GBK" w:cs="Times New Roman"/>
          <w:sz w:val="32"/>
          <w:szCs w:val="32"/>
          <w:shd w:val="clear" w:color="auto" w:fill="FFFFFF"/>
        </w:rPr>
        <w:t>较上年支出数无增减，主要原因是</w:t>
      </w:r>
      <w:r>
        <w:rPr>
          <w:rFonts w:hint="default" w:ascii="Times New Roman" w:hAnsi="Times New Roman" w:eastAsia="方正仿宋_GBK" w:cs="Times New Roman"/>
          <w:i w:val="0"/>
          <w:iCs w:val="0"/>
          <w:caps w:val="0"/>
          <w:color w:val="333333"/>
          <w:spacing w:val="0"/>
          <w:sz w:val="32"/>
          <w:szCs w:val="32"/>
          <w:shd w:val="clear" w:fill="FFFFFF"/>
        </w:rPr>
        <w:t>本单位202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年度未购置公务用车。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7.32</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i w:val="0"/>
          <w:iCs w:val="0"/>
          <w:caps w:val="0"/>
          <w:color w:val="333333"/>
          <w:spacing w:val="0"/>
          <w:sz w:val="32"/>
          <w:szCs w:val="32"/>
          <w:shd w:val="clear" w:fill="FFFFFF"/>
        </w:rPr>
        <w:t>市内因公出行、本单位日常工作所需车辆的燃料费、维修费、过桥过路费、停车费、保险费等。费用支出较年初预算数减少</w:t>
      </w:r>
      <w:r>
        <w:rPr>
          <w:rFonts w:hint="default" w:ascii="Times New Roman" w:hAnsi="Times New Roman" w:eastAsia="方正仿宋_GBK" w:cs="Times New Roman"/>
          <w:i w:val="0"/>
          <w:iCs w:val="0"/>
          <w:caps w:val="0"/>
          <w:color w:val="333333"/>
          <w:spacing w:val="0"/>
          <w:sz w:val="32"/>
          <w:szCs w:val="32"/>
          <w:shd w:val="clear" w:fill="FFFFFF"/>
          <w:lang w:val="en-US" w:eastAsia="zh-CN"/>
        </w:rPr>
        <w:t>2.68</w:t>
      </w:r>
      <w:r>
        <w:rPr>
          <w:rFonts w:hint="default" w:ascii="Times New Roman" w:hAnsi="Times New Roman" w:eastAsia="方正仿宋_GBK" w:cs="Times New Roman"/>
          <w:i w:val="0"/>
          <w:iCs w:val="0"/>
          <w:caps w:val="0"/>
          <w:color w:val="333333"/>
          <w:spacing w:val="0"/>
          <w:sz w:val="32"/>
          <w:szCs w:val="32"/>
          <w:shd w:val="clear" w:fill="FFFFFF"/>
        </w:rPr>
        <w:t>万元，下降</w:t>
      </w:r>
      <w:r>
        <w:rPr>
          <w:rFonts w:hint="default" w:ascii="Times New Roman" w:hAnsi="Times New Roman" w:eastAsia="方正仿宋_GBK" w:cs="Times New Roman"/>
          <w:i w:val="0"/>
          <w:iCs w:val="0"/>
          <w:caps w:val="0"/>
          <w:color w:val="333333"/>
          <w:spacing w:val="0"/>
          <w:sz w:val="32"/>
          <w:szCs w:val="32"/>
          <w:shd w:val="clear" w:fill="FFFFFF"/>
          <w:lang w:val="en-US" w:eastAsia="zh-CN"/>
        </w:rPr>
        <w:t>26.8</w:t>
      </w:r>
      <w:r>
        <w:rPr>
          <w:rFonts w:hint="default" w:ascii="Times New Roman" w:hAnsi="Times New Roman" w:eastAsia="方正仿宋_GBK" w:cs="Times New Roman"/>
          <w:i w:val="0"/>
          <w:iCs w:val="0"/>
          <w:caps w:val="0"/>
          <w:color w:val="333333"/>
          <w:spacing w:val="0"/>
          <w:sz w:val="32"/>
          <w:szCs w:val="32"/>
          <w:shd w:val="clear" w:fill="FFFFFF"/>
        </w:rPr>
        <w:t>%，主要原因是严格落实公车使用规定，减少外出用车等支出。较上年支出数</w:t>
      </w:r>
      <w:r>
        <w:rPr>
          <w:rFonts w:hint="default" w:ascii="Times New Roman" w:hAnsi="Times New Roman" w:eastAsia="方正仿宋_GBK" w:cs="Times New Roman"/>
          <w:i w:val="0"/>
          <w:iCs w:val="0"/>
          <w:caps w:val="0"/>
          <w:color w:val="333333"/>
          <w:spacing w:val="0"/>
          <w:sz w:val="32"/>
          <w:szCs w:val="32"/>
          <w:shd w:val="clear" w:fill="FFFFFF"/>
          <w:lang w:eastAsia="zh-CN"/>
        </w:rPr>
        <w:t>无增减</w:t>
      </w:r>
      <w:r>
        <w:rPr>
          <w:rFonts w:hint="default" w:ascii="Times New Roman" w:hAnsi="Times New Roman" w:eastAsia="方正仿宋_GBK" w:cs="Times New Roman"/>
          <w:i w:val="0"/>
          <w:iCs w:val="0"/>
          <w:caps w:val="0"/>
          <w:color w:val="333333"/>
          <w:spacing w:val="0"/>
          <w:sz w:val="32"/>
          <w:szCs w:val="32"/>
          <w:shd w:val="clear" w:fill="FFFFFF"/>
        </w:rPr>
        <w:t>，主要原因是严格落实公车使用规定。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8.12</w:t>
      </w:r>
      <w:r>
        <w:rPr>
          <w:rFonts w:hint="default" w:ascii="Times New Roman" w:hAnsi="Times New Roman" w:eastAsia="方正仿宋_GBK" w:cs="Times New Roman"/>
          <w:sz w:val="32"/>
          <w:szCs w:val="32"/>
          <w:shd w:val="clear" w:color="auto" w:fill="FFFFFF"/>
        </w:rPr>
        <w:t>万元，主要用于接待主要用于接待</w:t>
      </w:r>
      <w:r>
        <w:rPr>
          <w:rFonts w:hint="default" w:ascii="Times New Roman" w:hAnsi="Times New Roman" w:eastAsia="方正仿宋_GBK" w:cs="Times New Roman"/>
          <w:i w:val="0"/>
          <w:iCs w:val="0"/>
          <w:caps w:val="0"/>
          <w:color w:val="333333"/>
          <w:spacing w:val="0"/>
          <w:sz w:val="32"/>
          <w:szCs w:val="32"/>
          <w:shd w:val="clear" w:fill="FFFFFF"/>
        </w:rPr>
        <w:t>接受相关部门检查指导工作发生的接待支出、日常工作等公务用餐支出。</w:t>
      </w:r>
      <w:r>
        <w:rPr>
          <w:rFonts w:hint="default" w:ascii="Times New Roman" w:hAnsi="Times New Roman" w:eastAsia="方正仿宋_GBK" w:cs="Times New Roman"/>
          <w:sz w:val="32"/>
          <w:szCs w:val="32"/>
          <w:shd w:val="clear" w:color="auto" w:fill="FFFFFF"/>
        </w:rPr>
        <w:t>费用支出较年初预算数减少1.88万元，下降18.80%，主要原因是较上年支出数无增减，主要原因是</w:t>
      </w:r>
      <w:r>
        <w:rPr>
          <w:rFonts w:hint="default" w:ascii="Times New Roman" w:hAnsi="Times New Roman" w:eastAsia="方正仿宋_GBK" w:cs="Times New Roman"/>
          <w:sz w:val="32"/>
          <w:szCs w:val="32"/>
          <w:shd w:val="clear" w:color="auto" w:fill="FFFFFF"/>
          <w:lang w:eastAsia="zh-CN"/>
        </w:rPr>
        <w:t>严格控制</w:t>
      </w:r>
      <w:r>
        <w:rPr>
          <w:rFonts w:hint="default" w:ascii="Times New Roman" w:hAnsi="Times New Roman" w:eastAsia="方正仿宋_GBK" w:cs="Times New Roman"/>
          <w:i w:val="0"/>
          <w:iCs w:val="0"/>
          <w:caps w:val="0"/>
          <w:color w:val="333333"/>
          <w:spacing w:val="0"/>
          <w:sz w:val="32"/>
          <w:szCs w:val="32"/>
          <w:shd w:val="clear" w:fill="FFFFFF"/>
          <w:lang w:eastAsia="zh-CN"/>
        </w:rPr>
        <w:t>接待人数和标准。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235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1631</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49.80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7.32</w:t>
      </w:r>
      <w:r>
        <w:rPr>
          <w:rFonts w:hint="default" w:ascii="Times New Roman" w:hAnsi="Times New Roman" w:eastAsia="方正仿宋_GBK" w:cs="Times New Roman"/>
          <w:sz w:val="32"/>
          <w:szCs w:val="32"/>
          <w:shd w:val="clear" w:color="auto" w:fill="FFFFFF"/>
        </w:rPr>
        <w:t>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四、其他需要说明的事项</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较上年无增减，</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eastAsia="zh-CN"/>
        </w:rPr>
        <w:t>本年无会议费支出。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0.56</w:t>
      </w:r>
      <w:r>
        <w:rPr>
          <w:rFonts w:hint="default" w:ascii="Times New Roman" w:hAnsi="Times New Roman" w:eastAsia="方正仿宋_GBK" w:cs="Times New Roman"/>
          <w:sz w:val="32"/>
          <w:szCs w:val="32"/>
          <w:shd w:val="clear" w:color="auto" w:fill="FFFFFF"/>
        </w:rPr>
        <w:t>万元，较上年决算数增加0.56万元，增长100.00%，主要原因是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今年增加数字技术工程师培训、职业技能竞赛管理人员培训</w:t>
      </w:r>
      <w:r>
        <w:rPr>
          <w:rFonts w:hint="default" w:ascii="Times New Roman" w:hAnsi="Times New Roman" w:eastAsia="方正仿宋_GBK" w:cs="Times New Roman"/>
          <w:i w:val="0"/>
          <w:iCs w:val="0"/>
          <w:caps w:val="0"/>
          <w:color w:val="333333"/>
          <w:spacing w:val="0"/>
          <w:sz w:val="32"/>
          <w:szCs w:val="32"/>
          <w:shd w:val="clear" w:fill="FFFFFF"/>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111.74</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i w:val="0"/>
          <w:iCs w:val="0"/>
          <w:caps w:val="0"/>
          <w:color w:val="333333"/>
          <w:spacing w:val="0"/>
          <w:sz w:val="32"/>
          <w:szCs w:val="32"/>
          <w:shd w:val="clear" w:fill="FFFFFF"/>
        </w:rPr>
        <w:t>办公费、水电费、咨询费、差旅费、劳务费、公务接待费、车辆运行费等支出。</w:t>
      </w:r>
      <w:r>
        <w:rPr>
          <w:rFonts w:hint="default" w:ascii="Times New Roman" w:hAnsi="Times New Roman" w:eastAsia="方正仿宋_GBK" w:cs="Times New Roman"/>
          <w:sz w:val="32"/>
          <w:szCs w:val="32"/>
          <w:shd w:val="clear" w:color="auto" w:fill="FFFFFF"/>
        </w:rPr>
        <w:t>机关运行经费较上年支出数增加12.68万元，增长12.80%，主要原因是</w:t>
      </w:r>
      <w:r>
        <w:rPr>
          <w:rFonts w:hint="default" w:ascii="Times New Roman" w:hAnsi="Times New Roman" w:eastAsia="方正仿宋_GBK" w:cs="Times New Roman"/>
          <w:i w:val="0"/>
          <w:iCs w:val="0"/>
          <w:caps w:val="0"/>
          <w:color w:val="333333"/>
          <w:spacing w:val="0"/>
          <w:sz w:val="32"/>
          <w:szCs w:val="32"/>
          <w:shd w:val="clear" w:fill="FFFFFF"/>
          <w:lang w:eastAsia="zh-CN"/>
        </w:rPr>
        <w:t>增加</w:t>
      </w:r>
      <w:r>
        <w:rPr>
          <w:rFonts w:hint="default" w:ascii="Times New Roman" w:hAnsi="Times New Roman" w:eastAsia="方正仿宋_GBK" w:cs="Times New Roman"/>
          <w:i w:val="0"/>
          <w:iCs w:val="0"/>
          <w:caps w:val="0"/>
          <w:color w:val="333333"/>
          <w:spacing w:val="0"/>
          <w:sz w:val="32"/>
          <w:szCs w:val="32"/>
          <w:shd w:val="clear" w:fill="FFFFFF"/>
        </w:rPr>
        <w:t>了办公经费、印刷费、差旅费、劳务费等支出。</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1.75万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1.75</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%。主要用于采购职业技能专项能力考试平板电脑支出</w:t>
      </w:r>
      <w:r>
        <w:rPr>
          <w:rFonts w:hint="default" w:ascii="Times New Roman" w:hAnsi="Times New Roman" w:eastAsia="方正仿宋_GBK" w:cs="Times New Roman"/>
          <w:sz w:val="32"/>
          <w:szCs w:val="32"/>
          <w:shd w:val="clear" w:color="auto" w:fill="FFFFFF"/>
          <w:lang w:eastAsia="zh-CN"/>
        </w:rPr>
        <w:t>。</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eastAsia" w:ascii="方正黑体_GBK" w:hAnsi="方正黑体_GBK" w:eastAsia="方正黑体_GBK" w:cs="方正黑体_GBK"/>
          <w:b w:val="0"/>
          <w:bCs w:val="0"/>
          <w:sz w:val="32"/>
          <w:szCs w:val="32"/>
          <w:highlight w:val="yellow"/>
          <w:shd w:val="clear" w:color="auto" w:fill="FFFFFF"/>
        </w:rPr>
      </w:pPr>
      <w:r>
        <w:rPr>
          <w:rFonts w:hint="eastAsia" w:ascii="方正黑体_GBK" w:hAnsi="方正黑体_GBK" w:eastAsia="方正黑体_GBK" w:cs="方正黑体_GBK"/>
          <w:b w:val="0"/>
          <w:bCs w:val="0"/>
          <w:sz w:val="32"/>
          <w:szCs w:val="32"/>
          <w:shd w:val="clear" w:fill="FFFFFF"/>
          <w:lang w:val="en-US" w:eastAsia="zh-CN" w:bidi="ar-SA"/>
        </w:rPr>
        <w:t>五、</w:t>
      </w:r>
      <w:r>
        <w:rPr>
          <w:rStyle w:val="7"/>
          <w:rFonts w:hint="eastAsia" w:ascii="方正黑体_GBK" w:hAnsi="方正黑体_GBK" w:eastAsia="方正黑体_GBK" w:cs="方正黑体_GBK"/>
          <w:b w:val="0"/>
          <w:bCs w:val="0"/>
          <w:sz w:val="32"/>
          <w:szCs w:val="32"/>
          <w:shd w:val="clear" w:color="auto" w:fill="FFFFFF"/>
        </w:rPr>
        <w:t>预算绩效管理情况说明</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eastAsia" w:ascii="Times New Roman" w:hAnsi="Times New Roman" w:eastAsia="方正楷体_GBK" w:cs="Times New Roman"/>
          <w:b w:val="0"/>
          <w:bCs w:val="0"/>
          <w:sz w:val="32"/>
          <w:szCs w:val="32"/>
          <w:shd w:val="clear" w:color="auto" w:fill="FFFFFF"/>
          <w:lang w:val="en-US" w:eastAsia="zh-CN" w:bidi="ar-SA"/>
        </w:rPr>
      </w:pPr>
      <w:r>
        <w:rPr>
          <w:rFonts w:hint="eastAsia" w:ascii="Times New Roman" w:hAnsi="Times New Roman" w:eastAsia="方正楷体_GBK" w:cs="Times New Roman"/>
          <w:b w:val="0"/>
          <w:bCs w:val="0"/>
          <w:sz w:val="32"/>
          <w:szCs w:val="32"/>
          <w:shd w:val="clear" w:fill="FFFFFF"/>
          <w:lang w:val="en-US" w:eastAsia="zh-CN" w:bidi="ar-SA"/>
        </w:rPr>
        <w:t>（一）</w:t>
      </w:r>
      <w:r>
        <w:rPr>
          <w:rFonts w:hint="eastAsia" w:ascii="Times New Roman" w:hAnsi="Times New Roman" w:eastAsia="方正楷体_GBK" w:cs="Times New Roman"/>
          <w:b w:val="0"/>
          <w:bCs w:val="0"/>
          <w:sz w:val="32"/>
          <w:szCs w:val="32"/>
          <w:shd w:val="clear" w:color="auto" w:fill="FFFFFF"/>
          <w:lang w:val="en-US" w:eastAsia="zh-CN" w:bidi="ar-SA"/>
        </w:rPr>
        <w:t>部门自评情况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根据预算绩效管理要求，我单位对部门整体和</w:t>
      </w:r>
      <w:r>
        <w:rPr>
          <w:rFonts w:hint="default"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373.1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leftChars="0" w:right="0" w:rightChars="0" w:firstLine="643" w:firstLineChars="200"/>
        <w:jc w:val="both"/>
        <w:textAlignment w:val="auto"/>
        <w:rPr>
          <w:rStyle w:val="7"/>
          <w:rFonts w:hint="default" w:ascii="Times New Roman" w:hAnsi="Times New Roman" w:eastAsia="方正仿宋_GBK" w:cs="Times New Roman"/>
          <w:i w:val="0"/>
          <w:iCs w:val="0"/>
          <w:caps w:val="0"/>
          <w:color w:val="333333"/>
          <w:spacing w:val="0"/>
          <w:sz w:val="32"/>
          <w:szCs w:val="32"/>
          <w:shd w:val="clear" w:fill="FFFFFF"/>
        </w:rPr>
        <w:sectPr>
          <w:footerReference r:id="rId3" w:type="default"/>
          <w:pgSz w:w="11906" w:h="16838"/>
          <w:pgMar w:top="2098" w:right="1474" w:bottom="1984" w:left="1587" w:header="851" w:footer="1474" w:gutter="0"/>
          <w:pgNumType w:fmt="numberInDash"/>
          <w:cols w:space="0" w:num="1"/>
          <w:rtlGutter w:val="0"/>
          <w:docGrid w:type="lines" w:linePitch="318" w:charSpace="0"/>
        </w:sectPr>
      </w:pPr>
      <w:r>
        <w:rPr>
          <w:rFonts w:hint="default" w:ascii="Times New Roman" w:hAnsi="Times New Roman" w:eastAsia="方正仿宋_GBK" w:cs="Times New Roman"/>
          <w:b/>
          <w:i w:val="0"/>
          <w:iCs w:val="0"/>
          <w:caps w:val="0"/>
          <w:color w:val="333333"/>
          <w:spacing w:val="0"/>
          <w:sz w:val="32"/>
          <w:szCs w:val="32"/>
          <w:shd w:val="clear" w:fill="FFFFFF"/>
          <w:lang w:val="en-US" w:eastAsia="zh-CN" w:bidi="ar-SA"/>
        </w:rPr>
        <w:t>1.</w:t>
      </w:r>
      <w:r>
        <w:rPr>
          <w:rStyle w:val="7"/>
          <w:rFonts w:hint="default" w:ascii="Times New Roman" w:hAnsi="Times New Roman" w:eastAsia="方正仿宋_GBK" w:cs="Times New Roman"/>
          <w:i w:val="0"/>
          <w:iCs w:val="0"/>
          <w:caps w:val="0"/>
          <w:color w:val="333333"/>
          <w:spacing w:val="0"/>
          <w:sz w:val="32"/>
          <w:szCs w:val="32"/>
          <w:shd w:val="clear" w:fill="FFFFFF"/>
        </w:rPr>
        <w:t>绩效目标自评表</w:t>
      </w:r>
    </w:p>
    <w:tbl>
      <w:tblPr>
        <w:tblStyle w:val="5"/>
        <w:tblW w:w="127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2"/>
        <w:gridCol w:w="620"/>
        <w:gridCol w:w="283"/>
        <w:gridCol w:w="800"/>
        <w:gridCol w:w="103"/>
        <w:gridCol w:w="841"/>
        <w:gridCol w:w="139"/>
        <w:gridCol w:w="630"/>
        <w:gridCol w:w="443"/>
        <w:gridCol w:w="337"/>
        <w:gridCol w:w="930"/>
        <w:gridCol w:w="555"/>
        <w:gridCol w:w="615"/>
        <w:gridCol w:w="360"/>
        <w:gridCol w:w="1035"/>
        <w:gridCol w:w="315"/>
        <w:gridCol w:w="1005"/>
        <w:gridCol w:w="765"/>
        <w:gridCol w:w="435"/>
        <w:gridCol w:w="124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85" w:hRule="atLeast"/>
        </w:trPr>
        <w:tc>
          <w:tcPr>
            <w:tcW w:w="1275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275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项目名称：</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巫溪县人力资源和社会保障局整体自评</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项目编码：</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50023800023P000104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自评总分：</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18"/>
                <w:szCs w:val="18"/>
                <w:u w:val="none"/>
                <w:lang w:val="en-US" w:eastAsia="zh-CN" w:bidi="ar"/>
              </w:rPr>
              <w:t>100.00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bCs/>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4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项目主管部门：</w:t>
            </w:r>
          </w:p>
        </w:tc>
        <w:tc>
          <w:tcPr>
            <w:tcW w:w="21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063-巫溪县人力资源和社会保障局</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财政归口科室：</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006-社保科</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部门联系人：</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18"/>
                <w:szCs w:val="18"/>
                <w:u w:val="none"/>
                <w:lang w:val="en-US" w:eastAsia="zh-CN" w:bidi="ar"/>
              </w:rPr>
              <w:t>汪敬华</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联系电话：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18"/>
                <w:szCs w:val="18"/>
                <w:u w:val="none"/>
                <w:lang w:val="en-US" w:eastAsia="zh-CN" w:bidi="ar"/>
              </w:rPr>
              <w:t>13996643366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20" w:hRule="atLeast"/>
        </w:trPr>
        <w:tc>
          <w:tcPr>
            <w:tcW w:w="1275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年初预算数</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全年（调整）预算数</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全年执行数</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执行率</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执行率权重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40" w:hRule="atLeast"/>
        </w:trPr>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年度总金额</w:t>
            </w:r>
          </w:p>
        </w:tc>
        <w:tc>
          <w:tcPr>
            <w:tcW w:w="21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10,453,094.92 </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iCs w:val="0"/>
                <w:color w:val="000000"/>
                <w:sz w:val="16"/>
                <w:szCs w:val="16"/>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40" w:hRule="atLeast"/>
        </w:trPr>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其中：财政拨款</w:t>
            </w:r>
          </w:p>
        </w:tc>
        <w:tc>
          <w:tcPr>
            <w:tcW w:w="21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10,453,094.92 </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10.00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40" w:hRule="atLeast"/>
        </w:trPr>
        <w:tc>
          <w:tcPr>
            <w:tcW w:w="30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方正黑体_GBK" w:hAnsi="方正黑体_GBK" w:eastAsia="方正黑体_GBK" w:cs="方正黑体_GBK"/>
                <w:i w:val="0"/>
                <w:iCs w:val="0"/>
                <w:color w:val="000000"/>
                <w:sz w:val="16"/>
                <w:szCs w:val="16"/>
                <w:u w:val="none"/>
              </w:rPr>
            </w:pPr>
            <w:r>
              <w:rPr>
                <w:rFonts w:hint="eastAsia" w:ascii="方正黑体_GBK" w:hAnsi="方正黑体_GBK" w:eastAsia="方正黑体_GBK" w:cs="方正黑体_GBK"/>
                <w:i w:val="0"/>
                <w:iCs w:val="0"/>
                <w:color w:val="000000"/>
                <w:kern w:val="0"/>
                <w:sz w:val="16"/>
                <w:szCs w:val="16"/>
                <w:u w:val="none"/>
                <w:lang w:val="en-US" w:eastAsia="zh-CN" w:bidi="ar"/>
              </w:rPr>
              <w:t>一般公共预算</w:t>
            </w:r>
          </w:p>
        </w:tc>
        <w:tc>
          <w:tcPr>
            <w:tcW w:w="21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10,453,094.92 </w:t>
            </w:r>
          </w:p>
        </w:tc>
        <w:tc>
          <w:tcPr>
            <w:tcW w:w="182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 xml:space="preserve">12,549,969.86 </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i w:val="0"/>
                <w:iCs w:val="0"/>
                <w:color w:val="000000"/>
                <w:kern w:val="0"/>
                <w:sz w:val="16"/>
                <w:szCs w:val="16"/>
                <w:u w:val="none"/>
                <w:lang w:val="en-US" w:eastAsia="zh-CN" w:bidi="ar"/>
              </w:rPr>
            </w:pPr>
            <w:r>
              <w:rPr>
                <w:rFonts w:hint="default" w:ascii="Times New Roman" w:hAnsi="Times New Roman" w:eastAsia="方正仿宋_GBK" w:cs="Times New Roman"/>
                <w:i w:val="0"/>
                <w:iCs w:val="0"/>
                <w:color w:val="000000"/>
                <w:kern w:val="0"/>
                <w:sz w:val="16"/>
                <w:szCs w:val="16"/>
                <w:u w:val="none"/>
                <w:lang w:val="en-US" w:eastAsia="zh-CN" w:bidi="ar"/>
              </w:rPr>
              <w:t>100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default" w:ascii="Times New Roman" w:hAnsi="Times New Roman" w:eastAsia="方正仿宋_GBK"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20" w:hRule="atLeast"/>
        </w:trPr>
        <w:tc>
          <w:tcPr>
            <w:tcW w:w="1275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516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年初绩效目标</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全年（调整）绩效目标</w:t>
            </w:r>
          </w:p>
        </w:tc>
        <w:tc>
          <w:tcPr>
            <w:tcW w:w="376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5161"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贯彻执行人力资源和社会保障法律、法规、规章和方针政策，拟订相关发展规划、政策并组织实施和监督检查。2.拟订人力资源市场发展规划，贯彻落实人力资源服务业发展、人力资源流动政策，促进人力资源合理流动、有效配置。3.贯彻落实劳动人事争议调解仲裁制度和劳动关系政策，完善劳动关系协商协调机制，贯彻职工工作时间、休息休假和假期制度，贯彻消除非法使用童工政策和女工、未成年工的特殊劳动保护政策。组织实施劳动保障监察，协调劳动者维权工作，依法查处重大案件。4.负责专业技术人才队伍和高技能人才队伍建设。5.贯彻执行机关事业单位人员工资收入分配、津补贴政策和企业职工工资收入分配的调控政策和措施，组织实施机关企事业单位人员福利、工（公）伤和离退休政策。</w:t>
            </w:r>
          </w:p>
        </w:tc>
        <w:tc>
          <w:tcPr>
            <w:tcW w:w="383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3765"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0"/>
                <w:szCs w:val="20"/>
                <w:u w:val="none"/>
                <w:lang w:val="en-US" w:eastAsia="zh-CN" w:bidi="ar"/>
              </w:rPr>
              <w:t>1.贯彻执行人力资源和社会保障法律、法规、规章和方针政策，拟订相关发展规划、政策并组织实施和监督检查。2.拟订人力资源市场发展规划，贯彻落实人力资源服务业发展、人力资源流动政策，促进人力资源合理流动、有效配置。3.贯彻落实劳动人事争议调解仲裁制度和劳动关系政策，完善劳动关系协商协调机制，贯彻职工工作时间、休息休假和假期制度，贯彻消除非法使用童工政策和女工、未成年工的特殊劳动保护政策。组织实施劳动保障监察，协调劳动者维权工作，依法查处重大案件。4.负责专业技术人才队伍和高技能人才队伍建设。5.贯彻执行机关事业单位人员工资收入分配、津补贴政策和企业职工工资收入分配的调控政策和措施，组织实施机关企事业单位人员福利、工（公）伤和离退休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20" w:hRule="atLeast"/>
        </w:trPr>
        <w:tc>
          <w:tcPr>
            <w:tcW w:w="1275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指标名称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计量单位</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指标性质</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指标值</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偏离度（%）</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得分系数（%）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指标权重</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指标得分</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是否核心指标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18"/>
                <w:szCs w:val="18"/>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检查企业数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家</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300</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仲裁裁决案件数量</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件</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组织事业单位招录批次</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批次</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工伤鉴定及病退休人员鉴定次数</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次/年</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维护社会和谐发展</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有效改善</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机关单位及群众满意度</w:t>
            </w:r>
          </w:p>
        </w:tc>
        <w:tc>
          <w:tcPr>
            <w:tcW w:w="10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Chars="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277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77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楷体_GBK" w:hAnsi="方正楷体_GBK" w:eastAsia="方正楷体_GBK" w:cs="方正楷体_GBK"/>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项目名称：</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23年事业单位招录工作经费</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项目编码：</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50023823T000003442601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自评总分：</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项目主管部门：</w:t>
            </w:r>
          </w:p>
        </w:tc>
        <w:tc>
          <w:tcPr>
            <w:tcW w:w="180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063-巫溪县人力资源和社会保障局</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财政归口科室：</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006-社保科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部门联系人：</w:t>
            </w:r>
          </w:p>
        </w:tc>
        <w:tc>
          <w:tcPr>
            <w:tcW w:w="28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汪敬华</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黑体_GBK" w:hAnsi="方正黑体_GBK" w:eastAsia="方正黑体_GBK" w:cs="方正黑体_GBK"/>
                <w:b w:val="0"/>
                <w:bCs w:val="0"/>
                <w:i w:val="0"/>
                <w:iCs w:val="0"/>
                <w:color w:val="000000"/>
                <w:sz w:val="22"/>
                <w:szCs w:val="22"/>
                <w:u w:val="none"/>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联系电话：</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0"/>
                <w:szCs w:val="20"/>
                <w:u w:val="none"/>
                <w:lang w:val="en-US" w:eastAsia="zh-CN" w:bidi="ar"/>
              </w:rPr>
              <w:t>13996643366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7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b w:val="0"/>
                <w:bCs w:val="0"/>
                <w:i w:val="0"/>
                <w:iCs w:val="0"/>
                <w:color w:val="000000"/>
                <w:sz w:val="22"/>
                <w:szCs w:val="22"/>
                <w:u w:val="none"/>
              </w:rPr>
            </w:pP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年初预算数</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全年（调整）预算数</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全年执行数</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执行率权重</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年度总金额</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其中：财政拨款</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一般公共预算</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5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290,000.00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7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年初绩效目标</w:t>
            </w:r>
          </w:p>
        </w:tc>
        <w:tc>
          <w:tcPr>
            <w:tcW w:w="36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全年（调整）绩效目标</w:t>
            </w:r>
          </w:p>
        </w:tc>
        <w:tc>
          <w:tcPr>
            <w:tcW w:w="517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9"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0"/>
                <w:szCs w:val="20"/>
                <w:u w:val="none"/>
                <w:lang w:val="en-US" w:eastAsia="zh-CN" w:bidi="ar"/>
              </w:rPr>
              <w:t>按照县委编办的用编批复，完成公开招聘、考核招聘、村干部中招聘事业单位人员等计划。</w:t>
            </w:r>
          </w:p>
        </w:tc>
        <w:tc>
          <w:tcPr>
            <w:tcW w:w="364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2"/>
                <w:szCs w:val="22"/>
                <w:u w:val="none"/>
              </w:rPr>
            </w:pPr>
          </w:p>
        </w:tc>
        <w:tc>
          <w:tcPr>
            <w:tcW w:w="517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0"/>
                <w:szCs w:val="20"/>
                <w:u w:val="none"/>
                <w:lang w:val="en-US" w:eastAsia="zh-CN" w:bidi="ar"/>
              </w:rPr>
              <w:t>按照县委编办的用编批复，完成了公开招聘、考核招聘、村干部中招聘事业单位人员等计划。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773"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指标名称</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计量单位</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指标性质</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指标值</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全年完成值</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偏离度（%）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得分系数（%）</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指标权重</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指标得分</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是否核心指标</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18"/>
                <w:szCs w:val="18"/>
                <w:u w:val="none"/>
                <w:lang w:val="en-US" w:eastAsia="zh-CN" w:bidi="ar"/>
              </w:rPr>
            </w:pPr>
            <w:r>
              <w:rPr>
                <w:rFonts w:hint="eastAsia" w:ascii="方正黑体_GBK" w:hAnsi="方正黑体_GBK" w:eastAsia="方正黑体_GBK" w:cs="方正黑体_GBK"/>
                <w:b w:val="0"/>
                <w:bCs w:val="0"/>
                <w:i w:val="0"/>
                <w:iCs w:val="0"/>
                <w:color w:val="000000"/>
                <w:kern w:val="0"/>
                <w:sz w:val="18"/>
                <w:szCs w:val="18"/>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招录场次</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场次</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招聘事业人员人数</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人/年</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300</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维护公平公开的竞争原则</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公平</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kern w:val="0"/>
                <w:sz w:val="20"/>
                <w:szCs w:val="20"/>
                <w:u w:val="none"/>
                <w:lang w:val="en-US" w:eastAsia="zh-CN" w:bidi="ar"/>
              </w:rPr>
            </w:pPr>
            <w:r>
              <w:rPr>
                <w:rFonts w:hint="eastAsia" w:ascii="方正黑体_GBK" w:hAnsi="方正黑体_GBK" w:eastAsia="方正黑体_GBK" w:cs="方正黑体_GBK"/>
                <w:i w:val="0"/>
                <w:iCs w:val="0"/>
                <w:color w:val="000000"/>
                <w:kern w:val="0"/>
                <w:sz w:val="20"/>
                <w:szCs w:val="20"/>
                <w:u w:val="none"/>
                <w:lang w:val="en-US" w:eastAsia="zh-CN" w:bidi="ar"/>
              </w:rPr>
              <w:t>招录人员及社会满意度</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7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2"/>
                <w:szCs w:val="22"/>
                <w:u w:val="none"/>
              </w:rPr>
            </w:pPr>
          </w:p>
        </w:tc>
      </w:tr>
    </w:tbl>
    <w:p>
      <w:pPr>
        <w:sectPr>
          <w:pgSz w:w="16838" w:h="11906" w:orient="landscape"/>
          <w:pgMar w:top="1587" w:right="2098" w:bottom="1474" w:left="1984" w:header="851" w:footer="1474" w:gutter="0"/>
          <w:pgNumType w:fmt="numberInDash"/>
          <w:cols w:space="0" w:num="1"/>
          <w:rtlGutter w:val="0"/>
          <w:docGrid w:type="lines" w:linePitch="318" w:charSpace="0"/>
        </w:sect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（二）部门绩效评价情况</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我部门未组织开展绩效评价。</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县财政局未委托第三方对我部门开展绩效评价。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六、专业名词解释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（十一）经营支出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方正仿宋_GBK" w:hAnsi="方正仿宋_GBK" w:eastAsia="方正仿宋_GBK" w:cs="方正仿宋_GBK"/>
          <w:sz w:val="32"/>
          <w:szCs w:val="32"/>
        </w:rPr>
      </w:pPr>
      <w:r>
        <w:rPr>
          <w:rStyle w:val="7"/>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7"/>
          <w:rFonts w:hint="eastAsia" w:ascii="方正黑体_GBK" w:hAnsi="方正黑体_GBK" w:eastAsia="方正黑体_GBK" w:cs="方正黑体_GBK"/>
          <w:b w:val="0"/>
          <w:bCs/>
          <w:sz w:val="32"/>
          <w:szCs w:val="32"/>
          <w:shd w:val="clear" w:color="auto" w:fill="FFFFFF"/>
        </w:rPr>
      </w:pPr>
      <w:r>
        <w:rPr>
          <w:rStyle w:val="7"/>
          <w:rFonts w:hint="eastAsia" w:ascii="方正黑体_GBK" w:hAnsi="方正黑体_GBK" w:eastAsia="方正黑体_GBK" w:cs="方正黑体_GBK"/>
          <w:b w:val="0"/>
          <w:bCs/>
          <w:sz w:val="32"/>
          <w:szCs w:val="32"/>
          <w:shd w:val="clear" w:color="auto" w:fill="FFFFFF"/>
        </w:rPr>
        <w:t>七、决算公开联系方式及信息反馈渠道</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w:t>
      </w:r>
      <w:r>
        <w:rPr>
          <w:rFonts w:hint="default" w:ascii="Times New Roman" w:hAnsi="Times New Roman" w:eastAsia="方正仿宋_GBK" w:cs="Times New Roman"/>
          <w:color w:val="auto"/>
          <w:sz w:val="32"/>
          <w:szCs w:val="32"/>
          <w:shd w:val="clear" w:color="auto" w:fill="FFFFFF"/>
        </w:rPr>
        <w:t>系方式：</w:t>
      </w:r>
      <w:r>
        <w:rPr>
          <w:rFonts w:hint="default" w:ascii="Times New Roman" w:hAnsi="Times New Roman" w:eastAsia="方正仿宋_GBK" w:cs="Times New Roman"/>
          <w:color w:val="auto"/>
          <w:sz w:val="32"/>
          <w:szCs w:val="32"/>
          <w:shd w:val="clear" w:color="auto" w:fill="FFFFFF"/>
          <w:lang w:val="en-US" w:eastAsia="zh-CN"/>
        </w:rPr>
        <w:t>023-51522016</w:t>
      </w:r>
    </w:p>
    <w:tbl>
      <w:tblPr>
        <w:tblStyle w:val="5"/>
        <w:tblW w:w="5005" w:type="pct"/>
        <w:tblInd w:w="0" w:type="dxa"/>
        <w:tblLayout w:type="autofit"/>
        <w:tblCellMar>
          <w:top w:w="0" w:type="dxa"/>
          <w:left w:w="0" w:type="dxa"/>
          <w:bottom w:w="0" w:type="dxa"/>
          <w:right w:w="0" w:type="dxa"/>
        </w:tblCellMar>
      </w:tblPr>
      <w:tblGrid>
        <w:gridCol w:w="3230"/>
        <w:gridCol w:w="1196"/>
        <w:gridCol w:w="3030"/>
        <w:gridCol w:w="1428"/>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7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重庆市巫溪县人力资源和社会保障局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1,206.00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971.21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1,206.00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1,206.00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1,206.00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1,206.00</w:t>
            </w:r>
            <w:r>
              <w:rPr>
                <w:color w:val="000000"/>
                <w:sz w:val="20"/>
                <w:u w:color="auto"/>
              </w:rPr>
              <w:t xml:space="preserve"> </w:t>
            </w:r>
          </w:p>
        </w:tc>
      </w:tr>
    </w:tbl>
    <w:p>
      <w:pPr>
        <w:spacing w:line="240" w:lineRule="exact"/>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5"/>
        <w:tblW w:w="5000" w:type="pct"/>
        <w:tblInd w:w="0" w:type="dxa"/>
        <w:tblLayout w:type="fixed"/>
        <w:tblCellMar>
          <w:top w:w="0" w:type="dxa"/>
          <w:left w:w="0" w:type="dxa"/>
          <w:bottom w:w="0" w:type="dxa"/>
          <w:right w:w="0" w:type="dxa"/>
        </w:tblCellMar>
      </w:tblPr>
      <w:tblGrid>
        <w:gridCol w:w="981"/>
        <w:gridCol w:w="2643"/>
        <w:gridCol w:w="690"/>
        <w:gridCol w:w="615"/>
        <w:gridCol w:w="510"/>
        <w:gridCol w:w="600"/>
        <w:gridCol w:w="765"/>
        <w:gridCol w:w="585"/>
        <w:gridCol w:w="765"/>
        <w:gridCol w:w="7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78"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收入决算表</w:t>
            </w:r>
          </w:p>
        </w:tc>
      </w:tr>
      <w:tr>
        <w:tblPrEx>
          <w:tblCellMar>
            <w:top w:w="0" w:type="dxa"/>
            <w:left w:w="0" w:type="dxa"/>
            <w:bottom w:w="0" w:type="dxa"/>
            <w:right w:w="0" w:type="dxa"/>
          </w:tblCellMar>
        </w:tblPrEx>
        <w:trPr>
          <w:trHeight w:val="328" w:hRule="atLeast"/>
        </w:trPr>
        <w:tc>
          <w:tcPr>
            <w:tcW w:w="2776" w:type="pct"/>
            <w:gridSpan w:val="4"/>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重庆市巫溪县人力资源和社会保障局</w:t>
            </w: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7" w:type="pct"/>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776" w:type="pct"/>
            <w:gridSpan w:val="4"/>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37" w:type="pct"/>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2041"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bottom"/>
              <w:rPr>
                <w:rFonts w:hint="default" w:cs="宋体"/>
                <w:b/>
                <w:color w:val="000000"/>
                <w:sz w:val="20"/>
                <w:szCs w:val="20"/>
              </w:rPr>
            </w:pPr>
            <w:r>
              <w:rPr>
                <w:rFonts w:cs="宋体"/>
                <w:b/>
                <w:color w:val="000000"/>
                <w:sz w:val="20"/>
                <w:szCs w:val="20"/>
              </w:rPr>
              <w:t>项目</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本年收入合计</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财政拨款收入</w:t>
            </w:r>
          </w:p>
        </w:tc>
        <w:tc>
          <w:tcPr>
            <w:tcW w:w="28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上级补助收入</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bottom"/>
              <w:rPr>
                <w:rFonts w:hint="default" w:cs="宋体"/>
                <w:b/>
                <w:color w:val="000000"/>
                <w:sz w:val="20"/>
                <w:szCs w:val="20"/>
              </w:rPr>
            </w:pPr>
            <w:r>
              <w:rPr>
                <w:rFonts w:cs="宋体"/>
                <w:b/>
                <w:color w:val="000000"/>
                <w:sz w:val="20"/>
                <w:szCs w:val="20"/>
              </w:rPr>
              <w:t>事业收入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经营收入</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附属单位上缴收入</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功能分类科目编码</w:t>
            </w:r>
          </w:p>
        </w:tc>
        <w:tc>
          <w:tcPr>
            <w:tcW w:w="148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项目（按“项”级功能分类科目）</w:t>
            </w: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小计</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center"/>
              <w:rPr>
                <w:rFonts w:hint="default" w:cs="宋体"/>
                <w:b/>
                <w:color w:val="000000"/>
                <w:sz w:val="20"/>
                <w:szCs w:val="20"/>
              </w:rPr>
            </w:pPr>
            <w:r>
              <w:rPr>
                <w:rFonts w:cs="宋体"/>
                <w:b/>
                <w:color w:val="000000"/>
                <w:sz w:val="20"/>
                <w:szCs w:val="20"/>
              </w:rPr>
              <w:t>其中：教育收费</w:t>
            </w: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48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204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1,206.00</w:t>
            </w:r>
            <w:r>
              <w:rPr>
                <w:b/>
                <w:color w:val="000000"/>
                <w:sz w:val="20"/>
                <w:u w:color="auto"/>
              </w:rPr>
              <w:t xml:space="preserve"> </w:t>
            </w:r>
          </w:p>
        </w:tc>
        <w:tc>
          <w:tcPr>
            <w:tcW w:w="3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1,206.00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971.21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971.21</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799.99</w:t>
            </w:r>
            <w:r>
              <w:rPr>
                <w:b/>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499.20</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77.69</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77.69</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171.22</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171.22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67.28</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67.28</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25.98</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25.98</w:t>
            </w:r>
            <w:r>
              <w:rPr>
                <w:color w:val="000000"/>
                <w:sz w:val="20"/>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54.97</w:t>
            </w:r>
            <w:r>
              <w:rPr>
                <w:color w:val="000000"/>
                <w:sz w:val="20"/>
                <w:u w:color="auto"/>
              </w:rPr>
              <w:t xml:space="preserve">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54.97</w:t>
            </w:r>
            <w:r>
              <w:rPr>
                <w:color w:val="000000"/>
                <w:sz w:val="20"/>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p>
    <w:tbl>
      <w:tblPr>
        <w:tblStyle w:val="5"/>
        <w:tblW w:w="5001" w:type="pct"/>
        <w:tblInd w:w="0" w:type="dxa"/>
        <w:tblLayout w:type="fixed"/>
        <w:tblCellMar>
          <w:top w:w="0" w:type="dxa"/>
          <w:left w:w="0" w:type="dxa"/>
          <w:bottom w:w="0" w:type="dxa"/>
          <w:right w:w="0" w:type="dxa"/>
        </w:tblCellMar>
      </w:tblPr>
      <w:tblGrid>
        <w:gridCol w:w="1637"/>
        <w:gridCol w:w="3430"/>
        <w:gridCol w:w="744"/>
        <w:gridCol w:w="693"/>
        <w:gridCol w:w="795"/>
        <w:gridCol w:w="435"/>
        <w:gridCol w:w="570"/>
        <w:gridCol w:w="57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支出决算表</w:t>
            </w:r>
          </w:p>
        </w:tc>
      </w:tr>
      <w:tr>
        <w:tblPrEx>
          <w:tblCellMar>
            <w:top w:w="0" w:type="dxa"/>
            <w:left w:w="0" w:type="dxa"/>
            <w:bottom w:w="0" w:type="dxa"/>
            <w:right w:w="0" w:type="dxa"/>
          </w:tblCellMar>
        </w:tblPrEx>
        <w:trPr>
          <w:trHeight w:val="342" w:hRule="atLeast"/>
        </w:trPr>
        <w:tc>
          <w:tcPr>
            <w:tcW w:w="3273"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重庆市巫溪县人力资源和社会保障局 </w:t>
            </w: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43" w:type="pct"/>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3273"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43" w:type="pct"/>
            <w:gridSpan w:val="2"/>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285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3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922"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9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92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9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92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9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922"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9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285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1,206.00</w:t>
            </w:r>
          </w:p>
        </w:tc>
        <w:tc>
          <w:tcPr>
            <w:tcW w:w="3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832.90</w:t>
            </w:r>
            <w:r>
              <w:rPr>
                <w:b/>
                <w:color w:val="000000"/>
                <w:sz w:val="20"/>
                <w:u w:color="auto"/>
              </w:rPr>
              <w:t xml:space="preserve"> </w:t>
            </w: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373.10</w:t>
            </w:r>
            <w:r>
              <w:rPr>
                <w:b/>
                <w:color w:val="000000"/>
                <w:sz w:val="20"/>
                <w:u w:color="auto"/>
              </w:rPr>
              <w:t xml:space="preserve"> </w:t>
            </w:r>
          </w:p>
        </w:tc>
        <w:tc>
          <w:tcPr>
            <w:tcW w:w="2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971.21</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748.11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799.99</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499.20</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499.20</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77.69</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77.69</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171.22</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171.22</w:t>
            </w:r>
            <w:r>
              <w:rPr>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62.46</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67.28</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67.28</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41.48</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25.98</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25.98</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w:t>
            </w:r>
            <w:r>
              <w:rPr>
                <w:b/>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9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54.97</w:t>
            </w:r>
            <w:r>
              <w:rPr>
                <w:color w:val="000000"/>
                <w:sz w:val="20"/>
                <w:u w:color="auto"/>
              </w:rPr>
              <w:t xml:space="preserve"> </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54.97</w:t>
            </w:r>
            <w:r>
              <w:rPr>
                <w:color w:val="000000"/>
                <w:sz w:val="20"/>
                <w:u w:color="auto"/>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p>
    <w:tbl>
      <w:tblPr>
        <w:tblStyle w:val="5"/>
        <w:tblW w:w="4790" w:type="pct"/>
        <w:tblInd w:w="0" w:type="dxa"/>
        <w:tblLayout w:type="autofit"/>
        <w:tblCellMar>
          <w:top w:w="0" w:type="dxa"/>
          <w:left w:w="0" w:type="dxa"/>
          <w:bottom w:w="0" w:type="dxa"/>
          <w:right w:w="0" w:type="dxa"/>
        </w:tblCellMar>
      </w:tblPr>
      <w:tblGrid>
        <w:gridCol w:w="2550"/>
        <w:gridCol w:w="668"/>
        <w:gridCol w:w="2730"/>
        <w:gridCol w:w="668"/>
        <w:gridCol w:w="668"/>
        <w:gridCol w:w="211"/>
        <w:gridCol w:w="103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方正小标宋_GBK" w:hAnsi="方正小标宋_GBK" w:eastAsia="方正小标宋_GBK" w:cs="方正小标宋_GBK"/>
                <w:b w:val="0"/>
                <w:bCs/>
                <w:color w:val="000000"/>
                <w:sz w:val="36"/>
                <w:szCs w:val="36"/>
              </w:rPr>
            </w:pPr>
            <w:r>
              <w:rPr>
                <w:rFonts w:hint="eastAsia" w:ascii="方正小标宋_GBK" w:hAnsi="方正小标宋_GBK" w:eastAsia="方正小标宋_GBK" w:cs="方正小标宋_GBK"/>
                <w:b w:val="0"/>
                <w:bCs/>
                <w:color w:val="000000"/>
                <w:sz w:val="36"/>
                <w:szCs w:val="36"/>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重庆市巫溪县人力资源和社会保障局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5"/>
        <w:tblW w:w="5000" w:type="pct"/>
        <w:tblInd w:w="0" w:type="dxa"/>
        <w:tblLayout w:type="autofit"/>
        <w:tblCellMar>
          <w:top w:w="0" w:type="dxa"/>
          <w:left w:w="0" w:type="dxa"/>
          <w:bottom w:w="0" w:type="dxa"/>
          <w:right w:w="0" w:type="dxa"/>
        </w:tblCellMar>
      </w:tblPr>
      <w:tblGrid>
        <w:gridCol w:w="740"/>
        <w:gridCol w:w="3430"/>
        <w:gridCol w:w="1556"/>
        <w:gridCol w:w="1570"/>
        <w:gridCol w:w="157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重庆市巫溪县人力资源和社会保障局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1,206.00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832.90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971.21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748.11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5"/>
        <w:tblW w:w="4993" w:type="pct"/>
        <w:tblInd w:w="0" w:type="dxa"/>
        <w:tblLayout w:type="fixed"/>
        <w:tblCellMar>
          <w:top w:w="0" w:type="dxa"/>
          <w:left w:w="0" w:type="dxa"/>
          <w:bottom w:w="0" w:type="dxa"/>
          <w:right w:w="0" w:type="dxa"/>
        </w:tblCellMar>
      </w:tblPr>
      <w:tblGrid>
        <w:gridCol w:w="349"/>
        <w:gridCol w:w="1581"/>
        <w:gridCol w:w="794"/>
        <w:gridCol w:w="585"/>
        <w:gridCol w:w="1007"/>
        <w:gridCol w:w="955"/>
        <w:gridCol w:w="603"/>
        <w:gridCol w:w="1899"/>
        <w:gridCol w:w="109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78"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一般公共预算财政拨款基本支出决算表</w:t>
            </w:r>
          </w:p>
        </w:tc>
      </w:tr>
      <w:tr>
        <w:tblPrEx>
          <w:tblCellMar>
            <w:top w:w="0" w:type="dxa"/>
            <w:left w:w="0" w:type="dxa"/>
            <w:bottom w:w="0" w:type="dxa"/>
            <w:right w:w="0" w:type="dxa"/>
          </w:tblCellMar>
        </w:tblPrEx>
        <w:trPr>
          <w:trHeight w:val="90" w:hRule="atLeast"/>
        </w:trPr>
        <w:tc>
          <w:tcPr>
            <w:tcW w:w="2434"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重庆市巫溪县人力资源和社会保障局</w:t>
            </w: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4"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3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56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34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3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6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4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659.90</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110.38</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165.19</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11.75</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125.69</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135.20</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38.66</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67.28</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41.60</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29.82</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11.16</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54.97</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61.26</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59.80</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21.91</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23.74</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u w:color="auto"/>
              </w:rPr>
              <w:t xml:space="preserve"> </w:t>
            </w: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9.17</w:t>
            </w: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3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56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07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721.15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111.74</w:t>
            </w:r>
            <w:r>
              <w:rPr>
                <w:color w:val="000000"/>
                <w:sz w:val="18"/>
                <w:u w:color="auto"/>
              </w:rPr>
              <w:t xml:space="preserve"> </w:t>
            </w:r>
          </w:p>
        </w:tc>
      </w:tr>
    </w:tbl>
    <w:p>
      <w:pPr>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p>
    <w:tbl>
      <w:tblPr>
        <w:tblStyle w:val="5"/>
        <w:tblW w:w="5000" w:type="pct"/>
        <w:tblInd w:w="0" w:type="dxa"/>
        <w:tblLayout w:type="autofit"/>
        <w:tblCellMar>
          <w:top w:w="0" w:type="dxa"/>
          <w:left w:w="0" w:type="dxa"/>
          <w:bottom w:w="0" w:type="dxa"/>
          <w:right w:w="0" w:type="dxa"/>
        </w:tblCellMar>
      </w:tblPr>
      <w:tblGrid>
        <w:gridCol w:w="1208"/>
        <w:gridCol w:w="2011"/>
        <w:gridCol w:w="1111"/>
        <w:gridCol w:w="869"/>
        <w:gridCol w:w="869"/>
        <w:gridCol w:w="869"/>
        <w:gridCol w:w="907"/>
        <w:gridCol w:w="103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重庆市巫溪县人力资源和社会保障局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cs="宋体"/>
          <w:sz w:val="20"/>
          <w:szCs w:val="20"/>
        </w:rPr>
      </w:pPr>
      <w:r>
        <w:rPr>
          <w:rFonts w:cs="宋体"/>
          <w:sz w:val="20"/>
          <w:szCs w:val="20"/>
        </w:rPr>
        <w:t>备注：本表反映部门本年度政府性基金预算财政拨款收入支出及结转和结余情况。本部门无政府性基金收支，故本表无数据。</w:t>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tbl>
      <w:tblPr>
        <w:tblStyle w:val="5"/>
        <w:tblW w:w="5000" w:type="pct"/>
        <w:tblInd w:w="0" w:type="dxa"/>
        <w:tblLayout w:type="autofit"/>
        <w:tblCellMar>
          <w:top w:w="0" w:type="dxa"/>
          <w:left w:w="0" w:type="dxa"/>
          <w:bottom w:w="0" w:type="dxa"/>
          <w:right w:w="0" w:type="dxa"/>
        </w:tblCellMar>
      </w:tblPr>
      <w:tblGrid>
        <w:gridCol w:w="1086"/>
        <w:gridCol w:w="1766"/>
        <w:gridCol w:w="1890"/>
        <w:gridCol w:w="115"/>
        <w:gridCol w:w="2006"/>
        <w:gridCol w:w="44"/>
        <w:gridCol w:w="196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6"/>
                <w:szCs w:val="36"/>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重庆市巫溪县人力资源和社会保障局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cs="宋体"/>
          <w:sz w:val="20"/>
          <w:szCs w:val="20"/>
        </w:rPr>
        <w:sectPr>
          <w:pgSz w:w="11906" w:h="16838"/>
          <w:pgMar w:top="2098" w:right="1474" w:bottom="1984" w:left="1587" w:header="851" w:footer="1474" w:gutter="0"/>
          <w:pgNumType w:fmt="numberInDash"/>
          <w:cols w:space="0" w:num="1"/>
          <w:rtlGutter w:val="0"/>
          <w:docGrid w:type="lines" w:linePitch="318" w:charSpace="0"/>
        </w:sectPr>
      </w:pPr>
      <w:r>
        <w:rPr>
          <w:rFonts w:cs="宋体"/>
          <w:sz w:val="20"/>
          <w:szCs w:val="20"/>
        </w:rPr>
        <w:t>备注：本表反映部门本年度国有资本经营预算财政拨款支出情况。本部门无国有资本经营收支，故本表无数据。</w:t>
      </w:r>
    </w:p>
    <w:tbl>
      <w:tblPr>
        <w:tblStyle w:val="5"/>
        <w:tblW w:w="4850" w:type="pct"/>
        <w:tblInd w:w="0" w:type="dxa"/>
        <w:tblLayout w:type="fixed"/>
        <w:tblCellMar>
          <w:top w:w="0" w:type="dxa"/>
          <w:left w:w="170" w:type="dxa"/>
          <w:bottom w:w="0" w:type="dxa"/>
          <w:right w:w="170" w:type="dxa"/>
        </w:tblCellMar>
      </w:tblPr>
      <w:tblGrid>
        <w:gridCol w:w="2319"/>
        <w:gridCol w:w="1243"/>
        <w:gridCol w:w="1213"/>
        <w:gridCol w:w="2597"/>
        <w:gridCol w:w="1238"/>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578" w:lineRule="exact"/>
              <w:jc w:val="center"/>
              <w:textAlignment w:val="bottom"/>
              <w:rPr>
                <w:rFonts w:hint="default" w:cs="宋体"/>
                <w:b/>
                <w:color w:val="000000"/>
                <w:kern w:val="2"/>
                <w:sz w:val="32"/>
                <w:szCs w:val="32"/>
              </w:rPr>
            </w:pPr>
            <w:r>
              <w:rPr>
                <w:rFonts w:hint="eastAsia" w:ascii="方正小标宋_GBK" w:hAnsi="方正小标宋_GBK" w:eastAsia="方正小标宋_GBK" w:cs="方正小标宋_GBK"/>
                <w:b w:val="0"/>
                <w:bCs/>
                <w:color w:val="000000"/>
                <w:sz w:val="36"/>
                <w:szCs w:val="36"/>
              </w:rPr>
              <w:t>机构运行信息表</w:t>
            </w:r>
          </w:p>
        </w:tc>
      </w:tr>
      <w:tr>
        <w:tblPrEx>
          <w:tblCellMar>
            <w:top w:w="0" w:type="dxa"/>
            <w:left w:w="170" w:type="dxa"/>
            <w:bottom w:w="0" w:type="dxa"/>
            <w:right w:w="170" w:type="dxa"/>
          </w:tblCellMar>
        </w:tblPrEx>
        <w:trPr>
          <w:trHeight w:val="244" w:hRule="atLeast"/>
        </w:trPr>
        <w:tc>
          <w:tcPr>
            <w:tcW w:w="1346"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1"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8"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772" w:type="pct"/>
            <w:gridSpan w:val="3"/>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both"/>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重庆市巫溪县人力资源和社会保障局</w:t>
            </w: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1"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111.74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111.74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7.32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7.32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8.12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1906" w:h="16838"/>
      <w:pgMar w:top="2098" w:right="1474" w:bottom="1984" w:left="1587" w:header="851" w:footer="147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WZkYTRlYzE5NmVhNWE2Mjk3ZmQ3NjQyN2JjMjIifQ=="/>
  </w:docVars>
  <w:rsids>
    <w:rsidRoot w:val="00000000"/>
    <w:rsid w:val="13BE1CB6"/>
    <w:rsid w:val="1BF454A6"/>
    <w:rsid w:val="295113BC"/>
    <w:rsid w:val="30AA190A"/>
    <w:rsid w:val="323F16E4"/>
    <w:rsid w:val="55D9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2023-08-21T09:52:00Z</dcterms:created>
  <dc:creator>Administrator</dc:creator>
  <cp:lastModifiedBy>Administrator</cp:lastModifiedBy>
  <dcterms:modified xsi:type="dcterms:W3CDTF">2024-10-08T02:34:54Z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2C69F976E2714FD2947EC34047AA7FBA_12</vt:lpwstr>
  </property>
</Properties>
</file>