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700" w:lineRule="exact"/>
        <w:jc w:val="center"/>
        <w:textAlignment w:val="auto"/>
        <w:rPr>
          <w:rFonts w:ascii="方正小标宋_GBK" w:hAnsi="方正小标宋_GBK" w:eastAsia="方正小标宋_GBK" w:cs="方正小标宋_GBK"/>
          <w:b w:val="0"/>
          <w:bCs w:val="0"/>
          <w:sz w:val="44"/>
          <w:szCs w:val="44"/>
        </w:rPr>
      </w:pPr>
      <w:r>
        <w:rPr>
          <w:rFonts w:ascii="方正小标宋_GBK" w:hAnsi="方正小标宋_GBK" w:eastAsia="方正小标宋_GBK" w:cs="方正小标宋_GBK"/>
          <w:b w:val="0"/>
          <w:bCs w:val="0"/>
          <w:sz w:val="44"/>
          <w:szCs w:val="44"/>
        </w:rPr>
        <w:t>巫溪县人力资源和社会保障局</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700" w:lineRule="exact"/>
        <w:jc w:val="center"/>
        <w:textAlignment w:val="auto"/>
        <w:rPr>
          <w:rFonts w:hint="default" w:ascii="方正小标宋_GBK" w:hAnsi="方正小标宋_GBK" w:eastAsia="方正小标宋_GBK" w:cs="方正小标宋_GBK"/>
          <w:b w:val="0"/>
          <w:bCs w:val="0"/>
          <w:sz w:val="44"/>
          <w:szCs w:val="44"/>
          <w:shd w:val="clear" w:color="auto" w:fill="FFFFFF"/>
        </w:rPr>
      </w:pPr>
      <w:r>
        <w:rPr>
          <w:rFonts w:hint="default" w:ascii="Times New Roman" w:hAnsi="Times New Roman" w:eastAsia="方正小标宋_GBK"/>
          <w:b w:val="0"/>
          <w:bCs w:val="0"/>
          <w:sz w:val="44"/>
          <w:szCs w:val="44"/>
          <w:shd w:val="clear" w:color="auto" w:fill="FFFFFF"/>
        </w:rPr>
        <w:t>2024</w:t>
      </w:r>
      <w:r>
        <w:rPr>
          <w:rFonts w:ascii="方正小标宋_GBK" w:hAnsi="方正小标宋_GBK" w:eastAsia="方正小标宋_GBK" w:cs="方正小标宋_GBK"/>
          <w:b w:val="0"/>
          <w:bCs w:val="0"/>
          <w:sz w:val="44"/>
          <w:szCs w:val="44"/>
          <w:shd w:val="clear" w:color="auto" w:fill="FFFFFF"/>
        </w:rPr>
        <w:t>年度决算公开说明</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700" w:lineRule="exact"/>
        <w:jc w:val="both"/>
        <w:textAlignment w:val="auto"/>
        <w:rPr>
          <w:rFonts w:hint="eastAsia" w:ascii="方正小标宋_GBK" w:hAnsi="方正小标宋_GBK" w:eastAsia="方正小标宋_GBK" w:cs="方正小标宋_GBK"/>
          <w:sz w:val="36"/>
          <w:szCs w:val="36"/>
          <w:shd w:val="clear" w:color="auto" w:fill="FFFFFF"/>
        </w:rPr>
      </w:pP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78" w:lineRule="exact"/>
        <w:ind w:firstLine="640" w:firstLineChars="200"/>
        <w:jc w:val="both"/>
        <w:textAlignment w:val="auto"/>
        <w:rPr>
          <w:rFonts w:hint="eastAsia" w:ascii="方正黑体_GBK" w:hAnsi="方正黑体_GBK" w:eastAsia="方正黑体_GBK" w:cs="方正黑体_GBK"/>
          <w:sz w:val="32"/>
          <w:szCs w:val="32"/>
          <w:shd w:val="clear" w:color="auto" w:fill="FFFFFF"/>
        </w:rPr>
      </w:pPr>
      <w:r>
        <w:rPr>
          <w:rFonts w:hint="eastAsia" w:ascii="方正黑体_GBK" w:hAnsi="方正黑体_GBK" w:eastAsia="方正黑体_GBK" w:cs="方正黑体_GBK"/>
          <w:sz w:val="32"/>
          <w:szCs w:val="32"/>
          <w:shd w:val="clear" w:color="auto" w:fill="FFFFFF"/>
        </w:rPr>
        <w:t>一、单位基本情况</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78" w:lineRule="exact"/>
        <w:ind w:firstLine="640" w:firstLineChars="200"/>
        <w:jc w:val="both"/>
        <w:textAlignment w:val="auto"/>
        <w:rPr>
          <w:rFonts w:hint="eastAsia" w:ascii="方正楷体_GBK" w:hAnsi="方正楷体_GBK" w:eastAsia="方正楷体_GBK" w:cs="方正楷体_GBK"/>
          <w:sz w:val="32"/>
          <w:szCs w:val="32"/>
          <w:shd w:val="clear" w:color="auto" w:fill="FFFFFF"/>
        </w:rPr>
      </w:pPr>
      <w:r>
        <w:rPr>
          <w:rFonts w:hint="eastAsia" w:ascii="方正楷体_GBK" w:hAnsi="方正楷体_GBK" w:eastAsia="方正楷体_GBK" w:cs="方正楷体_GBK"/>
          <w:sz w:val="32"/>
          <w:szCs w:val="32"/>
          <w:shd w:val="clear" w:color="auto" w:fill="FFFFFF"/>
        </w:rPr>
        <w:t>（一）职能职责</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部门现行的职能职责：</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eastAsia" w:ascii="Times New Roman" w:hAnsi="Times New Roman" w:eastAsia="方正仿宋_GBK" w:cs="Times New Roman"/>
          <w:sz w:val="32"/>
          <w:szCs w:val="32"/>
          <w:shd w:val="clear" w:color="auto" w:fill="FFFFFF"/>
          <w:lang w:val="en-US" w:eastAsia="zh-CN"/>
        </w:rPr>
        <w:t>1.</w:t>
      </w:r>
      <w:r>
        <w:rPr>
          <w:rFonts w:hint="default" w:ascii="Times New Roman" w:hAnsi="Times New Roman" w:eastAsia="方正仿宋_GBK" w:cs="Times New Roman"/>
          <w:sz w:val="32"/>
          <w:szCs w:val="32"/>
          <w:shd w:val="clear" w:color="auto" w:fill="FFFFFF"/>
        </w:rPr>
        <w:t>贯彻执行人力资源和社会保障法律、法规、规章和方针政策，拟订相关发展规划、政策并组织实施和监督检查。</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eastAsia" w:ascii="Times New Roman" w:hAnsi="Times New Roman" w:eastAsia="方正仿宋_GBK" w:cs="Times New Roman"/>
          <w:sz w:val="32"/>
          <w:szCs w:val="32"/>
          <w:shd w:val="clear" w:color="auto" w:fill="FFFFFF"/>
          <w:lang w:val="en-US" w:eastAsia="zh-CN"/>
        </w:rPr>
        <w:t>2.</w:t>
      </w:r>
      <w:r>
        <w:rPr>
          <w:rFonts w:hint="default" w:ascii="Times New Roman" w:hAnsi="Times New Roman" w:eastAsia="方正仿宋_GBK" w:cs="Times New Roman"/>
          <w:sz w:val="32"/>
          <w:szCs w:val="32"/>
          <w:shd w:val="clear" w:color="auto" w:fill="FFFFFF"/>
        </w:rPr>
        <w:t>拟订人力资源市场发展规划，贯彻落实人力资源服务业发展、人力资源流动政策，促进人力资源合理流动、有效配置。综合管理人力资源市场和人力资源开发培训、流动调配等工作。</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eastAsia"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负责促进就业工作，拟订统筹城乡的就业发展规划，完善公共就业创业服务体系，统筹建立面向城乡劳动者的职业技能培训制度，贯彻落实就业援助制度和高校毕业生就业政策。</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eastAsia"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统筹推进建立覆盖城乡的多层次社会保障体系。贯彻养老、失业、工伤等社会保险及其补充保险政策和地方标准。贯彻养老、失业、工伤保险关系转续办法。贯彻养老、失业、工伤等社会保险及其补充保险基金管理和监督制度，承担行政监督责任。会同相关部门编制相关社会保险基金决算，会同有关部门实施全民参保计划。</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eastAsia" w:ascii="Times New Roman" w:hAnsi="Times New Roman" w:eastAsia="方正仿宋_GBK" w:cs="Times New Roman"/>
          <w:sz w:val="32"/>
          <w:szCs w:val="32"/>
          <w:shd w:val="clear" w:color="auto" w:fill="FFFFFF"/>
          <w:lang w:val="en-US" w:eastAsia="zh-CN"/>
        </w:rPr>
        <w:t>5.</w:t>
      </w:r>
      <w:r>
        <w:rPr>
          <w:rFonts w:hint="default" w:ascii="Times New Roman" w:hAnsi="Times New Roman" w:eastAsia="方正仿宋_GBK" w:cs="Times New Roman"/>
          <w:sz w:val="32"/>
          <w:szCs w:val="32"/>
          <w:shd w:val="clear" w:color="auto" w:fill="FFFFFF"/>
        </w:rPr>
        <w:t>负责就业、失业和相关社会保险基金预测预警和信息引导，拟订应对预案，实施预防、调节和控制，保持就业形势稳定和相关社会保险基金总体收支平衡。</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eastAsia" w:ascii="Times New Roman" w:hAnsi="Times New Roman" w:eastAsia="方正仿宋_GBK" w:cs="Times New Roman"/>
          <w:sz w:val="32"/>
          <w:szCs w:val="32"/>
          <w:shd w:val="clear" w:color="auto" w:fill="FFFFFF"/>
          <w:lang w:val="en-US" w:eastAsia="zh-CN"/>
        </w:rPr>
        <w:t>6.</w:t>
      </w:r>
      <w:r>
        <w:rPr>
          <w:rFonts w:hint="default" w:ascii="Times New Roman" w:hAnsi="Times New Roman" w:eastAsia="方正仿宋_GBK" w:cs="Times New Roman"/>
          <w:sz w:val="32"/>
          <w:szCs w:val="32"/>
          <w:shd w:val="clear" w:color="auto" w:fill="FFFFFF"/>
        </w:rPr>
        <w:t>贯彻落实劳动人事争议调解仲裁制度和劳动关系政策，完善劳动关系协商协调机制，贯彻职工工作时间、休息休假和假期制度，贯彻消除非法使用童工政策和女工、未成年工的特殊劳动保护政策。组织实施劳动保障监察，协调劳动者维权工作，依法查处重大案件。</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eastAsia" w:ascii="Times New Roman" w:hAnsi="Times New Roman" w:eastAsia="方正仿宋_GBK" w:cs="Times New Roman"/>
          <w:sz w:val="32"/>
          <w:szCs w:val="32"/>
          <w:shd w:val="clear" w:color="auto" w:fill="FFFFFF"/>
          <w:lang w:val="en-US" w:eastAsia="zh-CN"/>
        </w:rPr>
        <w:t>7.</w:t>
      </w:r>
      <w:r>
        <w:rPr>
          <w:rFonts w:hint="default" w:ascii="Times New Roman" w:hAnsi="Times New Roman" w:eastAsia="方正仿宋_GBK" w:cs="Times New Roman"/>
          <w:sz w:val="32"/>
          <w:szCs w:val="32"/>
          <w:shd w:val="clear" w:color="auto" w:fill="FFFFFF"/>
        </w:rPr>
        <w:t>参与拟订全县人才队伍建设的总体规划等工作，负责县级有关重点人才项目的组织实施和监督检查。参与拟订人才引进政策。</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eastAsia" w:ascii="Times New Roman" w:hAnsi="Times New Roman" w:eastAsia="方正仿宋_GBK" w:cs="Times New Roman"/>
          <w:sz w:val="32"/>
          <w:szCs w:val="32"/>
          <w:shd w:val="clear" w:color="auto" w:fill="FFFFFF"/>
          <w:lang w:val="en-US" w:eastAsia="zh-CN"/>
        </w:rPr>
        <w:t>8.</w:t>
      </w:r>
      <w:r>
        <w:rPr>
          <w:rFonts w:hint="default" w:ascii="Times New Roman" w:hAnsi="Times New Roman" w:eastAsia="方正仿宋_GBK" w:cs="Times New Roman"/>
          <w:sz w:val="32"/>
          <w:szCs w:val="32"/>
          <w:shd w:val="clear" w:color="auto" w:fill="FFFFFF"/>
        </w:rPr>
        <w:t>负责专业技术人才队伍和高技能人才队伍建设。牵头推进深化职称制度改革工作，负责专业技术人员管理和继续教育工作，负责高层次专业技术人才选拔和培养工作。负责技能人才培养、评价、使用和激励工作，贯彻执行职业资格制度和职业技能多元化评价政策。参与紧缺优秀人才的引进工作。负责专家、高层次人才服务工作。</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eastAsia" w:ascii="Times New Roman" w:hAnsi="Times New Roman" w:eastAsia="方正仿宋_GBK" w:cs="Times New Roman"/>
          <w:sz w:val="32"/>
          <w:szCs w:val="32"/>
          <w:shd w:val="clear" w:color="auto" w:fill="FFFFFF"/>
          <w:lang w:val="en-US" w:eastAsia="zh-CN"/>
        </w:rPr>
        <w:t>9.</w:t>
      </w:r>
      <w:r>
        <w:rPr>
          <w:rFonts w:hint="default" w:ascii="Times New Roman" w:hAnsi="Times New Roman" w:eastAsia="方正仿宋_GBK" w:cs="Times New Roman"/>
          <w:sz w:val="32"/>
          <w:szCs w:val="32"/>
          <w:shd w:val="clear" w:color="auto" w:fill="FFFFFF"/>
        </w:rPr>
        <w:t>会同相关部门指导推进事业单位人事制度改革，按照管理权限负责规范事业单位岗位设置、公开招聘、聘用合同、人员交流等人事综合管理工作，组织实施事业单位人员和机关工勤人员管理政策。</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eastAsia" w:ascii="Times New Roman" w:hAnsi="Times New Roman" w:eastAsia="方正仿宋_GBK" w:cs="Times New Roman"/>
          <w:sz w:val="32"/>
          <w:szCs w:val="32"/>
          <w:shd w:val="clear" w:color="auto" w:fill="FFFFFF"/>
          <w:lang w:val="en-US" w:eastAsia="zh-CN"/>
        </w:rPr>
        <w:t>10.</w:t>
      </w:r>
      <w:r>
        <w:rPr>
          <w:rFonts w:hint="default" w:ascii="Times New Roman" w:hAnsi="Times New Roman" w:eastAsia="方正仿宋_GBK" w:cs="Times New Roman"/>
          <w:sz w:val="32"/>
          <w:szCs w:val="32"/>
          <w:shd w:val="clear" w:color="auto" w:fill="FFFFFF"/>
        </w:rPr>
        <w:t>贯彻执行全市表彰奖励政策，按规定开展表彰奖励工作。</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eastAsia" w:ascii="Times New Roman" w:hAnsi="Times New Roman" w:eastAsia="方正仿宋_GBK" w:cs="Times New Roman"/>
          <w:sz w:val="32"/>
          <w:szCs w:val="32"/>
          <w:shd w:val="clear" w:color="auto" w:fill="FFFFFF"/>
          <w:lang w:val="en-US" w:eastAsia="zh-CN"/>
        </w:rPr>
        <w:t>11.</w:t>
      </w:r>
      <w:r>
        <w:rPr>
          <w:rFonts w:hint="default" w:ascii="Times New Roman" w:hAnsi="Times New Roman" w:eastAsia="方正仿宋_GBK" w:cs="Times New Roman"/>
          <w:sz w:val="32"/>
          <w:szCs w:val="32"/>
          <w:shd w:val="clear" w:color="auto" w:fill="FFFFFF"/>
        </w:rPr>
        <w:t>贯彻执行机关事业单位人员工资收入分配、津补贴政策和企业职工工资收入分配的调控政策和措施，组织实施机关企事业单位人员福利、工（公）伤和离退休政策。</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eastAsia" w:ascii="Times New Roman" w:hAnsi="Times New Roman" w:eastAsia="方正仿宋_GBK" w:cs="Times New Roman"/>
          <w:sz w:val="32"/>
          <w:szCs w:val="32"/>
          <w:shd w:val="clear" w:color="auto" w:fill="FFFFFF"/>
          <w:lang w:val="en-US" w:eastAsia="zh-CN"/>
        </w:rPr>
        <w:t>12.</w:t>
      </w:r>
      <w:r>
        <w:rPr>
          <w:rFonts w:hint="default" w:ascii="Times New Roman" w:hAnsi="Times New Roman" w:eastAsia="方正仿宋_GBK" w:cs="Times New Roman"/>
          <w:sz w:val="32"/>
          <w:szCs w:val="32"/>
          <w:shd w:val="clear" w:color="auto" w:fill="FFFFFF"/>
        </w:rPr>
        <w:t>会同有关部门贯彻落实农民工工作综合性政策和规划，拟订相关配套政策并组织实施，协调解决重点难点问题，维护农民工合法权益。</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eastAsia" w:ascii="Times New Roman" w:hAnsi="Times New Roman" w:eastAsia="方正仿宋_GBK" w:cs="Times New Roman"/>
          <w:sz w:val="32"/>
          <w:szCs w:val="32"/>
          <w:shd w:val="clear" w:color="auto" w:fill="FFFFFF"/>
          <w:lang w:val="en-US" w:eastAsia="zh-CN"/>
        </w:rPr>
        <w:t>13.</w:t>
      </w:r>
      <w:r>
        <w:rPr>
          <w:rFonts w:hint="default" w:ascii="Times New Roman" w:hAnsi="Times New Roman" w:eastAsia="方正仿宋_GBK" w:cs="Times New Roman"/>
          <w:sz w:val="32"/>
          <w:szCs w:val="32"/>
          <w:shd w:val="clear" w:color="auto" w:fill="FFFFFF"/>
        </w:rPr>
        <w:t>负责全县人力资源和社会保障领域对外交流与合作。</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eastAsia" w:ascii="Times New Roman" w:hAnsi="Times New Roman" w:eastAsia="方正仿宋_GBK" w:cs="Times New Roman"/>
          <w:sz w:val="32"/>
          <w:szCs w:val="32"/>
          <w:shd w:val="clear" w:color="auto" w:fill="FFFFFF"/>
          <w:lang w:val="en-US" w:eastAsia="zh-CN"/>
        </w:rPr>
        <w:t>14.</w:t>
      </w:r>
      <w:r>
        <w:rPr>
          <w:rFonts w:hint="default" w:ascii="Times New Roman" w:hAnsi="Times New Roman" w:eastAsia="方正仿宋_GBK" w:cs="Times New Roman"/>
          <w:sz w:val="32"/>
          <w:szCs w:val="32"/>
          <w:shd w:val="clear" w:color="auto" w:fill="FFFFFF"/>
        </w:rPr>
        <w:t>负责机关和所属单位的党建工作。</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eastAsia" w:ascii="Times New Roman" w:hAnsi="Times New Roman" w:eastAsia="方正仿宋_GBK" w:cs="Times New Roman"/>
          <w:sz w:val="32"/>
          <w:szCs w:val="32"/>
          <w:shd w:val="clear" w:color="auto" w:fill="FFFFFF"/>
          <w:lang w:val="en-US" w:eastAsia="zh-CN"/>
        </w:rPr>
        <w:t>15.</w:t>
      </w:r>
      <w:r>
        <w:rPr>
          <w:rFonts w:hint="default" w:ascii="Times New Roman" w:hAnsi="Times New Roman" w:eastAsia="方正仿宋_GBK" w:cs="Times New Roman"/>
          <w:sz w:val="32"/>
          <w:szCs w:val="32"/>
          <w:shd w:val="clear" w:color="auto" w:fill="FFFFFF"/>
        </w:rPr>
        <w:t>完成县委、县政府交办的其他任务。</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eastAsia" w:ascii="Times New Roman" w:hAnsi="Times New Roman" w:eastAsia="方正仿宋_GBK" w:cs="Times New Roman"/>
          <w:sz w:val="32"/>
          <w:szCs w:val="32"/>
          <w:shd w:val="clear" w:color="auto" w:fill="FFFFFF"/>
          <w:lang w:val="en-US" w:eastAsia="zh-CN"/>
        </w:rPr>
        <w:t>16.</w:t>
      </w:r>
      <w:r>
        <w:rPr>
          <w:rFonts w:hint="default" w:ascii="Times New Roman" w:hAnsi="Times New Roman" w:eastAsia="方正仿宋_GBK" w:cs="Times New Roman"/>
          <w:sz w:val="32"/>
          <w:szCs w:val="32"/>
          <w:shd w:val="clear" w:color="auto" w:fill="FFFFFF"/>
        </w:rPr>
        <w:t>职能转变。深入推进简政放权、放管结合、优化服务改革，按规定减少行政审批事项，规范和优化对外办理事项，减少职业资格许可和认定等审批事项，贯彻执行国家职业资格目录清单，加强事中事后监管，创新就业和社会保障等公共服务方式，拟订信息规划，加强信息共享，提高公共服务水平。将巫溪县人力资源和社会保障局所属事业单位承担的行政职能划归巫溪县人力资源和社会保障局，除执法队伍承担具体执法工作外，所属事业单位不再承担行政职能。</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78" w:lineRule="exact"/>
        <w:ind w:firstLine="640" w:firstLineChars="200"/>
        <w:jc w:val="both"/>
        <w:textAlignment w:val="auto"/>
        <w:rPr>
          <w:rFonts w:hint="default" w:ascii="方正楷体_GBK" w:hAnsi="方正楷体_GBK" w:eastAsia="方正楷体_GBK" w:cs="方正楷体_GBK"/>
          <w:sz w:val="32"/>
          <w:szCs w:val="32"/>
          <w:shd w:val="clear" w:color="auto" w:fill="FFFFFF"/>
        </w:rPr>
      </w:pPr>
      <w:r>
        <w:rPr>
          <w:rFonts w:hint="default" w:ascii="方正楷体_GBK" w:hAnsi="方正楷体_GBK" w:eastAsia="方正楷体_GBK" w:cs="方正楷体_GBK"/>
          <w:sz w:val="32"/>
          <w:szCs w:val="32"/>
          <w:shd w:val="clear" w:color="auto" w:fill="FFFFFF"/>
        </w:rPr>
        <w:t>（二）机构设置</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本单位内设7个科室：办公室、事业单位人事管理科、就业促进科、工资福利科、社会保险科、法规仲裁科（行政审批科）、劳动监察科（基金监管科）。</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78" w:lineRule="exact"/>
        <w:ind w:firstLine="640" w:firstLineChars="200"/>
        <w:jc w:val="both"/>
        <w:textAlignment w:val="auto"/>
        <w:rPr>
          <w:rFonts w:hint="default" w:ascii="方正黑体_GBK" w:hAnsi="方正黑体_GBK" w:eastAsia="方正黑体_GBK" w:cs="方正黑体_GBK"/>
          <w:sz w:val="32"/>
          <w:szCs w:val="32"/>
          <w:shd w:val="clear" w:color="auto" w:fill="FFFFFF"/>
        </w:rPr>
      </w:pPr>
      <w:r>
        <w:rPr>
          <w:rFonts w:hint="default" w:ascii="方正黑体_GBK" w:hAnsi="方正黑体_GBK" w:eastAsia="方正黑体_GBK" w:cs="方正黑体_GBK"/>
          <w:sz w:val="32"/>
          <w:szCs w:val="32"/>
          <w:shd w:val="clear" w:color="auto" w:fill="FFFFFF"/>
        </w:rPr>
        <w:t>二、部门决算收支情况说明</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78" w:lineRule="exact"/>
        <w:ind w:firstLine="640" w:firstLineChars="200"/>
        <w:jc w:val="both"/>
        <w:textAlignment w:val="auto"/>
        <w:rPr>
          <w:rFonts w:hint="default" w:ascii="方正楷体_GBK" w:hAnsi="方正楷体_GBK" w:eastAsia="方正楷体_GBK" w:cs="方正楷体_GBK"/>
          <w:sz w:val="32"/>
          <w:szCs w:val="32"/>
          <w:shd w:val="clear" w:color="auto" w:fill="FFFFFF"/>
        </w:rPr>
      </w:pPr>
      <w:r>
        <w:rPr>
          <w:rFonts w:hint="default" w:ascii="方正楷体_GBK" w:hAnsi="方正楷体_GBK" w:eastAsia="方正楷体_GBK" w:cs="方正楷体_GBK"/>
          <w:sz w:val="32"/>
          <w:szCs w:val="32"/>
          <w:shd w:val="clear" w:color="auto" w:fill="FFFFFF"/>
        </w:rPr>
        <w:t>（一）收入支出决算总体情况说明</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1.总体情况。2024年度收入总计1041.29万元，支出总计1041.29万元。收、支与2023年度相比，减少164.71万元，下降13.7%，主要原因是项目支出中三支一扶、劳动仲裁等工作经费减少以及退休人员增加导致。</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收入情况。2024年度收入合计1041.29万元，与2023年度相比，减少164.71万元，下降13.7%，主要原因是项目支出中三支一扶、劳动仲裁等工作经费减少以及退休人员增加导致。其中：财政拨款收入1041.29万元，占100.00%；事业收入0.00万元，占0.00%；经营收入0.00万元，占0.00%；其他收入0.00万元，占0.00%。此外，使用非财政拨款结余和专用结余0.00万元，年初结转和结余0.00万元。</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3.支出情况。2024年度支出合计1041.29万元，与2023年度相比，减少164.71万元，下降13.7%，主要原因是项目支出中三支一扶、劳动仲裁等工作经费减少以及退休人员增加导致。</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其中：基本支出769.89万元，占73.94%；项目支出271.40万元，占26.06%；经营支出0.00万元，占0.00%。此外，结余分配0.00万元。</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4.结转结余情况。2024年度年末结转和结余0.00万元，与2023年度相比，无增减。</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78" w:lineRule="exact"/>
        <w:ind w:firstLine="640" w:firstLineChars="200"/>
        <w:jc w:val="both"/>
        <w:textAlignment w:val="auto"/>
        <w:rPr>
          <w:rFonts w:hint="default" w:ascii="方正楷体_GBK" w:hAnsi="方正楷体_GBK" w:eastAsia="方正楷体_GBK" w:cs="方正楷体_GBK"/>
          <w:sz w:val="32"/>
          <w:szCs w:val="32"/>
          <w:shd w:val="clear" w:color="auto" w:fill="FFFFFF"/>
        </w:rPr>
      </w:pPr>
      <w:r>
        <w:rPr>
          <w:rFonts w:hint="default" w:ascii="方正楷体_GBK" w:hAnsi="方正楷体_GBK" w:eastAsia="方正楷体_GBK" w:cs="方正楷体_GBK"/>
          <w:sz w:val="32"/>
          <w:szCs w:val="32"/>
          <w:shd w:val="clear" w:color="auto" w:fill="FFFFFF"/>
        </w:rPr>
        <w:t>（二）财政拨款收入支出决算总体情况说明</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2024年度财政拨款收、支总计1041.29万元。与2023年相比，财政拨款收、支总计各减少164.71万元，下降13.7%。主要原因是项目支出中三支一扶、劳动仲裁等工作经费减少以及退休人员增加导致。</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78" w:lineRule="exact"/>
        <w:ind w:firstLine="640" w:firstLineChars="200"/>
        <w:jc w:val="both"/>
        <w:textAlignment w:val="auto"/>
        <w:rPr>
          <w:rFonts w:hint="default" w:ascii="方正楷体_GBK" w:hAnsi="方正楷体_GBK" w:eastAsia="方正楷体_GBK" w:cs="方正楷体_GBK"/>
          <w:sz w:val="32"/>
          <w:szCs w:val="32"/>
          <w:shd w:val="clear" w:color="auto" w:fill="FFFFFF"/>
        </w:rPr>
      </w:pPr>
      <w:r>
        <w:rPr>
          <w:rFonts w:hint="default" w:ascii="方正楷体_GBK" w:hAnsi="方正楷体_GBK" w:eastAsia="方正楷体_GBK" w:cs="方正楷体_GBK"/>
          <w:sz w:val="32"/>
          <w:szCs w:val="32"/>
          <w:shd w:val="clear" w:color="auto" w:fill="FFFFFF"/>
        </w:rPr>
        <w:t>（三）一般公共预算财政拨款收入支出决算情况说明</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1.收入情况。2024年度一般公共预算财政拨款收入1041.29万元，与2023年度相比，减少164.71万元，下降13.7%。主要原因是项目支出中三支一扶、劳动仲裁等工作经费减少以及退休人员增加导致。</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较年初预算数增加118.72万元，增长12.9%。主要原因是项目预算中追加了智慧人社网络服务费、农民工工资、事业招录等工作经费。此外，年初财政拨款结转和结余0.00万元。</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2.支出情况。2024年度一般公共预算财政拨款支出1041.29万元，与2023年度相比，减少164.71万元，下降13.7%。主要原因是项目支出中三支一扶、劳动仲裁等工作经费减少以及退休人员增加导致。</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较年初预算数增加118.72万元，增长12.9%。主要原因是项目预算中追加了智慧人社网络服务费、农民工工资、事业招录等工作经费。</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3.结转结余情况。2024年度年末一般公共预算财政拨款结转和结余0.00万元，与2023年度相比，无增减。</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4.比较情况。本部门2024年度一般公共预算财政拨款支出主要用于以下几个方面：</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（1）社会保障与就业支出888.51万元，占85.33%，较年初预算数增加107.02万元，增长13.7%，主要原因是项目预算中追加了智慧人社网络服务费、农民工工资、事业招录等工作经费。</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（2）卫生健康支出39.44万元，占3.79%，较年初预算数无增减。</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（3）农林水支出50.00万元，占4.80%，较年初预算数无增。</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（4）资源勘探信息等支出11.70万元，占1.12%，较年初预算数增加11.70万元，增长100.0%，主要原因是支付其他服务业企业升规补助。</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（5）住房保障支出51.64万元，占4.96%，较年初预算数无增减。</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78" w:lineRule="exact"/>
        <w:ind w:firstLine="640" w:firstLineChars="200"/>
        <w:jc w:val="both"/>
        <w:textAlignment w:val="auto"/>
        <w:rPr>
          <w:rFonts w:hint="default" w:ascii="方正楷体_GBK" w:hAnsi="方正楷体_GBK" w:eastAsia="方正楷体_GBK" w:cs="方正楷体_GBK"/>
          <w:sz w:val="32"/>
          <w:szCs w:val="32"/>
          <w:shd w:val="clear" w:color="auto" w:fill="FFFFFF"/>
        </w:rPr>
      </w:pPr>
      <w:r>
        <w:rPr>
          <w:rFonts w:hint="default" w:ascii="方正楷体_GBK" w:hAnsi="方正楷体_GBK" w:eastAsia="方正楷体_GBK" w:cs="方正楷体_GBK"/>
          <w:sz w:val="32"/>
          <w:szCs w:val="32"/>
          <w:shd w:val="clear" w:color="auto" w:fill="FFFFFF"/>
        </w:rPr>
        <w:t>（四）一般公共预算财政拨款基本支出决算情况说明</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一般公共财政拨款基本支出769.89万元。其中：人员经费670.48万元，与2023年度相比，减少50.67万元，下降7.0%，主要原因是退休人员增加。人员经费用途主要包括基本工资、津贴补贴、奖金、绩效工资、社会保险缴费等。公用经费99.42万元，与2023年度相比，减少12.32万元，下降11.0%，主要原因是项目支出中三支一扶、劳动仲裁等工作经费减少以及退休人员增加导致。公用经费用途主要包括</w:t>
      </w:r>
      <w:bookmarkStart w:id="0" w:name="_GoBack"/>
      <w:bookmarkEnd w:id="0"/>
      <w:r>
        <w:rPr>
          <w:rFonts w:hint="default" w:ascii="Times New Roman" w:hAnsi="Times New Roman" w:eastAsia="方正仿宋_GBK" w:cs="Times New Roman"/>
          <w:sz w:val="32"/>
          <w:szCs w:val="32"/>
          <w:shd w:val="clear" w:color="auto" w:fill="FFFFFF"/>
        </w:rPr>
        <w:t>办公费、邮电费、差旅费、劳务费等。</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78" w:lineRule="exact"/>
        <w:ind w:firstLine="640" w:firstLineChars="200"/>
        <w:jc w:val="both"/>
        <w:textAlignment w:val="auto"/>
        <w:rPr>
          <w:rFonts w:hint="default" w:ascii="方正楷体_GBK" w:hAnsi="方正楷体_GBK" w:eastAsia="方正楷体_GBK" w:cs="方正楷体_GBK"/>
          <w:sz w:val="32"/>
          <w:szCs w:val="32"/>
          <w:shd w:val="clear" w:color="auto" w:fill="FFFFFF"/>
        </w:rPr>
      </w:pPr>
      <w:r>
        <w:rPr>
          <w:rFonts w:hint="default" w:ascii="方正楷体_GBK" w:hAnsi="方正楷体_GBK" w:eastAsia="方正楷体_GBK" w:cs="方正楷体_GBK"/>
          <w:sz w:val="32"/>
          <w:szCs w:val="32"/>
          <w:shd w:val="clear" w:color="auto" w:fill="FFFFFF"/>
        </w:rPr>
        <w:t>（五）政府性基金预算收支决算情况说明</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本部门2024年度无政府性基金预算财政拨款收支。</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78" w:lineRule="exact"/>
        <w:ind w:firstLine="640" w:firstLineChars="200"/>
        <w:jc w:val="both"/>
        <w:textAlignment w:val="auto"/>
        <w:rPr>
          <w:rFonts w:hint="default" w:ascii="方正楷体_GBK" w:hAnsi="方正楷体_GBK" w:eastAsia="方正楷体_GBK" w:cs="方正楷体_GBK"/>
          <w:sz w:val="32"/>
          <w:szCs w:val="32"/>
          <w:shd w:val="clear" w:color="auto" w:fill="FFFFFF"/>
        </w:rPr>
      </w:pPr>
      <w:r>
        <w:rPr>
          <w:rFonts w:hint="default" w:ascii="方正楷体_GBK" w:hAnsi="方正楷体_GBK" w:eastAsia="方正楷体_GBK" w:cs="方正楷体_GBK"/>
          <w:sz w:val="32"/>
          <w:szCs w:val="32"/>
          <w:shd w:val="clear" w:color="auto" w:fill="FFFFFF"/>
        </w:rPr>
        <w:t>（六）国有资本经营预算财政拨款支出决算情况说明</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本部门2024年度无国有资本经营预算财政拨款收支。</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78" w:lineRule="exact"/>
        <w:ind w:firstLine="640" w:firstLineChars="200"/>
        <w:jc w:val="both"/>
        <w:textAlignment w:val="auto"/>
        <w:rPr>
          <w:rFonts w:hint="default" w:ascii="方正黑体_GBK" w:hAnsi="方正黑体_GBK" w:eastAsia="方正黑体_GBK" w:cs="方正黑体_GBK"/>
          <w:sz w:val="32"/>
          <w:szCs w:val="32"/>
          <w:shd w:val="clear" w:color="auto" w:fill="FFFFFF"/>
        </w:rPr>
      </w:pPr>
      <w:r>
        <w:rPr>
          <w:rFonts w:hint="default" w:ascii="方正黑体_GBK" w:hAnsi="方正黑体_GBK" w:eastAsia="方正黑体_GBK" w:cs="方正黑体_GBK"/>
          <w:sz w:val="32"/>
          <w:szCs w:val="32"/>
          <w:shd w:val="clear" w:color="auto" w:fill="FFFFFF"/>
        </w:rPr>
        <w:t>三、财政拨款“三公”经费情况说明</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78" w:lineRule="exact"/>
        <w:ind w:firstLine="640" w:firstLineChars="200"/>
        <w:jc w:val="both"/>
        <w:textAlignment w:val="auto"/>
        <w:rPr>
          <w:rFonts w:hint="default" w:ascii="方正楷体_GBK" w:hAnsi="方正楷体_GBK" w:eastAsia="方正楷体_GBK" w:cs="方正楷体_GBK"/>
          <w:sz w:val="32"/>
          <w:szCs w:val="32"/>
          <w:shd w:val="clear" w:color="auto" w:fill="FFFFFF"/>
        </w:rPr>
      </w:pPr>
      <w:r>
        <w:rPr>
          <w:rFonts w:hint="default" w:ascii="方正楷体_GBK" w:hAnsi="方正楷体_GBK" w:eastAsia="方正楷体_GBK" w:cs="方正楷体_GBK"/>
          <w:sz w:val="32"/>
          <w:szCs w:val="32"/>
          <w:shd w:val="clear" w:color="auto" w:fill="FFFFFF"/>
        </w:rPr>
        <w:t>（一）“三公”经费支出总体情况说明</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2024年度“三公”经费支出共计14.70万元，较年初预算数减少5.80万元，下降28.3%，较上年支出数减少0.74万元，下降4.8%，主要原因是响应国家号召，过紧日子，压缩开支。</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78" w:lineRule="exact"/>
        <w:ind w:firstLine="640" w:firstLineChars="200"/>
        <w:jc w:val="both"/>
        <w:textAlignment w:val="auto"/>
        <w:rPr>
          <w:rFonts w:hint="default" w:ascii="方正楷体_GBK" w:hAnsi="方正楷体_GBK" w:eastAsia="方正楷体_GBK" w:cs="方正楷体_GBK"/>
          <w:sz w:val="32"/>
          <w:szCs w:val="32"/>
          <w:shd w:val="clear" w:color="auto" w:fill="FFFFFF"/>
        </w:rPr>
      </w:pPr>
      <w:r>
        <w:rPr>
          <w:rFonts w:hint="default" w:ascii="方正楷体_GBK" w:hAnsi="方正楷体_GBK" w:eastAsia="方正楷体_GBK" w:cs="方正楷体_GBK"/>
          <w:sz w:val="32"/>
          <w:szCs w:val="32"/>
          <w:shd w:val="clear" w:color="auto" w:fill="FFFFFF"/>
        </w:rPr>
        <w:t>（二）“三公”经费分项支出情况</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2024年度本单位因公出国（境）费用0.00万元。费用支出较年初预算数无增减，主要原因是无因公出国（境）。</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公务车购置费0.00万元。费用支出较年初预算数无增减。较上年支出数无增减。</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公务车运行维护费7.07万元，主要用于公务车辆保险费、过路过桥费、维修维护费等。费用支出较年初预算数减少4.43万元，下降38.5%，主要原因是响应国家号召，过紧日子，压缩开支。</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较上年支出数减少0.25万元，下降3.4%，主要原因是响应国家号召，过紧日子，压缩开支。</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公务接待费7.63万元，主要用于接待接受相关部门检查指导工作发生的接待支出、日常工作等公务用餐支出。费用支出较年初预算数减少1.37万元，下降15.2%，主要原因是响应国家号召，过紧日子，压缩开支。</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较上年支出数减少0.49万元，下降6.0%，主要原因是响应国家号召，过紧日子，压缩开支。</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78" w:lineRule="exact"/>
        <w:ind w:firstLine="640" w:firstLineChars="200"/>
        <w:jc w:val="both"/>
        <w:textAlignment w:val="auto"/>
        <w:rPr>
          <w:rFonts w:hint="default" w:ascii="方正楷体_GBK" w:hAnsi="方正楷体_GBK" w:eastAsia="方正楷体_GBK" w:cs="方正楷体_GBK"/>
          <w:sz w:val="32"/>
          <w:szCs w:val="32"/>
          <w:shd w:val="clear" w:color="auto" w:fill="FFFFFF"/>
        </w:rPr>
      </w:pPr>
      <w:r>
        <w:rPr>
          <w:rFonts w:hint="default" w:ascii="方正楷体_GBK" w:hAnsi="方正楷体_GBK" w:eastAsia="方正楷体_GBK" w:cs="方正楷体_GBK"/>
          <w:sz w:val="32"/>
          <w:szCs w:val="32"/>
          <w:shd w:val="clear" w:color="auto" w:fill="FFFFFF"/>
        </w:rPr>
        <w:t>（三）“三公”经费实物量情况</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本部门因公出国（境）共计0个团组，0人；公务用车购置0辆，公务车保有量为1辆；国内公务接待211批次1545人，其中：国内外事接待0批次，0人；国（境）外公务接待0批次，0人。2024年本部门人均接待费49.39元，车均购置费0万元，车均维护费7.07万元。</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78" w:lineRule="exact"/>
        <w:ind w:firstLine="640" w:firstLineChars="200"/>
        <w:jc w:val="both"/>
        <w:textAlignment w:val="auto"/>
        <w:rPr>
          <w:rFonts w:hint="default" w:ascii="方正黑体_GBK" w:hAnsi="方正黑体_GBK" w:eastAsia="方正黑体_GBK" w:cs="方正黑体_GBK"/>
          <w:sz w:val="32"/>
          <w:szCs w:val="32"/>
          <w:shd w:val="clear" w:color="auto" w:fill="FFFFFF"/>
        </w:rPr>
      </w:pPr>
      <w:r>
        <w:rPr>
          <w:rFonts w:hint="default" w:ascii="方正黑体_GBK" w:hAnsi="方正黑体_GBK" w:eastAsia="方正黑体_GBK" w:cs="方正黑体_GBK"/>
          <w:sz w:val="32"/>
          <w:szCs w:val="32"/>
          <w:shd w:val="clear" w:color="auto" w:fill="FFFFFF"/>
        </w:rPr>
        <w:t>四、其他需要说明的事项</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78" w:lineRule="exact"/>
        <w:ind w:firstLine="640" w:firstLineChars="200"/>
        <w:jc w:val="both"/>
        <w:textAlignment w:val="auto"/>
        <w:rPr>
          <w:rFonts w:hint="default" w:ascii="方正楷体_GBK" w:hAnsi="方正楷体_GBK" w:eastAsia="方正楷体_GBK" w:cs="方正楷体_GBK"/>
          <w:sz w:val="32"/>
          <w:szCs w:val="32"/>
          <w:shd w:val="clear" w:color="auto" w:fill="FFFFFF"/>
        </w:rPr>
      </w:pPr>
      <w:r>
        <w:rPr>
          <w:rFonts w:hint="default" w:ascii="方正楷体_GBK" w:hAnsi="方正楷体_GBK" w:eastAsia="方正楷体_GBK" w:cs="方正楷体_GBK"/>
          <w:sz w:val="32"/>
          <w:szCs w:val="32"/>
          <w:shd w:val="clear" w:color="auto" w:fill="FFFFFF"/>
        </w:rPr>
        <w:t>（一）财政拨款会议费和培训费情况说明</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本年度会议费支出0.00万元，与2023年度相比，无增减。本年度培训费支出0.00万元，与2023年度相比，减少0.56万元，下降100.0%，主要原因是响应国家号召，过紧日子，压缩开支。</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78" w:lineRule="exact"/>
        <w:ind w:firstLine="640" w:firstLineChars="200"/>
        <w:jc w:val="both"/>
        <w:textAlignment w:val="auto"/>
        <w:rPr>
          <w:rFonts w:hint="default" w:ascii="方正楷体_GBK" w:hAnsi="方正楷体_GBK" w:eastAsia="方正楷体_GBK" w:cs="方正楷体_GBK"/>
          <w:sz w:val="32"/>
          <w:szCs w:val="32"/>
          <w:shd w:val="clear" w:color="auto" w:fill="FFFFFF"/>
        </w:rPr>
      </w:pPr>
      <w:r>
        <w:rPr>
          <w:rFonts w:hint="default" w:ascii="方正楷体_GBK" w:hAnsi="方正楷体_GBK" w:eastAsia="方正楷体_GBK" w:cs="方正楷体_GBK"/>
          <w:sz w:val="32"/>
          <w:szCs w:val="32"/>
          <w:shd w:val="clear" w:color="auto" w:fill="FFFFFF"/>
        </w:rPr>
        <w:t>（二）机关运行经费情况说明</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本部门机关运行经费支出83.76万元，机关运行经费主要用于开支办公费、印刷费、邮电费、水电费、物管费、差旅费及其他商品和服务支出等。机关运行经费较上年支出数减少27.98万元，下降25.0%，主要原因是响应国家号召，过紧日子，压缩开支。</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78" w:lineRule="exact"/>
        <w:ind w:firstLine="640" w:firstLineChars="200"/>
        <w:jc w:val="both"/>
        <w:textAlignment w:val="auto"/>
        <w:rPr>
          <w:rFonts w:hint="default" w:ascii="方正楷体_GBK" w:hAnsi="方正楷体_GBK" w:eastAsia="方正楷体_GBK" w:cs="方正楷体_GBK"/>
          <w:sz w:val="32"/>
          <w:szCs w:val="32"/>
          <w:shd w:val="clear" w:color="auto" w:fill="FFFFFF"/>
        </w:rPr>
      </w:pPr>
      <w:r>
        <w:rPr>
          <w:rFonts w:hint="default" w:ascii="方正楷体_GBK" w:hAnsi="方正楷体_GBK" w:eastAsia="方正楷体_GBK" w:cs="方正楷体_GBK"/>
          <w:sz w:val="32"/>
          <w:szCs w:val="32"/>
          <w:shd w:val="clear" w:color="auto" w:fill="FFFFFF"/>
        </w:rPr>
        <w:t>（三）国有资产占用情况说明</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截至2024年12月31日，本部门共有车辆1辆，其中，副部（省）级及以上领导用车0辆、主要负责人用车0辆、机要通信用车0辆、应急保障用车1辆、执法执勤用车0辆，特种专业技术用车0辆，离退休干部用车0辆。单价100万元（含）以上专用设备0台（套）。</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78" w:lineRule="exact"/>
        <w:ind w:firstLine="640" w:firstLineChars="200"/>
        <w:jc w:val="both"/>
        <w:textAlignment w:val="auto"/>
        <w:rPr>
          <w:rFonts w:hint="default" w:ascii="方正楷体_GBK" w:hAnsi="方正楷体_GBK" w:eastAsia="方正楷体_GBK" w:cs="方正楷体_GBK"/>
          <w:sz w:val="32"/>
          <w:szCs w:val="32"/>
          <w:shd w:val="clear" w:color="auto" w:fill="FFFFFF"/>
        </w:rPr>
      </w:pPr>
      <w:r>
        <w:rPr>
          <w:rFonts w:hint="default" w:ascii="方正楷体_GBK" w:hAnsi="方正楷体_GBK" w:eastAsia="方正楷体_GBK" w:cs="方正楷体_GBK"/>
          <w:sz w:val="32"/>
          <w:szCs w:val="32"/>
          <w:shd w:val="clear" w:color="auto" w:fill="FFFFFF"/>
        </w:rPr>
        <w:t>（四）政府采购支出情况说明</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本部门政府采购支出总额3.69万元，其中：政府采购货物支出3.69万元、政府采购工程支出0.00万元、政府采购服务支出0.00万元。授予中小企业合同金额2.55万元，占政府采购支出总额的69.13%，其中：授予小微企业合同金额2.55万元，占政府采购支出总额的69.13 %。主要用于采购空调、电脑、打印机等办公设备。</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78" w:lineRule="exact"/>
        <w:ind w:firstLine="640" w:firstLineChars="200"/>
        <w:jc w:val="both"/>
        <w:textAlignment w:val="auto"/>
        <w:rPr>
          <w:rFonts w:hint="default" w:ascii="方正黑体_GBK" w:hAnsi="方正黑体_GBK" w:eastAsia="方正黑体_GBK" w:cs="方正黑体_GBK"/>
          <w:sz w:val="32"/>
          <w:szCs w:val="32"/>
          <w:shd w:val="clear" w:color="auto" w:fill="FFFFFF"/>
        </w:rPr>
      </w:pPr>
      <w:r>
        <w:rPr>
          <w:rFonts w:hint="default" w:ascii="方正黑体_GBK" w:hAnsi="方正黑体_GBK" w:eastAsia="方正黑体_GBK" w:cs="方正黑体_GBK"/>
          <w:sz w:val="32"/>
          <w:szCs w:val="32"/>
          <w:shd w:val="clear" w:color="auto" w:fill="FFFFFF"/>
        </w:rPr>
        <w:t>五、2024年度预算绩效管理情况说明</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78" w:lineRule="exact"/>
        <w:ind w:firstLine="640" w:firstLineChars="200"/>
        <w:jc w:val="both"/>
        <w:textAlignment w:val="auto"/>
        <w:rPr>
          <w:rFonts w:hint="default" w:ascii="方正楷体_GBK" w:hAnsi="方正楷体_GBK" w:eastAsia="方正楷体_GBK" w:cs="方正楷体_GBK"/>
          <w:sz w:val="32"/>
          <w:szCs w:val="32"/>
          <w:shd w:val="clear" w:color="auto" w:fill="FFFFFF"/>
        </w:rPr>
      </w:pPr>
      <w:r>
        <w:rPr>
          <w:rFonts w:hint="default" w:ascii="方正楷体_GBK" w:hAnsi="方正楷体_GBK" w:eastAsia="方正楷体_GBK" w:cs="方正楷体_GBK"/>
          <w:sz w:val="32"/>
          <w:szCs w:val="32"/>
          <w:shd w:val="clear" w:color="auto" w:fill="FFFFFF"/>
        </w:rPr>
        <w:t>（一）单位自评情况</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根据预算绩效管理要求，我单位对部门整体和11个二级项目开展了绩效自评，涉及财政拨款项目支出资金373.1万元。</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jc w:val="center"/>
        <w:textAlignment w:val="auto"/>
        <w:rPr>
          <w:rFonts w:hint="eastAsia" w:ascii="方正仿宋_GBK" w:hAnsi="方正仿宋_GBK" w:eastAsia="方正仿宋_GBK" w:cs="方正仿宋_GBK"/>
          <w:b/>
          <w:bCs/>
          <w:kern w:val="0"/>
          <w:sz w:val="32"/>
          <w:szCs w:val="32"/>
          <w:shd w:val="clear" w:fill="FFFFFF"/>
          <w:lang w:eastAsia="zh-CN"/>
        </w:rPr>
      </w:pPr>
      <w:r>
        <w:rPr>
          <w:rFonts w:hint="eastAsia" w:ascii="方正仿宋_GBK" w:hAnsi="方正仿宋_GBK" w:eastAsia="方正仿宋_GBK" w:cs="方正仿宋_GBK"/>
          <w:b/>
          <w:bCs/>
          <w:kern w:val="0"/>
          <w:sz w:val="32"/>
          <w:szCs w:val="32"/>
          <w:shd w:val="clear" w:fill="FFFFFF"/>
        </w:rPr>
        <w:t>部门整体绩效自评</w:t>
      </w:r>
      <w:r>
        <w:rPr>
          <w:rFonts w:hint="eastAsia" w:ascii="方正仿宋_GBK" w:hAnsi="方正仿宋_GBK" w:eastAsia="方正仿宋_GBK" w:cs="方正仿宋_GBK"/>
          <w:b/>
          <w:bCs/>
          <w:kern w:val="0"/>
          <w:sz w:val="32"/>
          <w:szCs w:val="32"/>
          <w:shd w:val="clear" w:fill="FFFFFF"/>
          <w:lang w:eastAsia="zh-CN"/>
        </w:rPr>
        <w:t>表</w:t>
      </w: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24"/>
        <w:gridCol w:w="308"/>
        <w:gridCol w:w="453"/>
        <w:gridCol w:w="761"/>
        <w:gridCol w:w="374"/>
        <w:gridCol w:w="153"/>
        <w:gridCol w:w="118"/>
        <w:gridCol w:w="218"/>
        <w:gridCol w:w="326"/>
        <w:gridCol w:w="491"/>
        <w:gridCol w:w="673"/>
        <w:gridCol w:w="118"/>
        <w:gridCol w:w="130"/>
        <w:gridCol w:w="306"/>
        <w:gridCol w:w="353"/>
        <w:gridCol w:w="112"/>
        <w:gridCol w:w="589"/>
        <w:gridCol w:w="181"/>
        <w:gridCol w:w="243"/>
        <w:gridCol w:w="314"/>
        <w:gridCol w:w="446"/>
        <w:gridCol w:w="282"/>
        <w:gridCol w:w="6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000" w:type="pct"/>
            <w:gridSpan w:val="2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2024年度部门整体绩效自评表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000" w:type="pct"/>
            <w:gridSpan w:val="2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b/>
                <w:bCs/>
                <w:i w:val="0"/>
                <w:iCs w:val="0"/>
                <w:color w:val="DA3232"/>
                <w:sz w:val="22"/>
                <w:szCs w:val="22"/>
                <w:u w:val="none"/>
              </w:rPr>
            </w:pPr>
            <w:r>
              <w:rPr>
                <w:rFonts w:hint="eastAsia" w:ascii="宋体" w:hAnsi="宋体" w:eastAsia="宋体" w:cs="宋体"/>
                <w:b/>
                <w:bCs/>
                <w:i w:val="0"/>
                <w:iCs w:val="0"/>
                <w:color w:val="DA3232"/>
                <w:kern w:val="0"/>
                <w:sz w:val="22"/>
                <w:szCs w:val="22"/>
                <w:u w:val="none"/>
                <w:lang w:val="en-US" w:eastAsia="zh-CN" w:bidi="ar"/>
              </w:rPr>
              <w:t>状态：业务审核已审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104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巫溪县人力资源和社会保障局整体监控</w:t>
            </w:r>
          </w:p>
        </w:tc>
        <w:tc>
          <w:tcPr>
            <w:tcW w:w="45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778"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50023800024P000057</w:t>
            </w:r>
          </w:p>
        </w:tc>
        <w:tc>
          <w:tcPr>
            <w:tcW w:w="42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55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41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5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104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063-巫溪县人力资源和社会保障局</w:t>
            </w:r>
          </w:p>
        </w:tc>
        <w:tc>
          <w:tcPr>
            <w:tcW w:w="45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778"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006-社保科</w:t>
            </w:r>
          </w:p>
        </w:tc>
        <w:tc>
          <w:tcPr>
            <w:tcW w:w="42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55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汪敬华</w:t>
            </w:r>
          </w:p>
        </w:tc>
        <w:tc>
          <w:tcPr>
            <w:tcW w:w="41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5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13996643366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2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5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1008"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987"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30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40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95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9,225,735.48 </w:t>
            </w:r>
          </w:p>
        </w:tc>
        <w:tc>
          <w:tcPr>
            <w:tcW w:w="1008"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10,412,937.98 </w:t>
            </w:r>
          </w:p>
        </w:tc>
        <w:tc>
          <w:tcPr>
            <w:tcW w:w="987"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10,412,937.98 </w:t>
            </w:r>
          </w:p>
        </w:tc>
        <w:tc>
          <w:tcPr>
            <w:tcW w:w="30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40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95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9,225,735.48 </w:t>
            </w:r>
          </w:p>
        </w:tc>
        <w:tc>
          <w:tcPr>
            <w:tcW w:w="1008"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10,412,937.98 </w:t>
            </w:r>
          </w:p>
        </w:tc>
        <w:tc>
          <w:tcPr>
            <w:tcW w:w="987"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10,412,937.98 </w:t>
            </w:r>
          </w:p>
        </w:tc>
        <w:tc>
          <w:tcPr>
            <w:tcW w:w="30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0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95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9,225,735.48 </w:t>
            </w:r>
          </w:p>
        </w:tc>
        <w:tc>
          <w:tcPr>
            <w:tcW w:w="1008"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10,412,937.98 </w:t>
            </w:r>
          </w:p>
        </w:tc>
        <w:tc>
          <w:tcPr>
            <w:tcW w:w="987"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10,412,937.98 </w:t>
            </w:r>
          </w:p>
        </w:tc>
        <w:tc>
          <w:tcPr>
            <w:tcW w:w="30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0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2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979"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1249"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1771"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1979" w:type="pct"/>
            <w:gridSpan w:val="7"/>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贯彻执行人力资源和社会保障法律、法规、规章和方针政策，拟订相关发展规划、政策并组织实施和监督检查。2.拟订人力资源市场发展规划，贯彻落实人力资源服务业发展、人力资源流动政策，促进人力资源合理流动、有效配置。3.贯彻落实劳动人事争议调解仲裁制度和劳动关系政策，完善劳动关系协商协调机制，贯彻职工工作时间、休息休假和假期制度，贯彻消除非法使用童工政策和女工、未成年工的特殊劳动保护政策。组织实施劳动保障监察，协调劳动者维权工作，依法查处重大案件。4.负责专业技术人才队伍和高技能人才队伍建设。5.贯彻执行机关事业单位人员工资收入分配、津补贴政策和企业职工工资收入分配的调控政策和措施，组织实施机关企事业单位人员福利、工（公）伤和离退休政策。</w:t>
            </w:r>
          </w:p>
        </w:tc>
        <w:tc>
          <w:tcPr>
            <w:tcW w:w="1249" w:type="pct"/>
            <w:gridSpan w:val="7"/>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771" w:type="pct"/>
            <w:gridSpan w:val="9"/>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贯彻执行人力资源和社会保障法律、法规、规章和方针政策，拟订相关发展规划、政策并组织实施和监督检查。2.拟订人力资源市场发展规划，贯彻落实人力资源服务业发展、人力资源流动政策，促进人力资源合理流动、有效配置。3.贯彻落实劳动人事争议调解仲裁制度和劳动关系政策，完善劳动关系协商协调机制，贯彻职工工作时间、休息休假和假期制度，贯彻消除非法使用童工政策和女工、未成年工的特殊劳动保护政策。组织实施劳动保障监察，协调劳动者维权工作，依法查处重大案件。4.负责专业技术人才队伍和高技能人才队伍建设。5.贯彻执行机关事业单位人员工资收入分配、津补贴政策和企业职工工资收入分配的调控政策和措施，组织实施机关企事业单位人员福利、工（公）伤和离退休政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00" w:type="pct"/>
            <w:gridSpan w:val="2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475"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45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43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43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3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40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40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工伤及病退人员鉴定</w:t>
            </w:r>
          </w:p>
        </w:tc>
        <w:tc>
          <w:tcPr>
            <w:tcW w:w="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75"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5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3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0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0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检查企业数</w:t>
            </w:r>
          </w:p>
        </w:tc>
        <w:tc>
          <w:tcPr>
            <w:tcW w:w="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家</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75"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45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43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0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0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仲裁立案件数</w:t>
            </w:r>
          </w:p>
        </w:tc>
        <w:tc>
          <w:tcPr>
            <w:tcW w:w="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75"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5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3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0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0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组织事业单位招录及遴选批次</w:t>
            </w:r>
          </w:p>
        </w:tc>
        <w:tc>
          <w:tcPr>
            <w:tcW w:w="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75"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45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43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0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0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trPr>
        <w:tc>
          <w:tcPr>
            <w:tcW w:w="7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维护社会和谐发展</w:t>
            </w:r>
          </w:p>
        </w:tc>
        <w:tc>
          <w:tcPr>
            <w:tcW w:w="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475"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稳定</w:t>
            </w:r>
          </w:p>
        </w:tc>
        <w:tc>
          <w:tcPr>
            <w:tcW w:w="45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3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0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0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群众满意度</w:t>
            </w:r>
          </w:p>
        </w:tc>
        <w:tc>
          <w:tcPr>
            <w:tcW w:w="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75"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45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43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0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0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bl>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jc w:val="both"/>
        <w:textAlignment w:val="auto"/>
        <w:rPr>
          <w:rFonts w:hint="eastAsia" w:ascii="方正仿宋_GBK" w:hAnsi="方正仿宋_GBK" w:eastAsia="方正仿宋_GBK" w:cs="方正仿宋_GBK"/>
          <w:b/>
          <w:bCs/>
          <w:kern w:val="0"/>
          <w:sz w:val="32"/>
          <w:szCs w:val="32"/>
          <w:shd w:val="clear" w:fill="FFFFFF"/>
        </w:rPr>
      </w:pP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jc w:val="center"/>
        <w:textAlignment w:val="auto"/>
        <w:rPr>
          <w:rFonts w:hint="eastAsia" w:ascii="方正仿宋_GBK" w:hAnsi="方正仿宋_GBK" w:eastAsia="方正仿宋_GBK" w:cs="方正仿宋_GBK"/>
          <w:b/>
          <w:bCs/>
          <w:kern w:val="0"/>
          <w:sz w:val="32"/>
          <w:szCs w:val="32"/>
          <w:shd w:val="clear" w:fill="FFFFFF"/>
        </w:rPr>
      </w:pPr>
      <w:r>
        <w:rPr>
          <w:rFonts w:hint="eastAsia" w:ascii="方正仿宋_GBK" w:hAnsi="方正仿宋_GBK" w:eastAsia="方正仿宋_GBK" w:cs="方正仿宋_GBK"/>
          <w:b/>
          <w:bCs/>
          <w:kern w:val="0"/>
          <w:sz w:val="32"/>
          <w:szCs w:val="32"/>
          <w:shd w:val="clear" w:fill="FFFFFF"/>
        </w:rPr>
        <w:t>项目支出绩效自评表</w:t>
      </w: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35"/>
        <w:gridCol w:w="483"/>
        <w:gridCol w:w="433"/>
        <w:gridCol w:w="915"/>
        <w:gridCol w:w="202"/>
        <w:gridCol w:w="663"/>
        <w:gridCol w:w="677"/>
        <w:gridCol w:w="106"/>
        <w:gridCol w:w="666"/>
        <w:gridCol w:w="819"/>
        <w:gridCol w:w="138"/>
        <w:gridCol w:w="538"/>
        <w:gridCol w:w="164"/>
        <w:gridCol w:w="216"/>
        <w:gridCol w:w="206"/>
        <w:gridCol w:w="501"/>
        <w:gridCol w:w="58"/>
        <w:gridCol w:w="212"/>
        <w:gridCol w:w="7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000" w:type="pct"/>
            <w:gridSpan w:val="1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2024年度二级项目绩效自评表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000" w:type="pct"/>
            <w:gridSpan w:val="1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b/>
                <w:bCs/>
                <w:i w:val="0"/>
                <w:iCs w:val="0"/>
                <w:color w:val="DA3232"/>
                <w:sz w:val="22"/>
                <w:szCs w:val="22"/>
                <w:u w:val="none"/>
              </w:rPr>
            </w:pPr>
            <w:r>
              <w:rPr>
                <w:rFonts w:hint="eastAsia" w:ascii="宋体" w:hAnsi="宋体" w:eastAsia="宋体" w:cs="宋体"/>
                <w:b/>
                <w:bCs/>
                <w:i w:val="0"/>
                <w:iCs w:val="0"/>
                <w:color w:val="DA3232"/>
                <w:kern w:val="0"/>
                <w:sz w:val="22"/>
                <w:szCs w:val="22"/>
                <w:u w:val="none"/>
                <w:lang w:val="en-US" w:eastAsia="zh-CN" w:bidi="ar"/>
              </w:rPr>
              <w:t>状态：业务审核已审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101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24事业单位招录工作经费</w:t>
            </w:r>
          </w:p>
        </w:tc>
        <w:tc>
          <w:tcPr>
            <w:tcW w:w="47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79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50023824T000004207546</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582"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38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55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101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063-巫溪县人力资源和社会保障局</w:t>
            </w:r>
          </w:p>
        </w:tc>
        <w:tc>
          <w:tcPr>
            <w:tcW w:w="47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79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006-社保科</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582"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汪敬华</w:t>
            </w:r>
          </w:p>
        </w:tc>
        <w:tc>
          <w:tcPr>
            <w:tcW w:w="38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55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13996643366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0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91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81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46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54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51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0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74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261,000.00 </w:t>
            </w:r>
          </w:p>
        </w:tc>
        <w:tc>
          <w:tcPr>
            <w:tcW w:w="91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261,000.00 </w:t>
            </w:r>
          </w:p>
        </w:tc>
        <w:tc>
          <w:tcPr>
            <w:tcW w:w="81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261,000.00 </w:t>
            </w:r>
          </w:p>
        </w:tc>
        <w:tc>
          <w:tcPr>
            <w:tcW w:w="46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54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51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0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74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261,000.00 </w:t>
            </w:r>
          </w:p>
        </w:tc>
        <w:tc>
          <w:tcPr>
            <w:tcW w:w="91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261,000.00 </w:t>
            </w:r>
          </w:p>
        </w:tc>
        <w:tc>
          <w:tcPr>
            <w:tcW w:w="81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261,000.00 </w:t>
            </w:r>
          </w:p>
        </w:tc>
        <w:tc>
          <w:tcPr>
            <w:tcW w:w="46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4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51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0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74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261,000.00 </w:t>
            </w:r>
          </w:p>
        </w:tc>
        <w:tc>
          <w:tcPr>
            <w:tcW w:w="91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261,000.00 </w:t>
            </w:r>
          </w:p>
        </w:tc>
        <w:tc>
          <w:tcPr>
            <w:tcW w:w="81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261,000.00 </w:t>
            </w:r>
          </w:p>
        </w:tc>
        <w:tc>
          <w:tcPr>
            <w:tcW w:w="46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4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51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858"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1694"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1447"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858"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按照县委编办的用编批复，完成公开招聘、考核招聘、村干部中招聘事业单位人员等计划。</w:t>
            </w:r>
          </w:p>
        </w:tc>
        <w:tc>
          <w:tcPr>
            <w:tcW w:w="1694" w:type="pct"/>
            <w:gridSpan w:val="6"/>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按照县委编办的用编批复，完成公开招聘、考核招聘、村干部中招聘事业单位人员等计划。</w:t>
            </w:r>
          </w:p>
        </w:tc>
        <w:tc>
          <w:tcPr>
            <w:tcW w:w="1447" w:type="pct"/>
            <w:gridSpan w:val="8"/>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按照县委编办的用编批复，完成公开招聘、考核招聘、村干部中招聘事业单位人员等计划。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50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47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4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37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32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42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招录场次</w:t>
            </w:r>
          </w:p>
        </w:tc>
        <w:tc>
          <w:tcPr>
            <w:tcW w:w="50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场次</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7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4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7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32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42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00" w:hRule="atLeast"/>
        </w:trPr>
        <w:tc>
          <w:tcPr>
            <w:tcW w:w="7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招聘事业单位人数</w:t>
            </w:r>
          </w:p>
        </w:tc>
        <w:tc>
          <w:tcPr>
            <w:tcW w:w="50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7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w:t>
            </w:r>
          </w:p>
        </w:tc>
        <w:tc>
          <w:tcPr>
            <w:tcW w:w="4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7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32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42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维护公平公开的竞争原则</w:t>
            </w:r>
          </w:p>
        </w:tc>
        <w:tc>
          <w:tcPr>
            <w:tcW w:w="50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47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公平公开</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7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2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2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招录人员及社会满意度</w:t>
            </w:r>
          </w:p>
        </w:tc>
        <w:tc>
          <w:tcPr>
            <w:tcW w:w="50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7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7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2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2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bl>
    <w:p>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Style w:val="8"/>
          <w:rFonts w:hint="eastAsia" w:ascii="方正楷体_GBK" w:hAnsi="方正楷体_GBK" w:eastAsia="方正楷体_GBK" w:cs="方正楷体_GBK"/>
          <w:b w:val="0"/>
          <w:bCs/>
          <w:sz w:val="32"/>
          <w:szCs w:val="32"/>
          <w:shd w:val="clear" w:color="auto" w:fill="FFFFFF"/>
          <w:lang w:val="en-US" w:eastAsia="zh-CN" w:bidi="ar-SA"/>
        </w:rPr>
      </w:pPr>
      <w:r>
        <w:rPr>
          <w:rStyle w:val="8"/>
          <w:rFonts w:hint="eastAsia" w:ascii="方正楷体_GBK" w:hAnsi="方正楷体_GBK" w:eastAsia="方正楷体_GBK" w:cs="方正楷体_GBK"/>
          <w:b w:val="0"/>
          <w:bCs/>
          <w:sz w:val="32"/>
          <w:szCs w:val="32"/>
          <w:shd w:val="clear" w:color="auto" w:fill="FFFFFF"/>
          <w:lang w:val="en-US" w:eastAsia="zh-CN" w:bidi="ar-SA"/>
        </w:rPr>
        <w:t>（二）部门绩效评价情况</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Fonts w:hint="eastAsia" w:ascii="Times New Roman" w:hAnsi="Times New Roman" w:eastAsia="方正仿宋_GBK" w:cs="Times New Roman"/>
          <w:bCs/>
          <w:sz w:val="32"/>
          <w:szCs w:val="32"/>
          <w:lang w:eastAsia="zh-CN"/>
        </w:rPr>
      </w:pPr>
      <w:r>
        <w:rPr>
          <w:rFonts w:hint="eastAsia" w:ascii="Times New Roman" w:hAnsi="Times New Roman" w:eastAsia="方正仿宋_GBK" w:cs="Times New Roman"/>
          <w:bCs/>
          <w:sz w:val="32"/>
          <w:szCs w:val="32"/>
          <w:lang w:eastAsia="zh-CN"/>
        </w:rPr>
        <w:t>我单位未组织部开展绩效计价</w:t>
      </w:r>
    </w:p>
    <w:p>
      <w:pPr>
        <w:pStyle w:val="12"/>
        <w:keepNext w:val="0"/>
        <w:keepLines w:val="0"/>
        <w:pageBreakBefore w:val="0"/>
        <w:widowControl/>
        <w:kinsoku/>
        <w:wordWrap/>
        <w:overflowPunct/>
        <w:topLinePunct w:val="0"/>
        <w:autoSpaceDE w:val="0"/>
        <w:autoSpaceDN/>
        <w:bidi w:val="0"/>
        <w:adjustRightInd/>
        <w:snapToGrid/>
        <w:spacing w:beforeAutospacing="0" w:after="0" w:afterAutospacing="0" w:line="578" w:lineRule="exact"/>
        <w:ind w:left="0" w:firstLine="640" w:firstLineChars="200"/>
        <w:textAlignment w:val="auto"/>
        <w:rPr>
          <w:rStyle w:val="8"/>
          <w:rFonts w:hint="eastAsia" w:ascii="方正楷体_GBK" w:hAnsi="方正楷体_GBK" w:eastAsia="方正楷体_GBK" w:cs="方正楷体_GBK"/>
          <w:b w:val="0"/>
          <w:bCs/>
          <w:kern w:val="0"/>
          <w:sz w:val="32"/>
          <w:szCs w:val="32"/>
          <w:shd w:val="clear" w:color="auto" w:fill="FFFFFF"/>
          <w:lang w:val="en-US" w:eastAsia="zh-CN" w:bidi="ar-SA"/>
        </w:rPr>
      </w:pPr>
      <w:r>
        <w:rPr>
          <w:rStyle w:val="8"/>
          <w:rFonts w:hint="eastAsia" w:ascii="方正楷体_GBK" w:hAnsi="方正楷体_GBK" w:eastAsia="方正楷体_GBK" w:cs="方正楷体_GBK"/>
          <w:b w:val="0"/>
          <w:bCs/>
          <w:kern w:val="0"/>
          <w:sz w:val="32"/>
          <w:szCs w:val="32"/>
          <w:shd w:val="clear" w:color="auto" w:fill="FFFFFF"/>
          <w:lang w:val="en-US" w:eastAsia="zh-CN" w:bidi="ar-SA"/>
        </w:rPr>
        <w:t>（三）财政绩效评价情况</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Fonts w:hint="eastAsia" w:ascii="Times New Roman" w:hAnsi="Times New Roman" w:eastAsia="方正仿宋_GBK" w:cs="Times New Roman"/>
          <w:bCs/>
          <w:sz w:val="32"/>
          <w:szCs w:val="32"/>
        </w:rPr>
      </w:pPr>
      <w:r>
        <w:rPr>
          <w:rFonts w:hint="eastAsia" w:ascii="Times New Roman" w:hAnsi="Times New Roman" w:eastAsia="方正仿宋_GBK" w:cs="Times New Roman"/>
          <w:bCs/>
          <w:sz w:val="32"/>
          <w:szCs w:val="32"/>
          <w:lang w:eastAsia="zh-CN"/>
        </w:rPr>
        <w:t>县财政局未委托第三方对我单位开展绩效评价。</w:t>
      </w:r>
    </w:p>
    <w:p>
      <w:pPr>
        <w:pStyle w:val="10"/>
        <w:keepNext w:val="0"/>
        <w:keepLines w:val="0"/>
        <w:pageBreakBefore w:val="0"/>
        <w:widowControl/>
        <w:kinsoku/>
        <w:wordWrap/>
        <w:overflowPunct/>
        <w:topLinePunct w:val="0"/>
        <w:autoSpaceDE w:val="0"/>
        <w:autoSpaceDN/>
        <w:bidi w:val="0"/>
        <w:adjustRightInd/>
        <w:snapToGrid/>
        <w:spacing w:before="0" w:beforeAutospacing="0" w:after="0" w:afterAutospacing="0" w:line="578" w:lineRule="exact"/>
        <w:ind w:firstLine="640" w:firstLineChars="200"/>
        <w:textAlignment w:val="auto"/>
        <w:rPr>
          <w:rFonts w:hint="eastAsia" w:ascii="方正黑体_GBK" w:hAnsi="方正黑体_GBK" w:eastAsia="方正黑体_GBK" w:cs="方正黑体_GBK"/>
          <w:b w:val="0"/>
          <w:bCs/>
          <w:kern w:val="0"/>
          <w:sz w:val="32"/>
          <w:szCs w:val="32"/>
        </w:rPr>
      </w:pPr>
      <w:r>
        <w:rPr>
          <w:rStyle w:val="8"/>
          <w:rFonts w:hint="eastAsia" w:ascii="方正黑体_GBK" w:hAnsi="方正黑体_GBK" w:eastAsia="方正黑体_GBK" w:cs="方正黑体_GBK"/>
          <w:b w:val="0"/>
          <w:bCs/>
          <w:sz w:val="32"/>
          <w:szCs w:val="32"/>
          <w:shd w:val="clear" w:color="auto" w:fill="FFFFFF"/>
          <w:lang w:val="en-US" w:eastAsia="zh-CN" w:bidi="ar-SA"/>
        </w:rPr>
        <w:t>六、专业名词解释</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Fonts w:hint="eastAsia" w:ascii="Times New Roman" w:hAnsi="Times New Roman" w:eastAsia="方正仿宋_GBK" w:cs="Times New Roman"/>
          <w:bCs/>
          <w:sz w:val="32"/>
          <w:szCs w:val="32"/>
        </w:rPr>
      </w:pPr>
      <w:r>
        <w:rPr>
          <w:rFonts w:hint="eastAsia" w:ascii="Times New Roman" w:hAnsi="Times New Roman" w:eastAsia="方正仿宋_GBK" w:cs="Times New Roman"/>
          <w:bCs/>
          <w:sz w:val="32"/>
          <w:szCs w:val="32"/>
        </w:rPr>
        <w:t>以下为常见专业名词解释目录，仅供参考，部门应根据实际情况进行解释和增减。比如可将类级功能科目和经济科目细化解释到项级。若有A删减注意调整段落序号。</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eastAsia" w:ascii="Times New Roman" w:hAnsi="Times New Roman" w:eastAsia="方正仿宋_GBK" w:cs="Times New Roman"/>
          <w:bCs/>
          <w:sz w:val="32"/>
          <w:szCs w:val="32"/>
          <w:lang w:val="en-US" w:eastAsia="zh-CN" w:bidi="ar-SA"/>
        </w:rPr>
      </w:pPr>
      <w:r>
        <w:rPr>
          <w:rStyle w:val="8"/>
          <w:rFonts w:hint="eastAsia" w:ascii="方正楷体_GBK" w:hAnsi="方正楷体_GBK" w:eastAsia="方正楷体_GBK" w:cs="方正楷体_GBK"/>
          <w:b w:val="0"/>
          <w:bCs/>
          <w:sz w:val="32"/>
          <w:szCs w:val="32"/>
          <w:shd w:val="clear" w:color="auto" w:fill="FFFFFF"/>
          <w:lang w:val="en-US" w:eastAsia="zh-CN" w:bidi="ar-SA"/>
        </w:rPr>
        <w:t>（一）财政拨款收入：</w:t>
      </w:r>
      <w:r>
        <w:rPr>
          <w:rFonts w:hint="eastAsia" w:ascii="Times New Roman" w:hAnsi="Times New Roman" w:eastAsia="方正仿宋_GBK" w:cs="Times New Roman"/>
          <w:bCs/>
          <w:sz w:val="32"/>
          <w:szCs w:val="32"/>
          <w:lang w:val="en-US" w:eastAsia="zh-CN" w:bidi="ar-SA"/>
        </w:rPr>
        <w:t>指本年度从本级财政部门取得的财政拨款，包括一般公共预算财政拨款和政府性基金预算财政拨款。</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eastAsia" w:ascii="Times New Roman" w:hAnsi="Times New Roman" w:eastAsia="方正仿宋_GBK" w:cs="Times New Roman"/>
          <w:bCs/>
          <w:sz w:val="32"/>
          <w:szCs w:val="32"/>
          <w:lang w:val="en-US" w:eastAsia="zh-CN" w:bidi="ar-SA"/>
        </w:rPr>
      </w:pPr>
      <w:r>
        <w:rPr>
          <w:rStyle w:val="8"/>
          <w:rFonts w:hint="eastAsia" w:ascii="方正楷体_GBK" w:hAnsi="方正楷体_GBK" w:eastAsia="方正楷体_GBK" w:cs="方正楷体_GBK"/>
          <w:b w:val="0"/>
          <w:bCs/>
          <w:sz w:val="32"/>
          <w:szCs w:val="32"/>
          <w:shd w:val="clear" w:color="auto" w:fill="FFFFFF"/>
          <w:lang w:val="en-US" w:eastAsia="zh-CN" w:bidi="ar-SA"/>
        </w:rPr>
        <w:t>（二）事业收入：</w:t>
      </w:r>
      <w:r>
        <w:rPr>
          <w:rFonts w:hint="eastAsia" w:ascii="Times New Roman" w:hAnsi="Times New Roman" w:eastAsia="方正仿宋_GBK" w:cs="Times New Roman"/>
          <w:bCs/>
          <w:sz w:val="32"/>
          <w:szCs w:val="32"/>
          <w:lang w:val="en-US" w:eastAsia="zh-CN" w:bidi="ar-SA"/>
        </w:rPr>
        <w:t>指事业单位开展专业业务活动及其辅助活动取得的现金流入；事业单位收到的财政专户实际核拨的教育收费等资金在此反映。</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eastAsia" w:ascii="Times New Roman" w:hAnsi="Times New Roman" w:eastAsia="方正仿宋_GBK" w:cs="Times New Roman"/>
          <w:bCs/>
          <w:sz w:val="32"/>
          <w:szCs w:val="32"/>
          <w:lang w:val="en-US" w:eastAsia="zh-CN" w:bidi="ar-SA"/>
        </w:rPr>
      </w:pPr>
      <w:r>
        <w:rPr>
          <w:rStyle w:val="8"/>
          <w:rFonts w:hint="eastAsia" w:ascii="方正楷体_GBK" w:hAnsi="方正楷体_GBK" w:eastAsia="方正楷体_GBK" w:cs="方正楷体_GBK"/>
          <w:b w:val="0"/>
          <w:bCs/>
          <w:sz w:val="32"/>
          <w:szCs w:val="32"/>
          <w:shd w:val="clear" w:color="auto" w:fill="FFFFFF"/>
          <w:lang w:val="en-US" w:eastAsia="zh-CN" w:bidi="ar-SA"/>
        </w:rPr>
        <w:t>（三）经营收入：</w:t>
      </w:r>
      <w:r>
        <w:rPr>
          <w:rFonts w:hint="eastAsia" w:ascii="Times New Roman" w:hAnsi="Times New Roman" w:eastAsia="方正仿宋_GBK" w:cs="Times New Roman"/>
          <w:bCs/>
          <w:sz w:val="32"/>
          <w:szCs w:val="32"/>
          <w:lang w:val="en-US" w:eastAsia="zh-CN" w:bidi="ar-SA"/>
        </w:rPr>
        <w:t>指事业单位在专业业务活动及其辅助活动之外开展非独立核算经营活动取得的现金流入。</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eastAsia" w:ascii="Times New Roman" w:hAnsi="Times New Roman" w:eastAsia="方正仿宋_GBK" w:cs="Times New Roman"/>
          <w:bCs/>
          <w:sz w:val="32"/>
          <w:szCs w:val="32"/>
          <w:lang w:val="en-US" w:eastAsia="zh-CN" w:bidi="ar-SA"/>
        </w:rPr>
      </w:pPr>
      <w:r>
        <w:rPr>
          <w:rStyle w:val="8"/>
          <w:rFonts w:hint="eastAsia" w:ascii="方正楷体_GBK" w:hAnsi="方正楷体_GBK" w:eastAsia="方正楷体_GBK" w:cs="方正楷体_GBK"/>
          <w:b w:val="0"/>
          <w:bCs/>
          <w:sz w:val="32"/>
          <w:szCs w:val="32"/>
          <w:shd w:val="clear" w:color="auto" w:fill="FFFFFF"/>
          <w:lang w:val="en-US" w:eastAsia="zh-CN" w:bidi="ar-SA"/>
        </w:rPr>
        <w:t>（四）其他收入：</w:t>
      </w:r>
      <w:r>
        <w:rPr>
          <w:rFonts w:hint="eastAsia" w:ascii="Times New Roman" w:hAnsi="Times New Roman" w:eastAsia="方正仿宋_GBK" w:cs="Times New Roman"/>
          <w:bCs/>
          <w:sz w:val="32"/>
          <w:szCs w:val="32"/>
          <w:lang w:val="en-US" w:eastAsia="zh-CN" w:bidi="ar-SA"/>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eastAsia" w:ascii="Times New Roman" w:hAnsi="Times New Roman" w:eastAsia="方正仿宋_GBK" w:cs="Times New Roman"/>
          <w:bCs/>
          <w:sz w:val="32"/>
          <w:szCs w:val="32"/>
          <w:lang w:val="en-US" w:eastAsia="zh-CN" w:bidi="ar-SA"/>
        </w:rPr>
      </w:pPr>
      <w:r>
        <w:rPr>
          <w:rStyle w:val="8"/>
          <w:rFonts w:hint="eastAsia" w:ascii="方正楷体_GBK" w:hAnsi="方正楷体_GBK" w:eastAsia="方正楷体_GBK" w:cs="方正楷体_GBK"/>
          <w:b w:val="0"/>
          <w:bCs/>
          <w:sz w:val="32"/>
          <w:szCs w:val="32"/>
          <w:shd w:val="clear" w:color="auto" w:fill="FFFFFF"/>
          <w:lang w:val="en-US" w:eastAsia="zh-CN" w:bidi="ar-SA"/>
        </w:rPr>
        <w:t>（五）使用非财政拨款结余：</w:t>
      </w:r>
      <w:r>
        <w:rPr>
          <w:rFonts w:hint="eastAsia" w:ascii="Times New Roman" w:hAnsi="Times New Roman" w:eastAsia="方正仿宋_GBK" w:cs="Times New Roman"/>
          <w:bCs/>
          <w:sz w:val="32"/>
          <w:szCs w:val="32"/>
          <w:lang w:val="en-US" w:eastAsia="zh-CN" w:bidi="ar-SA"/>
        </w:rPr>
        <w:t>指单位在当年的“财政拨款收入”“事业收入”“经营收入”“其他收入”等不足以安排当年支出的情况下，使用以前年度积累的非财政拨款结余弥补本年度收支缺口的资金。</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eastAsia" w:ascii="Times New Roman" w:hAnsi="Times New Roman" w:eastAsia="方正仿宋_GBK" w:cs="Times New Roman"/>
          <w:bCs/>
          <w:sz w:val="32"/>
          <w:szCs w:val="32"/>
          <w:lang w:val="en-US" w:eastAsia="zh-CN" w:bidi="ar-SA"/>
        </w:rPr>
      </w:pPr>
      <w:r>
        <w:rPr>
          <w:rStyle w:val="8"/>
          <w:rFonts w:hint="eastAsia" w:ascii="方正楷体_GBK" w:hAnsi="方正楷体_GBK" w:eastAsia="方正楷体_GBK" w:cs="方正楷体_GBK"/>
          <w:b w:val="0"/>
          <w:bCs/>
          <w:sz w:val="32"/>
          <w:szCs w:val="32"/>
          <w:shd w:val="clear" w:color="auto" w:fill="FFFFFF"/>
          <w:lang w:val="en-US" w:eastAsia="zh-CN" w:bidi="ar-SA"/>
        </w:rPr>
        <w:t>（六）年初结转和结余：</w:t>
      </w:r>
      <w:r>
        <w:rPr>
          <w:rFonts w:hint="eastAsia" w:ascii="Times New Roman" w:hAnsi="Times New Roman" w:eastAsia="方正仿宋_GBK" w:cs="Times New Roman"/>
          <w:bCs/>
          <w:sz w:val="32"/>
          <w:szCs w:val="32"/>
          <w:lang w:val="en-US" w:eastAsia="zh-CN" w:bidi="ar-SA"/>
        </w:rPr>
        <w:t>指单位上年结转本年使用的基本支出结转、项目支出结转和结余、经营结余。</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eastAsia" w:ascii="Times New Roman" w:hAnsi="Times New Roman" w:eastAsia="方正仿宋_GBK" w:cs="Times New Roman"/>
          <w:bCs/>
          <w:sz w:val="32"/>
          <w:szCs w:val="32"/>
          <w:lang w:val="en-US" w:eastAsia="zh-CN" w:bidi="ar-SA"/>
        </w:rPr>
      </w:pPr>
      <w:r>
        <w:rPr>
          <w:rStyle w:val="8"/>
          <w:rFonts w:hint="eastAsia" w:ascii="方正楷体_GBK" w:hAnsi="方正楷体_GBK" w:eastAsia="方正楷体_GBK" w:cs="方正楷体_GBK"/>
          <w:b w:val="0"/>
          <w:bCs/>
          <w:sz w:val="32"/>
          <w:szCs w:val="32"/>
          <w:shd w:val="clear" w:color="auto" w:fill="FFFFFF"/>
          <w:lang w:val="en-US" w:eastAsia="zh-CN" w:bidi="ar-SA"/>
        </w:rPr>
        <w:t>（七）结余分配：</w:t>
      </w:r>
      <w:r>
        <w:rPr>
          <w:rFonts w:hint="eastAsia" w:ascii="Times New Roman" w:hAnsi="Times New Roman" w:eastAsia="方正仿宋_GBK" w:cs="Times New Roman"/>
          <w:bCs/>
          <w:sz w:val="32"/>
          <w:szCs w:val="32"/>
          <w:lang w:val="en-US" w:eastAsia="zh-CN" w:bidi="ar-SA"/>
        </w:rPr>
        <w:t>指单位按照国家有关规定，缴纳所得税、提取专用基金、转入非财政拨款结余等当年结余的分配情况。</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eastAsia" w:ascii="Times New Roman" w:hAnsi="Times New Roman" w:eastAsia="方正仿宋_GBK" w:cs="Times New Roman"/>
          <w:bCs/>
          <w:sz w:val="32"/>
          <w:szCs w:val="32"/>
          <w:lang w:val="en-US" w:eastAsia="zh-CN" w:bidi="ar-SA"/>
        </w:rPr>
      </w:pPr>
      <w:r>
        <w:rPr>
          <w:rStyle w:val="8"/>
          <w:rFonts w:hint="eastAsia" w:ascii="方正楷体_GBK" w:hAnsi="方正楷体_GBK" w:eastAsia="方正楷体_GBK" w:cs="方正楷体_GBK"/>
          <w:b w:val="0"/>
          <w:bCs/>
          <w:sz w:val="32"/>
          <w:szCs w:val="32"/>
          <w:shd w:val="clear" w:color="auto" w:fill="FFFFFF"/>
          <w:lang w:val="en-US" w:eastAsia="zh-CN" w:bidi="ar-SA"/>
        </w:rPr>
        <w:t>（八）年末结转和结余：</w:t>
      </w:r>
      <w:r>
        <w:rPr>
          <w:rFonts w:hint="eastAsia" w:ascii="Times New Roman" w:hAnsi="Times New Roman" w:eastAsia="方正仿宋_GBK" w:cs="Times New Roman"/>
          <w:bCs/>
          <w:sz w:val="32"/>
          <w:szCs w:val="32"/>
          <w:lang w:val="en-US" w:eastAsia="zh-CN" w:bidi="ar-SA"/>
        </w:rPr>
        <w:t>指单位结转下年的基本支出结转、项目支出结转和结余、经营结余。</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eastAsia" w:ascii="Times New Roman" w:hAnsi="Times New Roman" w:eastAsia="方正仿宋_GBK" w:cs="Times New Roman"/>
          <w:bCs/>
          <w:sz w:val="32"/>
          <w:szCs w:val="32"/>
          <w:lang w:val="en-US" w:eastAsia="zh-CN" w:bidi="ar-SA"/>
        </w:rPr>
      </w:pPr>
      <w:r>
        <w:rPr>
          <w:rStyle w:val="8"/>
          <w:rFonts w:hint="eastAsia" w:ascii="方正楷体_GBK" w:hAnsi="方正楷体_GBK" w:eastAsia="方正楷体_GBK" w:cs="方正楷体_GBK"/>
          <w:b w:val="0"/>
          <w:bCs/>
          <w:sz w:val="32"/>
          <w:szCs w:val="32"/>
          <w:shd w:val="clear" w:color="auto" w:fill="FFFFFF"/>
          <w:lang w:val="en-US" w:eastAsia="zh-CN" w:bidi="ar-SA"/>
        </w:rPr>
        <w:t>（九）基本支出：</w:t>
      </w:r>
      <w:r>
        <w:rPr>
          <w:rFonts w:hint="eastAsia" w:ascii="Times New Roman" w:hAnsi="Times New Roman" w:eastAsia="方正仿宋_GBK" w:cs="Times New Roman"/>
          <w:bCs/>
          <w:sz w:val="32"/>
          <w:szCs w:val="32"/>
          <w:lang w:val="en-US" w:eastAsia="zh-CN" w:bidi="ar-SA"/>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eastAsia" w:ascii="Times New Roman" w:hAnsi="Times New Roman" w:eastAsia="方正仿宋_GBK" w:cs="Times New Roman"/>
          <w:bCs/>
          <w:sz w:val="32"/>
          <w:szCs w:val="32"/>
          <w:lang w:val="en-US" w:eastAsia="zh-CN" w:bidi="ar-SA"/>
        </w:rPr>
      </w:pPr>
      <w:r>
        <w:rPr>
          <w:rStyle w:val="8"/>
          <w:rFonts w:hint="eastAsia" w:ascii="方正楷体_GBK" w:hAnsi="方正楷体_GBK" w:eastAsia="方正楷体_GBK" w:cs="方正楷体_GBK"/>
          <w:b w:val="0"/>
          <w:bCs/>
          <w:sz w:val="32"/>
          <w:szCs w:val="32"/>
          <w:shd w:val="clear" w:color="auto" w:fill="FFFFFF"/>
          <w:lang w:val="en-US" w:eastAsia="zh-CN" w:bidi="ar-SA"/>
        </w:rPr>
        <w:t>（十）项目支出：</w:t>
      </w:r>
      <w:r>
        <w:rPr>
          <w:rFonts w:hint="eastAsia" w:ascii="Times New Roman" w:hAnsi="Times New Roman" w:eastAsia="方正仿宋_GBK" w:cs="Times New Roman"/>
          <w:bCs/>
          <w:sz w:val="32"/>
          <w:szCs w:val="32"/>
          <w:lang w:val="en-US" w:eastAsia="zh-CN" w:bidi="ar-SA"/>
        </w:rPr>
        <w:t>指在基本支出之外为完成特定行政任务和事业发展目标所发生的支出。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eastAsia" w:ascii="Times New Roman" w:hAnsi="Times New Roman" w:eastAsia="方正仿宋_GBK" w:cs="Times New Roman"/>
          <w:bCs/>
          <w:sz w:val="32"/>
          <w:szCs w:val="32"/>
          <w:lang w:val="en-US" w:eastAsia="zh-CN" w:bidi="ar-SA"/>
        </w:rPr>
      </w:pPr>
      <w:r>
        <w:rPr>
          <w:rStyle w:val="8"/>
          <w:rFonts w:hint="eastAsia" w:ascii="方正楷体_GBK" w:hAnsi="方正楷体_GBK" w:eastAsia="方正楷体_GBK" w:cs="方正楷体_GBK"/>
          <w:b w:val="0"/>
          <w:bCs/>
          <w:sz w:val="32"/>
          <w:szCs w:val="32"/>
          <w:shd w:val="clear" w:color="auto" w:fill="FFFFFF"/>
          <w:lang w:val="en-US" w:eastAsia="zh-CN" w:bidi="ar-SA"/>
        </w:rPr>
        <w:t>（十一）经营支出：</w:t>
      </w:r>
      <w:r>
        <w:rPr>
          <w:rFonts w:hint="eastAsia" w:ascii="Times New Roman" w:hAnsi="Times New Roman" w:eastAsia="方正仿宋_GBK" w:cs="Times New Roman"/>
          <w:bCs/>
          <w:sz w:val="32"/>
          <w:szCs w:val="32"/>
          <w:lang w:val="en-US" w:eastAsia="zh-CN" w:bidi="ar-SA"/>
        </w:rPr>
        <w:t>指事业单位在专业业务活动及其辅助活动之外开展非独立核算经营活动发生的支出。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eastAsia" w:ascii="Times New Roman" w:hAnsi="Times New Roman" w:eastAsia="方正仿宋_GBK" w:cs="Times New Roman"/>
          <w:bCs/>
          <w:sz w:val="32"/>
          <w:szCs w:val="32"/>
          <w:lang w:val="en-US" w:eastAsia="zh-CN" w:bidi="ar-SA"/>
        </w:rPr>
      </w:pPr>
      <w:r>
        <w:rPr>
          <w:rStyle w:val="8"/>
          <w:rFonts w:hint="eastAsia" w:ascii="方正楷体_GBK" w:hAnsi="方正楷体_GBK" w:eastAsia="方正楷体_GBK" w:cs="方正楷体_GBK"/>
          <w:b w:val="0"/>
          <w:bCs/>
          <w:sz w:val="32"/>
          <w:szCs w:val="32"/>
          <w:shd w:val="clear" w:color="auto" w:fill="FFFFFF"/>
          <w:lang w:val="en-US" w:eastAsia="zh-CN" w:bidi="ar-SA"/>
        </w:rPr>
        <w:t>（十二）“三公”经费：</w:t>
      </w:r>
      <w:r>
        <w:rPr>
          <w:rFonts w:hint="eastAsia" w:ascii="Times New Roman" w:hAnsi="Times New Roman" w:eastAsia="方正仿宋_GBK" w:cs="Times New Roman"/>
          <w:bCs/>
          <w:sz w:val="32"/>
          <w:szCs w:val="32"/>
          <w:lang w:val="en-US" w:eastAsia="zh-CN" w:bidi="ar-SA"/>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eastAsia" w:ascii="Times New Roman" w:hAnsi="Times New Roman" w:eastAsia="方正仿宋_GBK" w:cs="Times New Roman"/>
          <w:bCs/>
          <w:sz w:val="32"/>
          <w:szCs w:val="32"/>
          <w:lang w:val="en-US" w:eastAsia="zh-CN" w:bidi="ar-SA"/>
        </w:rPr>
      </w:pPr>
      <w:r>
        <w:rPr>
          <w:rStyle w:val="8"/>
          <w:rFonts w:hint="eastAsia" w:ascii="方正楷体_GBK" w:hAnsi="方正楷体_GBK" w:eastAsia="方正楷体_GBK" w:cs="方正楷体_GBK"/>
          <w:b w:val="0"/>
          <w:bCs/>
          <w:sz w:val="32"/>
          <w:szCs w:val="32"/>
          <w:shd w:val="clear" w:color="auto" w:fill="FFFFFF"/>
          <w:lang w:val="en-US" w:eastAsia="zh-CN" w:bidi="ar-SA"/>
        </w:rPr>
        <w:t>（十三）机关运行经费：</w:t>
      </w:r>
      <w:r>
        <w:rPr>
          <w:rFonts w:hint="eastAsia" w:ascii="Times New Roman" w:hAnsi="Times New Roman" w:eastAsia="方正仿宋_GBK" w:cs="Times New Roman"/>
          <w:bCs/>
          <w:sz w:val="32"/>
          <w:szCs w:val="32"/>
          <w:lang w:val="en-US" w:eastAsia="zh-CN" w:bidi="ar-SA"/>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eastAsia" w:ascii="Times New Roman" w:hAnsi="Times New Roman" w:eastAsia="方正仿宋_GBK" w:cs="Times New Roman"/>
          <w:bCs/>
          <w:sz w:val="32"/>
          <w:szCs w:val="32"/>
          <w:lang w:val="en-US" w:eastAsia="zh-CN" w:bidi="ar-SA"/>
        </w:rPr>
      </w:pPr>
      <w:r>
        <w:rPr>
          <w:rStyle w:val="8"/>
          <w:rFonts w:hint="eastAsia" w:ascii="方正楷体_GBK" w:hAnsi="方正楷体_GBK" w:eastAsia="方正楷体_GBK" w:cs="方正楷体_GBK"/>
          <w:b w:val="0"/>
          <w:bCs/>
          <w:sz w:val="32"/>
          <w:szCs w:val="32"/>
          <w:shd w:val="clear" w:color="auto" w:fill="FFFFFF"/>
          <w:lang w:val="en-US" w:eastAsia="zh-CN" w:bidi="ar-SA"/>
        </w:rPr>
        <w:t>（十四）工资福利支出（支出经济分类科目类级）：</w:t>
      </w:r>
      <w:r>
        <w:rPr>
          <w:rFonts w:hint="eastAsia" w:ascii="Times New Roman" w:hAnsi="Times New Roman" w:eastAsia="方正仿宋_GBK" w:cs="Times New Roman"/>
          <w:bCs/>
          <w:sz w:val="32"/>
          <w:szCs w:val="32"/>
          <w:lang w:val="en-US" w:eastAsia="zh-CN" w:bidi="ar-SA"/>
        </w:rPr>
        <w:t>反映单位开支的在职职工和编制外长期聘用人员的各类劳动报酬，以及为上述人员缴纳的各项社会保险费等。</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eastAsia" w:ascii="Times New Roman" w:hAnsi="Times New Roman" w:eastAsia="方正仿宋_GBK" w:cs="Times New Roman"/>
          <w:bCs/>
          <w:sz w:val="32"/>
          <w:szCs w:val="32"/>
          <w:lang w:val="en-US" w:eastAsia="zh-CN" w:bidi="ar-SA"/>
        </w:rPr>
      </w:pPr>
      <w:r>
        <w:rPr>
          <w:rStyle w:val="8"/>
          <w:rFonts w:hint="eastAsia" w:ascii="方正楷体_GBK" w:hAnsi="方正楷体_GBK" w:eastAsia="方正楷体_GBK" w:cs="方正楷体_GBK"/>
          <w:b w:val="0"/>
          <w:bCs/>
          <w:sz w:val="32"/>
          <w:szCs w:val="32"/>
          <w:shd w:val="clear" w:color="auto" w:fill="FFFFFF"/>
          <w:lang w:val="en-US" w:eastAsia="zh-CN" w:bidi="ar-SA"/>
        </w:rPr>
        <w:t>（十五）商品和服务支出（支出经济分类科目类级）：</w:t>
      </w:r>
      <w:r>
        <w:rPr>
          <w:rFonts w:hint="eastAsia" w:ascii="Times New Roman" w:hAnsi="Times New Roman" w:eastAsia="方正仿宋_GBK" w:cs="Times New Roman"/>
          <w:bCs/>
          <w:sz w:val="32"/>
          <w:szCs w:val="32"/>
          <w:lang w:val="en-US" w:eastAsia="zh-CN" w:bidi="ar-SA"/>
        </w:rPr>
        <w:t>反映单位购买商品和服务的支出（不包括用于购置固定资产的支出、战略性和应急储备支出）。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eastAsia" w:ascii="方正仿宋_GBK" w:hAnsi="方正仿宋_GBK" w:eastAsia="方正仿宋_GBK" w:cs="方正仿宋_GBK"/>
          <w:kern w:val="0"/>
          <w:sz w:val="32"/>
          <w:szCs w:val="32"/>
        </w:rPr>
      </w:pPr>
      <w:r>
        <w:rPr>
          <w:rStyle w:val="8"/>
          <w:rFonts w:hint="eastAsia" w:ascii="方正楷体_GBK" w:hAnsi="方正楷体_GBK" w:eastAsia="方正楷体_GBK" w:cs="方正楷体_GBK"/>
          <w:b w:val="0"/>
          <w:bCs/>
          <w:sz w:val="32"/>
          <w:szCs w:val="32"/>
          <w:shd w:val="clear" w:color="auto" w:fill="FFFFFF"/>
          <w:lang w:val="en-US" w:eastAsia="zh-CN" w:bidi="ar-SA"/>
        </w:rPr>
        <w:t>（十六）对个人和家庭的补助（支出经济分类科目类级）：</w:t>
      </w:r>
      <w:r>
        <w:rPr>
          <w:rFonts w:hint="eastAsia" w:ascii="Times New Roman" w:hAnsi="Times New Roman" w:eastAsia="方正仿宋_GBK" w:cs="Times New Roman"/>
          <w:bCs/>
          <w:sz w:val="32"/>
          <w:szCs w:val="32"/>
          <w:lang w:val="en-US" w:eastAsia="zh-CN" w:bidi="ar-SA"/>
        </w:rPr>
        <w:t>反映用于对个人和家庭的补助支出。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eastAsia" w:ascii="Times New Roman" w:hAnsi="Times New Roman" w:eastAsia="方正仿宋_GBK" w:cs="Times New Roman"/>
          <w:bCs/>
          <w:sz w:val="32"/>
          <w:szCs w:val="32"/>
          <w:lang w:val="en-US" w:eastAsia="zh-CN" w:bidi="ar-SA"/>
        </w:rPr>
      </w:pPr>
      <w:r>
        <w:rPr>
          <w:rStyle w:val="8"/>
          <w:rFonts w:hint="eastAsia" w:ascii="方正楷体_GBK" w:hAnsi="方正楷体_GBK" w:eastAsia="方正楷体_GBK" w:cs="方正楷体_GBK"/>
          <w:b w:val="0"/>
          <w:bCs/>
          <w:sz w:val="32"/>
          <w:szCs w:val="32"/>
          <w:shd w:val="clear" w:color="auto" w:fill="FFFFFF"/>
          <w:lang w:val="en-US" w:eastAsia="zh-CN" w:bidi="ar-SA"/>
        </w:rPr>
        <w:t>（十七）其他资本性支出（支出经济分类科目类级）：</w:t>
      </w:r>
      <w:r>
        <w:rPr>
          <w:rFonts w:hint="eastAsia" w:ascii="Times New Roman" w:hAnsi="Times New Roman" w:eastAsia="方正仿宋_GBK" w:cs="Times New Roman"/>
          <w:bCs/>
          <w:sz w:val="32"/>
          <w:szCs w:val="32"/>
          <w:lang w:val="en-US" w:eastAsia="zh-CN" w:bidi="ar-SA"/>
        </w:rPr>
        <w:t>反映非各级发展与改革部门集中安排的用于购置固定资产、战略性和应急性储备、土地和无形资产，以及构建基础设施、大型修缮和财政支持企业更新改造所发生的支出。</w:t>
      </w:r>
    </w:p>
    <w:p>
      <w:pPr>
        <w:pStyle w:val="10"/>
        <w:keepNext w:val="0"/>
        <w:keepLines w:val="0"/>
        <w:pageBreakBefore w:val="0"/>
        <w:widowControl/>
        <w:kinsoku/>
        <w:wordWrap/>
        <w:overflowPunct/>
        <w:topLinePunct w:val="0"/>
        <w:autoSpaceDE w:val="0"/>
        <w:autoSpaceDN/>
        <w:bidi w:val="0"/>
        <w:adjustRightInd/>
        <w:snapToGrid/>
        <w:spacing w:before="0" w:beforeAutospacing="0" w:after="0" w:afterAutospacing="0" w:line="578" w:lineRule="exact"/>
        <w:ind w:firstLine="640" w:firstLineChars="200"/>
        <w:textAlignment w:val="auto"/>
        <w:rPr>
          <w:rStyle w:val="8"/>
          <w:rFonts w:hint="eastAsia" w:ascii="方正黑体_GBK" w:hAnsi="方正黑体_GBK" w:eastAsia="方正黑体_GBK" w:cs="方正黑体_GBK"/>
          <w:b w:val="0"/>
          <w:bCs/>
          <w:sz w:val="32"/>
          <w:szCs w:val="32"/>
          <w:shd w:val="clear" w:color="auto" w:fill="FFFFFF"/>
          <w:lang w:val="en-US" w:eastAsia="zh-CN" w:bidi="ar-SA"/>
        </w:rPr>
      </w:pPr>
      <w:r>
        <w:rPr>
          <w:rStyle w:val="8"/>
          <w:rFonts w:hint="eastAsia" w:ascii="方正黑体_GBK" w:hAnsi="方正黑体_GBK" w:eastAsia="方正黑体_GBK" w:cs="方正黑体_GBK"/>
          <w:b w:val="0"/>
          <w:bCs/>
          <w:sz w:val="32"/>
          <w:szCs w:val="32"/>
          <w:shd w:val="clear" w:color="auto" w:fill="FFFFFF"/>
          <w:lang w:val="en-US" w:eastAsia="zh-CN" w:bidi="ar-SA"/>
        </w:rPr>
        <w:t>七、决算公开联系方式及信息反馈渠道</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Fonts w:hint="eastAsia" w:ascii="Times New Roman" w:hAnsi="Times New Roman" w:eastAsia="方正仿宋_GBK" w:cs="Times New Roman"/>
          <w:bCs/>
          <w:sz w:val="32"/>
          <w:szCs w:val="32"/>
          <w:lang w:val="en-US" w:eastAsia="zh-CN"/>
        </w:rPr>
        <w:sectPr>
          <w:headerReference r:id="rId3" w:type="default"/>
          <w:footerReference r:id="rId4" w:type="default"/>
          <w:pgSz w:w="11906" w:h="16838"/>
          <w:pgMar w:top="2098" w:right="1474" w:bottom="1984" w:left="1587" w:header="0" w:footer="1474" w:gutter="0"/>
          <w:pgNumType w:fmt="decimal"/>
          <w:cols w:space="0" w:num="1"/>
          <w:rtlGutter w:val="0"/>
          <w:docGrid w:type="lines" w:linePitch="312" w:charSpace="0"/>
        </w:sectPr>
      </w:pPr>
      <w:r>
        <w:rPr>
          <w:rFonts w:hint="eastAsia" w:ascii="Times New Roman" w:hAnsi="Times New Roman" w:eastAsia="方正仿宋_GBK" w:cs="Times New Roman"/>
          <w:bCs/>
          <w:sz w:val="32"/>
          <w:szCs w:val="32"/>
        </w:rPr>
        <w:t>本单位决算公开信息反馈和联系方式：023-</w:t>
      </w:r>
      <w:r>
        <w:rPr>
          <w:rFonts w:hint="eastAsia" w:ascii="Times New Roman" w:hAnsi="Times New Roman" w:eastAsia="方正仿宋_GBK" w:cs="Times New Roman"/>
          <w:bCs/>
          <w:sz w:val="32"/>
          <w:szCs w:val="32"/>
          <w:lang w:val="en-US" w:eastAsia="zh-CN"/>
        </w:rPr>
        <w:t>51522016。</w:t>
      </w:r>
    </w:p>
    <w:tbl>
      <w:tblPr>
        <w:tblStyle w:val="6"/>
        <w:tblW w:w="1920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77"/>
        <w:gridCol w:w="850"/>
        <w:gridCol w:w="4436"/>
        <w:gridCol w:w="4433"/>
        <w:gridCol w:w="767"/>
        <w:gridCol w:w="43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9207"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4863" w:type="dxa"/>
            <w:gridSpan w:val="5"/>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sz w:val="20"/>
                <w:szCs w:val="20"/>
              </w:rPr>
              <w:t>：</w:t>
            </w:r>
            <w:r>
              <w:rPr>
                <w:sz w:val="20"/>
                <w:u w:color="auto"/>
              </w:rPr>
              <w:t>巫溪县人力资源和社会保障局</w:t>
            </w:r>
          </w:p>
        </w:tc>
        <w:tc>
          <w:tcPr>
            <w:tcW w:w="434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4863" w:type="dxa"/>
            <w:gridSpan w:val="5"/>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434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6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收入</w:t>
            </w:r>
          </w:p>
        </w:tc>
        <w:tc>
          <w:tcPr>
            <w:tcW w:w="954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1,041.29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四、上级补助收入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五、事业收入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六、经营收入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七、附属单位上缴收入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八、其他收入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436" w:type="dxa"/>
            <w:tcBorders>
              <w:top w:val="nil"/>
              <w:left w:val="nil"/>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888.51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39</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39.44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40</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11.70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49</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51.64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0</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1,041.29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1,041.29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使用非财政拨款结余（含专用结余）</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结余分配</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67"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59</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1,041.29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67"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r>
              <w:rPr>
                <w:rFonts w:hint="eastAsia" w:cs="宋体"/>
                <w:b/>
                <w:bCs/>
                <w:i w:val="0"/>
                <w:iCs w:val="0"/>
                <w:color w:val="000000"/>
                <w:kern w:val="0"/>
                <w:sz w:val="22"/>
                <w:szCs w:val="22"/>
                <w:u w:val="none"/>
                <w:lang w:val="en-US" w:eastAsia="zh-CN" w:bidi="ar"/>
              </w:rPr>
              <w:t>0</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1,041.29</w:t>
            </w:r>
          </w:p>
        </w:tc>
      </w:tr>
    </w:tbl>
    <w:p>
      <w:pPr>
        <w:pStyle w:val="9"/>
        <w:numPr>
          <w:ilvl w:val="0"/>
          <w:numId w:val="0"/>
        </w:numPr>
        <w:autoSpaceDE w:val="0"/>
        <w:rPr>
          <w:rFonts w:hint="eastAsia" w:ascii="宋体" w:hAnsi="宋体" w:eastAsia="宋体" w:cs="宋体"/>
          <w:sz w:val="21"/>
          <w:szCs w:val="21"/>
          <w:lang w:val="en-US" w:eastAsia="zh-CN"/>
        </w:rPr>
        <w:sectPr>
          <w:footerReference r:id="rId5" w:type="default"/>
          <w:pgSz w:w="23811" w:h="16838" w:orient="landscape"/>
          <w:pgMar w:top="1587" w:right="2098" w:bottom="1474" w:left="1984" w:header="0" w:footer="1474" w:gutter="0"/>
          <w:pgNumType w:fmt="decimal" w:start="17"/>
          <w:cols w:space="0" w:num="1"/>
          <w:rtlGutter w:val="0"/>
          <w:docGrid w:type="lines" w:linePitch="312" w:charSpace="0"/>
        </w:sectPr>
      </w:pPr>
    </w:p>
    <w:p>
      <w:pPr>
        <w:pStyle w:val="9"/>
        <w:numPr>
          <w:ilvl w:val="0"/>
          <w:numId w:val="0"/>
        </w:numPr>
        <w:autoSpaceDE w:val="0"/>
        <w:rPr>
          <w:rFonts w:hint="eastAsia" w:ascii="宋体" w:hAnsi="宋体" w:eastAsia="宋体" w:cs="宋体"/>
          <w:sz w:val="21"/>
          <w:szCs w:val="21"/>
          <w:lang w:val="en-US" w:eastAsia="zh-CN"/>
        </w:rPr>
      </w:pPr>
    </w:p>
    <w:tbl>
      <w:tblPr>
        <w:tblStyle w:val="6"/>
        <w:tblW w:w="2244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7"/>
        <w:gridCol w:w="500"/>
        <w:gridCol w:w="484"/>
        <w:gridCol w:w="4166"/>
        <w:gridCol w:w="2403"/>
        <w:gridCol w:w="2403"/>
        <w:gridCol w:w="2403"/>
        <w:gridCol w:w="2403"/>
        <w:gridCol w:w="2403"/>
        <w:gridCol w:w="2403"/>
        <w:gridCol w:w="24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22443" w:type="dxa"/>
            <w:gridSpan w:val="11"/>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jc w:val="center"/>
        </w:trPr>
        <w:tc>
          <w:tcPr>
            <w:tcW w:w="20035" w:type="dxa"/>
            <w:gridSpan w:val="10"/>
            <w:tcBorders>
              <w:top w:val="nil"/>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1"/>
                <w:szCs w:val="21"/>
                <w:lang w:eastAsia="zh-CN"/>
              </w:rPr>
              <w:t>部门</w:t>
            </w:r>
            <w:r>
              <w:rPr>
                <w:rFonts w:cs="宋体"/>
                <w:sz w:val="20"/>
                <w:szCs w:val="20"/>
              </w:rPr>
              <w:t>：</w:t>
            </w:r>
            <w:r>
              <w:rPr>
                <w:sz w:val="20"/>
                <w:u w:color="auto"/>
              </w:rPr>
              <w:t>巫溪县人力资源和社会保障局</w:t>
            </w:r>
          </w:p>
        </w:tc>
        <w:tc>
          <w:tcPr>
            <w:tcW w:w="2408" w:type="dxa"/>
            <w:tcBorders>
              <w:top w:val="nil"/>
              <w:left w:val="nil"/>
              <w:right w:val="nil"/>
            </w:tcBorders>
            <w:shd w:val="clear" w:color="auto" w:fill="auto"/>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02表</w:t>
            </w:r>
          </w:p>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45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16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6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0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484"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67"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0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84"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1,041.29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1,041.29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888.51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888.51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人力资源和社会保障管理事务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721.58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721.58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2080101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415.04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415.04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2080150</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96.84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96.84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2080199</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其他人力资源和社会保障管理事务支出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209.70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209.70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166.94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166.94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64.23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64.23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65.84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65.84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36.87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36.87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39.44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39.44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39.44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39.44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34.08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34.08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5.35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5.35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农林水支出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农业农村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2130152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对高校毕业生到基层任职补助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215</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资源勘探工业信息等支出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11.70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11.70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21508</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支持中小企业发展和管理支出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11.70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11.70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2150899</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其他支持中小企业发展和管理支出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11.70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11.70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51.64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51.64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51.64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51.64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51.64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51.64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4"/>
        <w:gridCol w:w="567"/>
        <w:gridCol w:w="600"/>
        <w:gridCol w:w="4316"/>
        <w:gridCol w:w="2737"/>
        <w:gridCol w:w="2737"/>
        <w:gridCol w:w="2737"/>
        <w:gridCol w:w="2737"/>
        <w:gridCol w:w="2737"/>
        <w:gridCol w:w="27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 xml:space="preserve">巫溪县人力资源和社会保障局 </w:t>
            </w: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3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34"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60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34"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0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1,041.29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769.89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271.40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888.51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678.81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209.70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人力资源和社会保障管理事务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721.58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511.88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209.70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2080101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415.04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415.04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2080150</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96.84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96.84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2080199</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其他人力资源和社会保障管理事务支出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209.70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209.70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166.94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166.94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64.23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64.23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65.84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65.84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36.87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36.87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39.44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39.44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39.44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39.44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34.08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34.08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5.35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5.35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农林水支出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农业农村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2130152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对高校毕业生到基层任职补助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215</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资源勘探工业信息等支出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11.70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11.70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21508</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支持中小企业发展和管理支出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11.70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11.70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2150899</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其他支持中小企业发展和管理支出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11.70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11.70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51.64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51.64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51.64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51.64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51.64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51.64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巫溪县人力资源和社会保障局</w:t>
            </w: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1,041.29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888.51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888.51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39.44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39.44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11.70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11.70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51.64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51.64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1,041.29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1,041.29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1,041.29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1,041.29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1,041.29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1,041.29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bl>
    <w:p>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jc w:val="center"/>
        </w:trPr>
        <w:tc>
          <w:tcPr>
            <w:tcW w:w="23039" w:type="dxa"/>
            <w:gridSpan w:val="17"/>
            <w:tcBorders>
              <w:top w:val="nil"/>
              <w:left w:val="nil"/>
              <w:bottom w:val="nil"/>
              <w:right w:val="nil"/>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jc w:val="center"/>
        </w:trPr>
        <w:tc>
          <w:tcPr>
            <w:tcW w:w="21883" w:type="dxa"/>
            <w:gridSpan w:val="16"/>
            <w:vMerge w:val="restart"/>
            <w:tcBorders>
              <w:top w:val="nil"/>
              <w:left w:val="nil"/>
              <w:right w:val="nil"/>
            </w:tcBorders>
            <w:shd w:val="clear" w:color="auto" w:fill="auto"/>
            <w:vAlign w:val="center"/>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巫溪县人力资源和社会保障局</w:t>
            </w:r>
          </w:p>
        </w:tc>
        <w:tc>
          <w:tcPr>
            <w:tcW w:w="1156" w:type="dxa"/>
            <w:tcBorders>
              <w:top w:val="nil"/>
              <w:left w:val="nil"/>
              <w:bottom w:val="nil"/>
              <w:right w:val="nil"/>
            </w:tcBorders>
            <w:shd w:val="clear" w:color="auto" w:fill="auto"/>
            <w:vAlign w:val="center"/>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jc w:val="center"/>
        </w:trPr>
        <w:tc>
          <w:tcPr>
            <w:tcW w:w="21883" w:type="dxa"/>
            <w:gridSpan w:val="16"/>
            <w:vMerge w:val="continue"/>
            <w:tcBorders>
              <w:left w:val="nil"/>
              <w:bottom w:val="nil"/>
              <w:right w:val="nil"/>
            </w:tcBorders>
            <w:shd w:val="clear" w:color="auto" w:fill="auto"/>
            <w:vAlign w:val="center"/>
          </w:tcPr>
          <w:p>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center"/>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jc w:val="center"/>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jc w:val="center"/>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jc w:val="center"/>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jc w:val="center"/>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1,041.29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769.89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271.40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1,041.29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769.89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271.40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888.51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678.81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209.70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888.51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678.81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209.70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b/>
                <w:color w:val="000000"/>
                <w:sz w:val="20"/>
                <w:szCs w:val="20"/>
              </w:rPr>
              <w:t>人力资源和社会保障管理事务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721.58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511.88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209.70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721.58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511.88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209.70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2080101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color w:val="000000"/>
                <w:sz w:val="20"/>
                <w:szCs w:val="20"/>
              </w:rPr>
              <w:t>行政运行</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415.04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415.04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415.04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415.04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2080150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color w:val="000000"/>
                <w:sz w:val="20"/>
                <w:szCs w:val="20"/>
              </w:rPr>
              <w:t>事业运行</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96.84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96.84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96.84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96.84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2080199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color w:val="000000"/>
                <w:sz w:val="20"/>
                <w:szCs w:val="20"/>
              </w:rPr>
              <w:t>其他人力资源和社会保障管理事务支出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209.70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209.70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209.70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209.70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166.94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166.94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166.94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166.94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color w:val="000000"/>
                <w:sz w:val="20"/>
                <w:szCs w:val="20"/>
              </w:rPr>
              <w:t>行政单位离退休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64.23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64.23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64.23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64.23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65.84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65.84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65.84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65.84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36.87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36.87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36.87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36.87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39.44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39.44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39.44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39.44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39.44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39.44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39.44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39.44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color w:val="000000"/>
                <w:sz w:val="20"/>
                <w:szCs w:val="20"/>
              </w:rPr>
              <w:t>行政单位医疗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34.08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34.08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34.08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34.08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color w:val="000000"/>
                <w:sz w:val="20"/>
                <w:szCs w:val="20"/>
              </w:rPr>
              <w:t>事业单位医疗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5.35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5.35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5.35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5.35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b/>
                <w:color w:val="000000"/>
                <w:sz w:val="20"/>
                <w:szCs w:val="20"/>
              </w:rPr>
              <w:t>农林水支出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b/>
                <w:color w:val="000000"/>
                <w:sz w:val="20"/>
                <w:szCs w:val="20"/>
              </w:rPr>
              <w:t>农业农村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2130152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color w:val="000000"/>
                <w:sz w:val="20"/>
                <w:szCs w:val="20"/>
              </w:rPr>
              <w:t>对高校毕业生到基层任职补助</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b/>
                <w:color w:val="000000"/>
                <w:sz w:val="20"/>
                <w:szCs w:val="20"/>
              </w:rPr>
              <w:t>资源勘探工业信息等支出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11.70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11.70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11.70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11.70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21508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b/>
                <w:color w:val="000000"/>
                <w:sz w:val="20"/>
                <w:szCs w:val="20"/>
              </w:rPr>
              <w:t>支持中小企业发展和管理支出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11.70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11.70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11.70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11.70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2150899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color w:val="000000"/>
                <w:sz w:val="20"/>
                <w:szCs w:val="20"/>
              </w:rPr>
              <w:t>其他支持中小企业发展和管理支出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11.70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11.70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11.70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11.70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51.64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51.64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51.64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51.64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51.64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51.64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51.64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51.64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51.64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51.64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51.64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51.64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巫溪县人力资源和社会保障局</w:t>
            </w: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606.25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96.81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2.61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145.18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6.76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95.72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0.70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2.61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120.58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3.50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48.88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0.78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65.84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7.66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36.87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5.84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39.44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2.10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3.40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51.64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64.23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3.81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59.01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5.50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0.40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0.90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12.81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4.82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4.28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5.53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24.73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2.60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670.48 </w:t>
            </w:r>
          </w:p>
        </w:tc>
        <w:tc>
          <w:tcPr>
            <w:tcW w:w="12067" w:type="dxa"/>
            <w:gridSpan w:val="5"/>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99.42 </w:t>
            </w:r>
          </w:p>
        </w:tc>
      </w:tr>
    </w:tbl>
    <w:p>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303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3"/>
        <w:gridCol w:w="224"/>
        <w:gridCol w:w="77"/>
        <w:gridCol w:w="239"/>
        <w:gridCol w:w="111"/>
        <w:gridCol w:w="223"/>
        <w:gridCol w:w="127"/>
        <w:gridCol w:w="1689"/>
        <w:gridCol w:w="975"/>
        <w:gridCol w:w="553"/>
        <w:gridCol w:w="199"/>
        <w:gridCol w:w="1017"/>
        <w:gridCol w:w="162"/>
        <w:gridCol w:w="506"/>
        <w:gridCol w:w="988"/>
        <w:gridCol w:w="1075"/>
        <w:gridCol w:w="709"/>
        <w:gridCol w:w="577"/>
        <w:gridCol w:w="900"/>
        <w:gridCol w:w="189"/>
        <w:gridCol w:w="1684"/>
        <w:gridCol w:w="609"/>
        <w:gridCol w:w="1141"/>
        <w:gridCol w:w="893"/>
        <w:gridCol w:w="366"/>
        <w:gridCol w:w="441"/>
        <w:gridCol w:w="243"/>
        <w:gridCol w:w="1490"/>
        <w:gridCol w:w="133"/>
        <w:gridCol w:w="1450"/>
        <w:gridCol w:w="837"/>
        <w:gridCol w:w="196"/>
        <w:gridCol w:w="28"/>
        <w:gridCol w:w="273"/>
        <w:gridCol w:w="1466"/>
        <w:gridCol w:w="349"/>
        <w:gridCol w:w="8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jc w:val="center"/>
        </w:trPr>
        <w:tc>
          <w:tcPr>
            <w:tcW w:w="23039" w:type="dxa"/>
            <w:gridSpan w:val="3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jc w:val="center"/>
        </w:trPr>
        <w:tc>
          <w:tcPr>
            <w:tcW w:w="21883" w:type="dxa"/>
            <w:gridSpan w:val="35"/>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巫溪县人力资源和社会保障局</w:t>
            </w:r>
          </w:p>
        </w:tc>
        <w:tc>
          <w:tcPr>
            <w:tcW w:w="1156" w:type="dxa"/>
            <w:gridSpan w:val="2"/>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r>
              <w:rPr>
                <w:rFonts w:hint="eastAsia" w:cs="宋体"/>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jc w:val="center"/>
        </w:trPr>
        <w:tc>
          <w:tcPr>
            <w:tcW w:w="21883" w:type="dxa"/>
            <w:gridSpan w:val="35"/>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1156" w:type="dxa"/>
            <w:gridSpan w:val="2"/>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jc w:val="center"/>
        </w:trPr>
        <w:tc>
          <w:tcPr>
            <w:tcW w:w="967" w:type="dxa"/>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gridSpan w:val="2"/>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7"/>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7"/>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9"/>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jc w:val="center"/>
        </w:trPr>
        <w:tc>
          <w:tcPr>
            <w:tcW w:w="967"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gridSpan w:val="2"/>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gridSpan w:val="2"/>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gridSpan w:val="3"/>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gridSpan w:val="2"/>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gridSpan w:val="2"/>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gridSpan w:val="3"/>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gridSpan w:val="2"/>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gridSpan w:val="3"/>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gridSpan w:val="2"/>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gridSpan w:val="2"/>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gridSpan w:val="4"/>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3"/>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7"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gridSpan w:val="2"/>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gridSpan w:val="2"/>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gridSpan w:val="3"/>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gridSpan w:val="2"/>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gridSpan w:val="2"/>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gridSpan w:val="3"/>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gridSpan w:val="2"/>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gridSpan w:val="3"/>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gridSpan w:val="2"/>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gridSpan w:val="2"/>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gridSpan w:val="4"/>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gridSpan w:val="2"/>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967"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gridSpan w:val="2"/>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gridSpan w:val="2"/>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gridSpan w:val="3"/>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gridSpan w:val="2"/>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gridSpan w:val="2"/>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gridSpan w:val="3"/>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gridSpan w:val="2"/>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gridSpan w:val="3"/>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gridSpan w:val="2"/>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gridSpan w:val="2"/>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gridSpan w:val="4"/>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gridSpan w:val="2"/>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jc w:val="center"/>
        </w:trPr>
        <w:tc>
          <w:tcPr>
            <w:tcW w:w="317" w:type="dxa"/>
            <w:gridSpan w:val="2"/>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gridSpan w:val="2"/>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gridSpan w:val="2"/>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gridSpan w:val="3"/>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gridSpan w:val="3"/>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gridSpan w:val="3"/>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gridSpan w:val="4"/>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jc w:val="center"/>
        </w:trPr>
        <w:tc>
          <w:tcPr>
            <w:tcW w:w="317" w:type="dxa"/>
            <w:gridSpan w:val="2"/>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gridSpan w:val="2"/>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gridSpan w:val="2"/>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gridSpan w:val="3"/>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66" w:type="dxa"/>
            <w:gridSpan w:val="3"/>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00" w:type="dxa"/>
            <w:gridSpan w:val="3"/>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33"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83"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gridSpan w:val="4"/>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967" w:type="dxa"/>
            <w:gridSpan w:val="6"/>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816"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528"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gridSpan w:val="3"/>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66" w:type="dxa"/>
            <w:gridSpan w:val="3"/>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00" w:type="dxa"/>
            <w:gridSpan w:val="3"/>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gridSpan w:val="4"/>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93" w:type="dxa"/>
          <w:wAfter w:w="807" w:type="dxa"/>
          <w:trHeight w:val="390" w:hRule="atLeast"/>
          <w:jc w:val="center"/>
        </w:trPr>
        <w:tc>
          <w:tcPr>
            <w:tcW w:w="22139" w:type="dxa"/>
            <w:gridSpan w:val="35"/>
            <w:tcBorders>
              <w:top w:val="nil"/>
              <w:left w:val="nil"/>
              <w:bottom w:val="nil"/>
              <w:right w:val="nil"/>
            </w:tcBorders>
            <w:shd w:val="clear" w:color="auto" w:fill="auto"/>
            <w:vAlign w:val="bottom"/>
          </w:tcPr>
          <w:p>
            <w:pPr>
              <w:keepNext w:val="0"/>
              <w:keepLines w:val="0"/>
              <w:pageBreakBefore w:val="0"/>
              <w:kinsoku/>
              <w:overflowPunct/>
              <w:topLinePunct w:val="0"/>
              <w:autoSpaceDN/>
              <w:bidi w:val="0"/>
              <w:adjustRightInd/>
              <w:spacing w:beforeAutospacing="0" w:afterAutospacing="0" w:line="594" w:lineRule="exact"/>
              <w:rPr>
                <w:rFonts w:hint="eastAsia" w:ascii="宋体" w:hAnsi="宋体" w:eastAsia="宋体" w:cs="宋体"/>
                <w:sz w:val="21"/>
                <w:szCs w:val="21"/>
                <w:lang w:eastAsia="zh-CN"/>
              </w:rPr>
            </w:pPr>
            <w:r>
              <w:rPr>
                <w:rFonts w:hint="eastAsia" w:cs="宋体"/>
                <w:sz w:val="21"/>
                <w:szCs w:val="21"/>
                <w:lang w:eastAsia="zh-CN"/>
              </w:rPr>
              <w:t>本年无政府性基金预算财政拨款收支，故本表无数据。</w:t>
            </w:r>
          </w:p>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国有资本经营预算财政拨款收入支出决算表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93" w:type="dxa"/>
          <w:wAfter w:w="807" w:type="dxa"/>
          <w:trHeight w:val="255" w:hRule="atLeast"/>
          <w:jc w:val="center"/>
        </w:trPr>
        <w:tc>
          <w:tcPr>
            <w:tcW w:w="20023" w:type="dxa"/>
            <w:gridSpan w:val="31"/>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部门</w:t>
            </w:r>
            <w:r>
              <w:rPr>
                <w:rFonts w:cs="宋体"/>
                <w:color w:val="000000"/>
                <w:sz w:val="20"/>
                <w:szCs w:val="20"/>
              </w:rPr>
              <w:t>：</w:t>
            </w:r>
            <w:r>
              <w:rPr>
                <w:color w:val="000000"/>
                <w:sz w:val="20"/>
                <w:u w:color="auto"/>
              </w:rPr>
              <w:t>巫溪县人力资源和社会保障局</w:t>
            </w:r>
          </w:p>
        </w:tc>
        <w:tc>
          <w:tcPr>
            <w:tcW w:w="2116" w:type="dxa"/>
            <w:gridSpan w:val="4"/>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93" w:type="dxa"/>
          <w:wAfter w:w="807" w:type="dxa"/>
          <w:trHeight w:val="255" w:hRule="atLeast"/>
          <w:jc w:val="center"/>
        </w:trPr>
        <w:tc>
          <w:tcPr>
            <w:tcW w:w="20023" w:type="dxa"/>
            <w:gridSpan w:val="31"/>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116" w:type="dxa"/>
            <w:gridSpan w:val="4"/>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93" w:type="dxa"/>
          <w:wAfter w:w="807" w:type="dxa"/>
          <w:trHeight w:val="308" w:hRule="atLeast"/>
          <w:jc w:val="center"/>
        </w:trPr>
        <w:tc>
          <w:tcPr>
            <w:tcW w:w="1001" w:type="dxa"/>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664" w:type="dxa"/>
            <w:gridSpan w:val="2"/>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6686" w:type="dxa"/>
            <w:gridSpan w:val="10"/>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2482" w:type="dxa"/>
            <w:gridSpan w:val="3"/>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2400" w:type="dxa"/>
            <w:gridSpan w:val="3"/>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6906" w:type="dxa"/>
            <w:gridSpan w:val="11"/>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93" w:type="dxa"/>
          <w:wAfter w:w="807" w:type="dxa"/>
          <w:trHeight w:val="308" w:hRule="atLeast"/>
          <w:jc w:val="center"/>
        </w:trPr>
        <w:tc>
          <w:tcPr>
            <w:tcW w:w="1001"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664" w:type="dxa"/>
            <w:gridSpan w:val="2"/>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437" w:type="dxa"/>
            <w:gridSpan w:val="5"/>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063" w:type="dxa"/>
            <w:gridSpan w:val="2"/>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186" w:type="dxa"/>
            <w:gridSpan w:val="3"/>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c>
          <w:tcPr>
            <w:tcW w:w="2482" w:type="dxa"/>
            <w:gridSpan w:val="3"/>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400" w:type="dxa"/>
            <w:gridSpan w:val="3"/>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307" w:type="dxa"/>
            <w:gridSpan w:val="4"/>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287" w:type="dxa"/>
            <w:gridSpan w:val="2"/>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312" w:type="dxa"/>
            <w:gridSpan w:val="5"/>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93" w:type="dxa"/>
          <w:wAfter w:w="807" w:type="dxa"/>
          <w:trHeight w:val="308" w:hRule="atLeast"/>
          <w:jc w:val="center"/>
        </w:trPr>
        <w:tc>
          <w:tcPr>
            <w:tcW w:w="1001"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64" w:type="dxa"/>
            <w:gridSpan w:val="2"/>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7" w:type="dxa"/>
            <w:gridSpan w:val="5"/>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3"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86" w:type="dxa"/>
            <w:gridSpan w:val="3"/>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82" w:type="dxa"/>
            <w:gridSpan w:val="3"/>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0" w:type="dxa"/>
            <w:gridSpan w:val="3"/>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07" w:type="dxa"/>
            <w:gridSpan w:val="4"/>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87"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12" w:type="dxa"/>
            <w:gridSpan w:val="5"/>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93" w:type="dxa"/>
          <w:wAfter w:w="807" w:type="dxa"/>
          <w:trHeight w:val="615" w:hRule="atLeast"/>
          <w:jc w:val="center"/>
        </w:trPr>
        <w:tc>
          <w:tcPr>
            <w:tcW w:w="1001"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64" w:type="dxa"/>
            <w:gridSpan w:val="2"/>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7" w:type="dxa"/>
            <w:gridSpan w:val="5"/>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3"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86" w:type="dxa"/>
            <w:gridSpan w:val="3"/>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82" w:type="dxa"/>
            <w:gridSpan w:val="3"/>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0" w:type="dxa"/>
            <w:gridSpan w:val="3"/>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07" w:type="dxa"/>
            <w:gridSpan w:val="4"/>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87"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12" w:type="dxa"/>
            <w:gridSpan w:val="5"/>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93" w:type="dxa"/>
          <w:wAfter w:w="807" w:type="dxa"/>
          <w:trHeight w:val="308" w:hRule="atLeast"/>
          <w:jc w:val="center"/>
        </w:trPr>
        <w:tc>
          <w:tcPr>
            <w:tcW w:w="301" w:type="dxa"/>
            <w:gridSpan w:val="2"/>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50" w:type="dxa"/>
            <w:gridSpan w:val="2"/>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50" w:type="dxa"/>
            <w:gridSpan w:val="2"/>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2664"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37" w:type="dxa"/>
            <w:gridSpan w:val="5"/>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063"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186" w:type="dxa"/>
            <w:gridSpan w:val="3"/>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82" w:type="dxa"/>
            <w:gridSpan w:val="3"/>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0" w:type="dxa"/>
            <w:gridSpan w:val="3"/>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307" w:type="dxa"/>
            <w:gridSpan w:val="4"/>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287"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312" w:type="dxa"/>
            <w:gridSpan w:val="5"/>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93" w:type="dxa"/>
          <w:wAfter w:w="807" w:type="dxa"/>
          <w:trHeight w:val="308" w:hRule="atLeast"/>
          <w:jc w:val="center"/>
        </w:trPr>
        <w:tc>
          <w:tcPr>
            <w:tcW w:w="301" w:type="dxa"/>
            <w:gridSpan w:val="2"/>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50"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50"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664"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37" w:type="dxa"/>
            <w:gridSpan w:val="5"/>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063"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86" w:type="dxa"/>
            <w:gridSpan w:val="3"/>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82" w:type="dxa"/>
            <w:gridSpan w:val="3"/>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0" w:type="dxa"/>
            <w:gridSpan w:val="3"/>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07" w:type="dxa"/>
            <w:gridSpan w:val="4"/>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287"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12" w:type="dxa"/>
            <w:gridSpan w:val="5"/>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93" w:type="dxa"/>
          <w:wAfter w:w="807" w:type="dxa"/>
          <w:trHeight w:val="308" w:hRule="atLeast"/>
          <w:jc w:val="center"/>
        </w:trPr>
        <w:tc>
          <w:tcPr>
            <w:tcW w:w="1001" w:type="dxa"/>
            <w:gridSpan w:val="6"/>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p>
        </w:tc>
        <w:tc>
          <w:tcPr>
            <w:tcW w:w="2664" w:type="dxa"/>
            <w:gridSpan w:val="2"/>
            <w:tcBorders>
              <w:top w:val="nil"/>
              <w:left w:val="nil"/>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p>
        </w:tc>
        <w:tc>
          <w:tcPr>
            <w:tcW w:w="2437" w:type="dxa"/>
            <w:gridSpan w:val="5"/>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63"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6" w:type="dxa"/>
            <w:gridSpan w:val="3"/>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82" w:type="dxa"/>
            <w:gridSpan w:val="3"/>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0" w:type="dxa"/>
            <w:gridSpan w:val="3"/>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07" w:type="dxa"/>
            <w:gridSpan w:val="4"/>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87"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12" w:type="dxa"/>
            <w:gridSpan w:val="5"/>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4"/>
          <w:wBefore w:w="93" w:type="dxa"/>
          <w:wAfter w:w="2895" w:type="dxa"/>
          <w:trHeight w:val="540" w:hRule="atLeast"/>
          <w:jc w:val="center"/>
        </w:trPr>
        <w:tc>
          <w:tcPr>
            <w:tcW w:w="20051" w:type="dxa"/>
            <w:gridSpan w:val="32"/>
            <w:tcBorders>
              <w:top w:val="nil"/>
              <w:left w:val="nil"/>
              <w:bottom w:val="nil"/>
              <w:right w:val="nil"/>
            </w:tcBorders>
            <w:shd w:val="clear" w:color="auto" w:fill="auto"/>
            <w:vAlign w:val="bottom"/>
          </w:tcPr>
          <w:p>
            <w:pPr>
              <w:keepNext w:val="0"/>
              <w:keepLines w:val="0"/>
              <w:pageBreakBefore w:val="0"/>
              <w:kinsoku/>
              <w:overflowPunct/>
              <w:topLinePunct w:val="0"/>
              <w:autoSpaceDN/>
              <w:bidi w:val="0"/>
              <w:adjustRightInd/>
              <w:spacing w:beforeAutospacing="0" w:afterAutospacing="0" w:line="594" w:lineRule="exact"/>
              <w:rPr>
                <w:rFonts w:hint="eastAsia" w:ascii="宋体" w:hAnsi="宋体" w:eastAsia="宋体" w:cs="宋体"/>
                <w:sz w:val="21"/>
                <w:szCs w:val="21"/>
                <w:lang w:eastAsia="zh-CN"/>
              </w:rPr>
            </w:pPr>
            <w:r>
              <w:rPr>
                <w:rFonts w:hint="eastAsia" w:cs="宋体"/>
                <w:sz w:val="21"/>
                <w:szCs w:val="21"/>
                <w:lang w:eastAsia="zh-CN"/>
              </w:rPr>
              <w:t>本年无国有资本经营预算财政拨款收支，故本表无数据。</w:t>
            </w:r>
          </w:p>
          <w:p>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b/>
                <w:bCs/>
                <w:i w:val="0"/>
                <w:iCs w:val="0"/>
                <w:color w:val="000000"/>
                <w:kern w:val="0"/>
                <w:sz w:val="30"/>
                <w:szCs w:val="30"/>
                <w:u w:val="none"/>
                <w:lang w:val="en-US" w:eastAsia="zh-CN" w:bidi="ar"/>
              </w:rPr>
              <w:t>机构运行信息决算表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4"/>
          <w:wBefore w:w="93" w:type="dxa"/>
          <w:wAfter w:w="2895" w:type="dxa"/>
          <w:trHeight w:val="255" w:hRule="atLeast"/>
          <w:jc w:val="center"/>
        </w:trPr>
        <w:tc>
          <w:tcPr>
            <w:tcW w:w="15917" w:type="dxa"/>
            <w:gridSpan w:val="26"/>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部门</w:t>
            </w:r>
            <w:r>
              <w:rPr>
                <w:rFonts w:cs="宋体"/>
                <w:color w:val="000000"/>
                <w:sz w:val="20"/>
                <w:szCs w:val="20"/>
              </w:rPr>
              <w:t>：</w:t>
            </w:r>
            <w:r>
              <w:rPr>
                <w:color w:val="000000"/>
                <w:sz w:val="20"/>
                <w:u w:color="auto"/>
              </w:rPr>
              <w:t>巫溪县人力资源和社会保障局</w:t>
            </w:r>
          </w:p>
        </w:tc>
        <w:tc>
          <w:tcPr>
            <w:tcW w:w="4134" w:type="dxa"/>
            <w:gridSpan w:val="6"/>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4"/>
          <w:wBefore w:w="93" w:type="dxa"/>
          <w:wAfter w:w="2895" w:type="dxa"/>
          <w:trHeight w:val="255" w:hRule="atLeast"/>
          <w:jc w:val="center"/>
        </w:trPr>
        <w:tc>
          <w:tcPr>
            <w:tcW w:w="15917" w:type="dxa"/>
            <w:gridSpan w:val="26"/>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4134" w:type="dxa"/>
            <w:gridSpan w:val="6"/>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4"/>
          <w:wBefore w:w="93" w:type="dxa"/>
          <w:wAfter w:w="2895" w:type="dxa"/>
          <w:trHeight w:val="308" w:hRule="atLeast"/>
          <w:jc w:val="center"/>
        </w:trPr>
        <w:tc>
          <w:tcPr>
            <w:tcW w:w="441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101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017" w:type="dxa"/>
            <w:gridSpan w:val="6"/>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5416"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105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134" w:type="dxa"/>
            <w:gridSpan w:val="6"/>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4"/>
          <w:wBefore w:w="93" w:type="dxa"/>
          <w:wAfter w:w="2895" w:type="dxa"/>
          <w:trHeight w:val="308" w:hRule="atLeast"/>
          <w:jc w:val="center"/>
        </w:trPr>
        <w:tc>
          <w:tcPr>
            <w:tcW w:w="4417" w:type="dxa"/>
            <w:gridSpan w:val="10"/>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一、“三公”经费支出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01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416" w:type="dxa"/>
            <w:gridSpan w:val="6"/>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五、机关运行经费</w:t>
            </w:r>
          </w:p>
        </w:tc>
        <w:tc>
          <w:tcPr>
            <w:tcW w:w="1050" w:type="dxa"/>
            <w:gridSpan w:val="3"/>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134" w:type="dxa"/>
            <w:gridSpan w:val="6"/>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83.76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4"/>
          <w:wBefore w:w="93" w:type="dxa"/>
          <w:wAfter w:w="2895" w:type="dxa"/>
          <w:trHeight w:val="308" w:hRule="atLeast"/>
          <w:jc w:val="center"/>
        </w:trPr>
        <w:tc>
          <w:tcPr>
            <w:tcW w:w="4417" w:type="dxa"/>
            <w:gridSpan w:val="10"/>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（一）支出合计</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017" w:type="dxa"/>
            <w:gridSpan w:val="6"/>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14.70 </w:t>
            </w:r>
          </w:p>
        </w:tc>
        <w:tc>
          <w:tcPr>
            <w:tcW w:w="5416" w:type="dxa"/>
            <w:gridSpan w:val="6"/>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（一）行政单位</w:t>
            </w:r>
          </w:p>
        </w:tc>
        <w:tc>
          <w:tcPr>
            <w:tcW w:w="1050" w:type="dxa"/>
            <w:gridSpan w:val="3"/>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134" w:type="dxa"/>
            <w:gridSpan w:val="6"/>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58.56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4"/>
          <w:wBefore w:w="93" w:type="dxa"/>
          <w:wAfter w:w="2895" w:type="dxa"/>
          <w:trHeight w:val="308" w:hRule="atLeast"/>
          <w:jc w:val="center"/>
        </w:trPr>
        <w:tc>
          <w:tcPr>
            <w:tcW w:w="4417" w:type="dxa"/>
            <w:gridSpan w:val="10"/>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017" w:type="dxa"/>
            <w:gridSpan w:val="6"/>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gridSpan w:val="6"/>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（二）参照公务员法管理事业单位</w:t>
            </w:r>
          </w:p>
        </w:tc>
        <w:tc>
          <w:tcPr>
            <w:tcW w:w="1050" w:type="dxa"/>
            <w:gridSpan w:val="3"/>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134" w:type="dxa"/>
            <w:gridSpan w:val="6"/>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25.20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4"/>
          <w:wBefore w:w="93" w:type="dxa"/>
          <w:wAfter w:w="2895" w:type="dxa"/>
          <w:trHeight w:val="308" w:hRule="atLeast"/>
          <w:jc w:val="center"/>
        </w:trPr>
        <w:tc>
          <w:tcPr>
            <w:tcW w:w="4417" w:type="dxa"/>
            <w:gridSpan w:val="10"/>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2．公务用车购置及运行维护费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017" w:type="dxa"/>
            <w:gridSpan w:val="6"/>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7.07 </w:t>
            </w:r>
          </w:p>
        </w:tc>
        <w:tc>
          <w:tcPr>
            <w:tcW w:w="5416" w:type="dxa"/>
            <w:gridSpan w:val="6"/>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六、资产信息</w:t>
            </w:r>
          </w:p>
        </w:tc>
        <w:tc>
          <w:tcPr>
            <w:tcW w:w="1050" w:type="dxa"/>
            <w:gridSpan w:val="3"/>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13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4"/>
          <w:wBefore w:w="93" w:type="dxa"/>
          <w:wAfter w:w="2895" w:type="dxa"/>
          <w:trHeight w:val="308" w:hRule="atLeast"/>
          <w:jc w:val="center"/>
        </w:trPr>
        <w:tc>
          <w:tcPr>
            <w:tcW w:w="4417" w:type="dxa"/>
            <w:gridSpan w:val="10"/>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（1）公务用车购置费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017" w:type="dxa"/>
            <w:gridSpan w:val="6"/>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gridSpan w:val="6"/>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（一）车辆数合计（辆）</w:t>
            </w:r>
          </w:p>
        </w:tc>
        <w:tc>
          <w:tcPr>
            <w:tcW w:w="1050" w:type="dxa"/>
            <w:gridSpan w:val="3"/>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134" w:type="dxa"/>
            <w:gridSpan w:val="6"/>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4"/>
          <w:wBefore w:w="93" w:type="dxa"/>
          <w:wAfter w:w="2895" w:type="dxa"/>
          <w:trHeight w:val="308" w:hRule="atLeast"/>
          <w:jc w:val="center"/>
        </w:trPr>
        <w:tc>
          <w:tcPr>
            <w:tcW w:w="4417" w:type="dxa"/>
            <w:gridSpan w:val="10"/>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（2）公务用车运行维护费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017" w:type="dxa"/>
            <w:gridSpan w:val="6"/>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7.07 </w:t>
            </w:r>
          </w:p>
        </w:tc>
        <w:tc>
          <w:tcPr>
            <w:tcW w:w="5416" w:type="dxa"/>
            <w:gridSpan w:val="6"/>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1．副部（省）级及以上领导用车</w:t>
            </w:r>
          </w:p>
        </w:tc>
        <w:tc>
          <w:tcPr>
            <w:tcW w:w="1050" w:type="dxa"/>
            <w:gridSpan w:val="3"/>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4134" w:type="dxa"/>
            <w:gridSpan w:val="6"/>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4"/>
          <w:wBefore w:w="93" w:type="dxa"/>
          <w:wAfter w:w="2895" w:type="dxa"/>
          <w:trHeight w:val="308" w:hRule="atLeast"/>
          <w:jc w:val="center"/>
        </w:trPr>
        <w:tc>
          <w:tcPr>
            <w:tcW w:w="4417" w:type="dxa"/>
            <w:gridSpan w:val="10"/>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3．公务接待费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017" w:type="dxa"/>
            <w:gridSpan w:val="6"/>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7.63 </w:t>
            </w:r>
          </w:p>
        </w:tc>
        <w:tc>
          <w:tcPr>
            <w:tcW w:w="5416" w:type="dxa"/>
            <w:gridSpan w:val="6"/>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2．主要领导干部用车</w:t>
            </w:r>
          </w:p>
        </w:tc>
        <w:tc>
          <w:tcPr>
            <w:tcW w:w="1050" w:type="dxa"/>
            <w:gridSpan w:val="3"/>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4134" w:type="dxa"/>
            <w:gridSpan w:val="6"/>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4"/>
          <w:wBefore w:w="93" w:type="dxa"/>
          <w:wAfter w:w="2895" w:type="dxa"/>
          <w:trHeight w:val="308" w:hRule="atLeast"/>
          <w:jc w:val="center"/>
        </w:trPr>
        <w:tc>
          <w:tcPr>
            <w:tcW w:w="4417" w:type="dxa"/>
            <w:gridSpan w:val="10"/>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（1）国内接待费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017" w:type="dxa"/>
            <w:gridSpan w:val="6"/>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7.63 </w:t>
            </w:r>
          </w:p>
        </w:tc>
        <w:tc>
          <w:tcPr>
            <w:tcW w:w="5416" w:type="dxa"/>
            <w:gridSpan w:val="6"/>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3．机要通信用车</w:t>
            </w:r>
          </w:p>
        </w:tc>
        <w:tc>
          <w:tcPr>
            <w:tcW w:w="1050" w:type="dxa"/>
            <w:gridSpan w:val="3"/>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4134" w:type="dxa"/>
            <w:gridSpan w:val="6"/>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4"/>
          <w:wBefore w:w="93" w:type="dxa"/>
          <w:wAfter w:w="2895" w:type="dxa"/>
          <w:trHeight w:val="308" w:hRule="atLeast"/>
          <w:jc w:val="center"/>
        </w:trPr>
        <w:tc>
          <w:tcPr>
            <w:tcW w:w="4417" w:type="dxa"/>
            <w:gridSpan w:val="10"/>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017" w:type="dxa"/>
            <w:gridSpan w:val="6"/>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gridSpan w:val="6"/>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4．应急保障用车</w:t>
            </w:r>
          </w:p>
        </w:tc>
        <w:tc>
          <w:tcPr>
            <w:tcW w:w="1050" w:type="dxa"/>
            <w:gridSpan w:val="3"/>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4134" w:type="dxa"/>
            <w:gridSpan w:val="6"/>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4"/>
          <w:wBefore w:w="93" w:type="dxa"/>
          <w:wAfter w:w="2895" w:type="dxa"/>
          <w:trHeight w:val="308" w:hRule="atLeast"/>
          <w:jc w:val="center"/>
        </w:trPr>
        <w:tc>
          <w:tcPr>
            <w:tcW w:w="4417" w:type="dxa"/>
            <w:gridSpan w:val="10"/>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（2）国（境）外接待费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017" w:type="dxa"/>
            <w:gridSpan w:val="6"/>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gridSpan w:val="6"/>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5．执法执勤用车</w:t>
            </w:r>
          </w:p>
        </w:tc>
        <w:tc>
          <w:tcPr>
            <w:tcW w:w="1050" w:type="dxa"/>
            <w:gridSpan w:val="3"/>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4134" w:type="dxa"/>
            <w:gridSpan w:val="6"/>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4"/>
          <w:wBefore w:w="93" w:type="dxa"/>
          <w:wAfter w:w="2895" w:type="dxa"/>
          <w:trHeight w:val="308" w:hRule="atLeast"/>
          <w:jc w:val="center"/>
        </w:trPr>
        <w:tc>
          <w:tcPr>
            <w:tcW w:w="4417" w:type="dxa"/>
            <w:gridSpan w:val="10"/>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（二）相关统计数</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01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416" w:type="dxa"/>
            <w:gridSpan w:val="6"/>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6．特种专业技术用车</w:t>
            </w:r>
          </w:p>
        </w:tc>
        <w:tc>
          <w:tcPr>
            <w:tcW w:w="1050" w:type="dxa"/>
            <w:gridSpan w:val="3"/>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4134" w:type="dxa"/>
            <w:gridSpan w:val="6"/>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4"/>
          <w:wBefore w:w="93" w:type="dxa"/>
          <w:wAfter w:w="2895" w:type="dxa"/>
          <w:trHeight w:val="308" w:hRule="atLeast"/>
          <w:jc w:val="center"/>
        </w:trPr>
        <w:tc>
          <w:tcPr>
            <w:tcW w:w="4417" w:type="dxa"/>
            <w:gridSpan w:val="10"/>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1．因公出国（境）团组数（个）</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017" w:type="dxa"/>
            <w:gridSpan w:val="6"/>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gridSpan w:val="6"/>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7．离退休干部用车</w:t>
            </w:r>
          </w:p>
        </w:tc>
        <w:tc>
          <w:tcPr>
            <w:tcW w:w="1050" w:type="dxa"/>
            <w:gridSpan w:val="3"/>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4134" w:type="dxa"/>
            <w:gridSpan w:val="6"/>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4"/>
          <w:wBefore w:w="93" w:type="dxa"/>
          <w:wAfter w:w="2895" w:type="dxa"/>
          <w:trHeight w:val="308" w:hRule="atLeast"/>
          <w:jc w:val="center"/>
        </w:trPr>
        <w:tc>
          <w:tcPr>
            <w:tcW w:w="4417" w:type="dxa"/>
            <w:gridSpan w:val="10"/>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2．因公出国（境）人次数（人）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017" w:type="dxa"/>
            <w:gridSpan w:val="6"/>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gridSpan w:val="6"/>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8．其他用车</w:t>
            </w:r>
          </w:p>
        </w:tc>
        <w:tc>
          <w:tcPr>
            <w:tcW w:w="1050" w:type="dxa"/>
            <w:gridSpan w:val="3"/>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4134" w:type="dxa"/>
            <w:gridSpan w:val="6"/>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4"/>
          <w:wBefore w:w="93" w:type="dxa"/>
          <w:wAfter w:w="2895" w:type="dxa"/>
          <w:trHeight w:val="308" w:hRule="atLeast"/>
          <w:jc w:val="center"/>
        </w:trPr>
        <w:tc>
          <w:tcPr>
            <w:tcW w:w="4417" w:type="dxa"/>
            <w:gridSpan w:val="10"/>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3．公务用车购置数（辆）</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017" w:type="dxa"/>
            <w:gridSpan w:val="6"/>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gridSpan w:val="6"/>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（二）单价100万元（含）以上设备（不含车辆）</w:t>
            </w:r>
          </w:p>
        </w:tc>
        <w:tc>
          <w:tcPr>
            <w:tcW w:w="1050" w:type="dxa"/>
            <w:gridSpan w:val="3"/>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4134" w:type="dxa"/>
            <w:gridSpan w:val="6"/>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4"/>
          <w:wBefore w:w="93" w:type="dxa"/>
          <w:wAfter w:w="2895" w:type="dxa"/>
          <w:trHeight w:val="308" w:hRule="atLeast"/>
          <w:jc w:val="center"/>
        </w:trPr>
        <w:tc>
          <w:tcPr>
            <w:tcW w:w="4417" w:type="dxa"/>
            <w:gridSpan w:val="10"/>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4．公务用车保有量（辆）</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017" w:type="dxa"/>
            <w:gridSpan w:val="6"/>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w:t>
            </w:r>
          </w:p>
        </w:tc>
        <w:tc>
          <w:tcPr>
            <w:tcW w:w="5416" w:type="dxa"/>
            <w:gridSpan w:val="6"/>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七、政府采购支出信息</w:t>
            </w:r>
          </w:p>
        </w:tc>
        <w:tc>
          <w:tcPr>
            <w:tcW w:w="1050" w:type="dxa"/>
            <w:gridSpan w:val="3"/>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413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4"/>
          <w:wBefore w:w="93" w:type="dxa"/>
          <w:wAfter w:w="2895" w:type="dxa"/>
          <w:trHeight w:val="308" w:hRule="atLeast"/>
          <w:jc w:val="center"/>
        </w:trPr>
        <w:tc>
          <w:tcPr>
            <w:tcW w:w="4417" w:type="dxa"/>
            <w:gridSpan w:val="10"/>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5．国内公务接待批次（个）</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017" w:type="dxa"/>
            <w:gridSpan w:val="6"/>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211</w:t>
            </w:r>
          </w:p>
        </w:tc>
        <w:tc>
          <w:tcPr>
            <w:tcW w:w="5416" w:type="dxa"/>
            <w:gridSpan w:val="6"/>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（一）政府采购支出合计</w:t>
            </w:r>
          </w:p>
        </w:tc>
        <w:tc>
          <w:tcPr>
            <w:tcW w:w="1050" w:type="dxa"/>
            <w:gridSpan w:val="3"/>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4134" w:type="dxa"/>
            <w:gridSpan w:val="6"/>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3.69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4"/>
          <w:wBefore w:w="93" w:type="dxa"/>
          <w:wAfter w:w="2895" w:type="dxa"/>
          <w:trHeight w:val="308" w:hRule="atLeast"/>
          <w:jc w:val="center"/>
        </w:trPr>
        <w:tc>
          <w:tcPr>
            <w:tcW w:w="4417" w:type="dxa"/>
            <w:gridSpan w:val="10"/>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其中：外事接待批次（个）</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017" w:type="dxa"/>
            <w:gridSpan w:val="6"/>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gridSpan w:val="6"/>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1．政府采购货物支出</w:t>
            </w:r>
          </w:p>
        </w:tc>
        <w:tc>
          <w:tcPr>
            <w:tcW w:w="1050" w:type="dxa"/>
            <w:gridSpan w:val="3"/>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4134" w:type="dxa"/>
            <w:gridSpan w:val="6"/>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3.69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4"/>
          <w:wBefore w:w="93" w:type="dxa"/>
          <w:wAfter w:w="2895" w:type="dxa"/>
          <w:trHeight w:val="308" w:hRule="atLeast"/>
          <w:jc w:val="center"/>
        </w:trPr>
        <w:tc>
          <w:tcPr>
            <w:tcW w:w="4417" w:type="dxa"/>
            <w:gridSpan w:val="10"/>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6．国内公务接待人次（人）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017" w:type="dxa"/>
            <w:gridSpan w:val="6"/>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1,545</w:t>
            </w:r>
          </w:p>
        </w:tc>
        <w:tc>
          <w:tcPr>
            <w:tcW w:w="5416" w:type="dxa"/>
            <w:gridSpan w:val="6"/>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2．政府采购工程支出</w:t>
            </w:r>
          </w:p>
        </w:tc>
        <w:tc>
          <w:tcPr>
            <w:tcW w:w="1050" w:type="dxa"/>
            <w:gridSpan w:val="3"/>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4134" w:type="dxa"/>
            <w:gridSpan w:val="6"/>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4"/>
          <w:wBefore w:w="93" w:type="dxa"/>
          <w:wAfter w:w="2895" w:type="dxa"/>
          <w:trHeight w:val="308" w:hRule="atLeast"/>
          <w:jc w:val="center"/>
        </w:trPr>
        <w:tc>
          <w:tcPr>
            <w:tcW w:w="4417" w:type="dxa"/>
            <w:gridSpan w:val="10"/>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其中：外事接待人次（人）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017" w:type="dxa"/>
            <w:gridSpan w:val="6"/>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gridSpan w:val="6"/>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3．政府采购服务支出</w:t>
            </w:r>
          </w:p>
        </w:tc>
        <w:tc>
          <w:tcPr>
            <w:tcW w:w="1050" w:type="dxa"/>
            <w:gridSpan w:val="3"/>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4134" w:type="dxa"/>
            <w:gridSpan w:val="6"/>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4"/>
          <w:wBefore w:w="93" w:type="dxa"/>
          <w:wAfter w:w="2895" w:type="dxa"/>
          <w:trHeight w:val="308" w:hRule="atLeast"/>
          <w:jc w:val="center"/>
        </w:trPr>
        <w:tc>
          <w:tcPr>
            <w:tcW w:w="4417" w:type="dxa"/>
            <w:gridSpan w:val="10"/>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7．国（境）外公务接待批次（个）</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017" w:type="dxa"/>
            <w:gridSpan w:val="6"/>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gridSpan w:val="6"/>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（二）政府采购授予中小企业合同金额</w:t>
            </w:r>
          </w:p>
        </w:tc>
        <w:tc>
          <w:tcPr>
            <w:tcW w:w="1050" w:type="dxa"/>
            <w:gridSpan w:val="3"/>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4134" w:type="dxa"/>
            <w:gridSpan w:val="6"/>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2.55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4"/>
          <w:wBefore w:w="93" w:type="dxa"/>
          <w:wAfter w:w="2895" w:type="dxa"/>
          <w:trHeight w:val="308" w:hRule="atLeast"/>
          <w:jc w:val="center"/>
        </w:trPr>
        <w:tc>
          <w:tcPr>
            <w:tcW w:w="4417" w:type="dxa"/>
            <w:gridSpan w:val="10"/>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8．国（境）外公务接待人次（人）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017" w:type="dxa"/>
            <w:gridSpan w:val="6"/>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gridSpan w:val="6"/>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其中：授予小微企业合同金额</w:t>
            </w:r>
          </w:p>
        </w:tc>
        <w:tc>
          <w:tcPr>
            <w:tcW w:w="1050" w:type="dxa"/>
            <w:gridSpan w:val="3"/>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4134" w:type="dxa"/>
            <w:gridSpan w:val="6"/>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2.55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4"/>
          <w:wBefore w:w="93" w:type="dxa"/>
          <w:wAfter w:w="2895" w:type="dxa"/>
          <w:trHeight w:val="308" w:hRule="atLeast"/>
          <w:jc w:val="center"/>
        </w:trPr>
        <w:tc>
          <w:tcPr>
            <w:tcW w:w="4417" w:type="dxa"/>
            <w:gridSpan w:val="10"/>
            <w:tcBorders>
              <w:top w:val="nil"/>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二、会议费</w:t>
            </w:r>
          </w:p>
        </w:tc>
        <w:tc>
          <w:tcPr>
            <w:tcW w:w="1017"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017" w:type="dxa"/>
            <w:gridSpan w:val="6"/>
            <w:tcBorders>
              <w:top w:val="single" w:color="000000" w:sz="4" w:space="0"/>
              <w:left w:val="single" w:color="000000" w:sz="4" w:space="0"/>
              <w:bottom w:val="single" w:color="auto"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gridSpan w:val="6"/>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gridSpan w:val="3"/>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134" w:type="dxa"/>
            <w:gridSpan w:val="6"/>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4"/>
          <w:wBefore w:w="93" w:type="dxa"/>
          <w:wAfter w:w="2895" w:type="dxa"/>
          <w:trHeight w:val="308" w:hRule="atLeast"/>
          <w:jc w:val="center"/>
        </w:trPr>
        <w:tc>
          <w:tcPr>
            <w:tcW w:w="4417"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三、培训费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017" w:type="dxa"/>
            <w:gridSpan w:val="6"/>
            <w:tcBorders>
              <w:top w:val="single" w:color="auto" w:sz="4" w:space="0"/>
              <w:left w:val="single" w:color="auto" w:sz="4" w:space="0"/>
              <w:bottom w:val="single" w:color="000000"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134" w:type="dxa"/>
            <w:gridSpan w:val="6"/>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4"/>
          <w:wBefore w:w="93" w:type="dxa"/>
          <w:wAfter w:w="2895" w:type="dxa"/>
          <w:trHeight w:val="308" w:hRule="atLeast"/>
          <w:jc w:val="center"/>
        </w:trPr>
        <w:tc>
          <w:tcPr>
            <w:tcW w:w="4417"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i w:val="0"/>
                <w:color w:val="000000"/>
                <w:kern w:val="2"/>
                <w:sz w:val="22"/>
                <w:szCs w:val="22"/>
                <w:u w:val="none"/>
                <w:lang w:val="en-US" w:eastAsia="zh-CN" w:bidi="ar-SA"/>
              </w:rPr>
            </w:pPr>
            <w:r>
              <w:rPr>
                <w:rFonts w:hint="eastAsia" w:ascii="宋体" w:hAnsi="宋体" w:eastAsia="宋体" w:cs="宋体"/>
                <w:b/>
                <w:i w:val="0"/>
                <w:color w:val="000000"/>
                <w:kern w:val="0"/>
                <w:sz w:val="22"/>
                <w:szCs w:val="22"/>
                <w:u w:val="none"/>
                <w:lang w:val="en-US" w:eastAsia="zh-CN" w:bidi="ar"/>
              </w:rPr>
              <w:t>四、差旅费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24</w:t>
            </w:r>
          </w:p>
        </w:tc>
        <w:tc>
          <w:tcPr>
            <w:tcW w:w="4017" w:type="dxa"/>
            <w:gridSpan w:val="6"/>
            <w:tcBorders>
              <w:top w:val="single" w:color="000000"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cs="Times New Roman"/>
                <w:color w:val="000000"/>
                <w:sz w:val="22"/>
                <w:szCs w:val="22"/>
              </w:rPr>
              <w:t>18.48</w:t>
            </w:r>
          </w:p>
        </w:tc>
        <w:tc>
          <w:tcPr>
            <w:tcW w:w="5416"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4134" w:type="dxa"/>
            <w:gridSpan w:val="6"/>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bl>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pStyle w:val="9"/>
        <w:autoSpaceDE w:val="0"/>
        <w:ind w:firstLine="0" w:firstLineChars="0"/>
        <w:rPr>
          <w:rFonts w:hint="default" w:ascii="宋体" w:hAnsi="宋体" w:eastAsia="宋体" w:cs="宋体"/>
          <w:sz w:val="21"/>
          <w:szCs w:val="21"/>
        </w:rPr>
      </w:pPr>
    </w:p>
    <w:sectPr>
      <w:pgSz w:w="23811" w:h="16838" w:orient="landscape"/>
      <w:pgMar w:top="567" w:right="454" w:bottom="567" w:left="471" w:header="0" w:footer="283"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59264;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AalSs7WAAAABgEAAA8A&#10;AAAAAAAAAQAgAAAAIgAAAGRycy9kb3ducmV2LnhtbFBLAQIUABQAAAAIAIdO4kBkpEqjGQIAAB8E&#10;AAAOAAAAAAAAAAEAIAAAACUBAABkcnMvZTJvRG9jLnhtbFBLBQYAAAAABgAGAFkBAACwBQAAAAA=&#10;">
              <v:fill on="f" focussize="0,0"/>
              <v:stroke on="f" weight="0.5pt"/>
              <v:imagedata o:title=""/>
              <o:lock v:ext="edit" aspectratio="f"/>
              <v:textbox inset="16pt,0mm,16pt,0mm" style="mso-fit-shape-to-text:t;">
                <w:txbxContent>
                  <w:p>
                    <w:pPr>
                      <w:pStyle w:val="2"/>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w:rPr>
        <w:sz w:val="18"/>
      </w:rPr>
      <mc:AlternateContent>
        <mc:Choice Requires="wps">
          <w:drawing>
            <wp:anchor distT="0" distB="0" distL="114300" distR="114300" simplePos="0" relativeHeight="251660288" behindDoc="0" locked="0" layoutInCell="1" allowOverlap="1">
              <wp:simplePos x="0" y="0"/>
              <wp:positionH relativeFrom="margin">
                <wp:posOffset>-327660</wp:posOffset>
              </wp:positionH>
              <wp:positionV relativeFrom="margin">
                <wp:align>outside</wp:align>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17</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eaVert" wrap="none" lIns="0" tIns="203200" rIns="0" bIns="20320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5.8pt;height:144pt;width:144pt;mso-position-horizontal-relative:margin;mso-position-vertical:outside;mso-position-vertical-relative:margin;mso-wrap-style:none;z-index:251660288;mso-width-relative:page;mso-height-relative:page;" filled="f" stroked="f" coordsize="21600,21600" o:gfxdata="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5tpbXdYAAAAI&#10;AQAADwAAAAAAAAABACAAAAAiAAAAZHJzL2Rvd25yZXYueG1sUEsBAhQAFAAAAAgAh07iQMOFLcQe&#10;AgAAIQQAAA4AAAAAAAAAAQAgAAAAJQEAAGRycy9lMm9Eb2MueG1sUEsFBgAAAAAGAAYAWQEAALUF&#10;AAAAAA==&#10;">
              <v:fill on="f" focussize="0,0"/>
              <v:stroke on="f" weight="0.5pt"/>
              <v:imagedata o:title=""/>
              <o:lock v:ext="edit" aspectratio="f"/>
              <v:textbox inset="0mm,16pt,0mm,16pt" style="layout-flow:vertical-ideographic;mso-fit-shape-to-text:t;">
                <w:txbxContent>
                  <w:p>
                    <w:pPr>
                      <w:pStyle w:val="2"/>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17</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0D7BCC"/>
    <w:rsid w:val="00550ABE"/>
    <w:rsid w:val="007B419D"/>
    <w:rsid w:val="009B67B8"/>
    <w:rsid w:val="00B03CCD"/>
    <w:rsid w:val="01474EBF"/>
    <w:rsid w:val="01F3521E"/>
    <w:rsid w:val="03E3214F"/>
    <w:rsid w:val="04446191"/>
    <w:rsid w:val="044C50BA"/>
    <w:rsid w:val="0536621F"/>
    <w:rsid w:val="05E71467"/>
    <w:rsid w:val="06247E33"/>
    <w:rsid w:val="06A2550B"/>
    <w:rsid w:val="06F80EE2"/>
    <w:rsid w:val="07001CCA"/>
    <w:rsid w:val="075321D2"/>
    <w:rsid w:val="075678DB"/>
    <w:rsid w:val="07932335"/>
    <w:rsid w:val="08051BCA"/>
    <w:rsid w:val="080A21BB"/>
    <w:rsid w:val="08BA052C"/>
    <w:rsid w:val="08DB07BA"/>
    <w:rsid w:val="098305D0"/>
    <w:rsid w:val="09B72B6E"/>
    <w:rsid w:val="0A0C7F04"/>
    <w:rsid w:val="0A227275"/>
    <w:rsid w:val="0A5C4B69"/>
    <w:rsid w:val="0B9335CE"/>
    <w:rsid w:val="0BA10C97"/>
    <w:rsid w:val="0C554661"/>
    <w:rsid w:val="0C7927C4"/>
    <w:rsid w:val="0C9B098C"/>
    <w:rsid w:val="0CE80A8F"/>
    <w:rsid w:val="0D472B48"/>
    <w:rsid w:val="0D673E11"/>
    <w:rsid w:val="0DB50EFE"/>
    <w:rsid w:val="0DDA54E4"/>
    <w:rsid w:val="0E3A5F83"/>
    <w:rsid w:val="0E656028"/>
    <w:rsid w:val="0E9478E1"/>
    <w:rsid w:val="0ECC1455"/>
    <w:rsid w:val="0F836721"/>
    <w:rsid w:val="103645A3"/>
    <w:rsid w:val="107B59E5"/>
    <w:rsid w:val="10AA219D"/>
    <w:rsid w:val="11003CB0"/>
    <w:rsid w:val="11124E18"/>
    <w:rsid w:val="111445C7"/>
    <w:rsid w:val="1158083A"/>
    <w:rsid w:val="117C63FE"/>
    <w:rsid w:val="11F03528"/>
    <w:rsid w:val="12C921C4"/>
    <w:rsid w:val="12DA353E"/>
    <w:rsid w:val="13850DCB"/>
    <w:rsid w:val="13871C70"/>
    <w:rsid w:val="13A71CB4"/>
    <w:rsid w:val="13AF1D43"/>
    <w:rsid w:val="13CE1647"/>
    <w:rsid w:val="14200702"/>
    <w:rsid w:val="144F3F11"/>
    <w:rsid w:val="145558C5"/>
    <w:rsid w:val="1580711B"/>
    <w:rsid w:val="16D80EBF"/>
    <w:rsid w:val="189B0D0B"/>
    <w:rsid w:val="18E03A42"/>
    <w:rsid w:val="19313430"/>
    <w:rsid w:val="194A1770"/>
    <w:rsid w:val="19B906A4"/>
    <w:rsid w:val="19BC4734"/>
    <w:rsid w:val="1A1F744B"/>
    <w:rsid w:val="1AB10093"/>
    <w:rsid w:val="1B501DE7"/>
    <w:rsid w:val="1B6F15B6"/>
    <w:rsid w:val="1BAA2EDC"/>
    <w:rsid w:val="1CE157EE"/>
    <w:rsid w:val="1D014A01"/>
    <w:rsid w:val="1D022362"/>
    <w:rsid w:val="1D091B60"/>
    <w:rsid w:val="1D794AE5"/>
    <w:rsid w:val="1DD26311"/>
    <w:rsid w:val="1DE57DAF"/>
    <w:rsid w:val="1EF67CA4"/>
    <w:rsid w:val="1F213FD9"/>
    <w:rsid w:val="1FCD26AF"/>
    <w:rsid w:val="20642787"/>
    <w:rsid w:val="20C83310"/>
    <w:rsid w:val="20EC77A3"/>
    <w:rsid w:val="21556F04"/>
    <w:rsid w:val="22403BD3"/>
    <w:rsid w:val="24B92327"/>
    <w:rsid w:val="2533755C"/>
    <w:rsid w:val="26396DF4"/>
    <w:rsid w:val="266B763B"/>
    <w:rsid w:val="27167136"/>
    <w:rsid w:val="27B23302"/>
    <w:rsid w:val="27D424D7"/>
    <w:rsid w:val="285722C3"/>
    <w:rsid w:val="28DC1FF8"/>
    <w:rsid w:val="29310A5F"/>
    <w:rsid w:val="29473651"/>
    <w:rsid w:val="29C37A35"/>
    <w:rsid w:val="2A076083"/>
    <w:rsid w:val="2A306CA5"/>
    <w:rsid w:val="2A73162E"/>
    <w:rsid w:val="2AFA2E94"/>
    <w:rsid w:val="2B167953"/>
    <w:rsid w:val="2B200583"/>
    <w:rsid w:val="2B8209DE"/>
    <w:rsid w:val="2C6762A3"/>
    <w:rsid w:val="2C906D7D"/>
    <w:rsid w:val="2D5F4C37"/>
    <w:rsid w:val="2D8332EB"/>
    <w:rsid w:val="2FE029D7"/>
    <w:rsid w:val="2FF06E00"/>
    <w:rsid w:val="315F0B22"/>
    <w:rsid w:val="31BE24D6"/>
    <w:rsid w:val="31D84415"/>
    <w:rsid w:val="32285F6F"/>
    <w:rsid w:val="32770556"/>
    <w:rsid w:val="329C0913"/>
    <w:rsid w:val="3337290D"/>
    <w:rsid w:val="352930DB"/>
    <w:rsid w:val="35573069"/>
    <w:rsid w:val="358C217E"/>
    <w:rsid w:val="359E7284"/>
    <w:rsid w:val="359F188C"/>
    <w:rsid w:val="36C9128A"/>
    <w:rsid w:val="37841E99"/>
    <w:rsid w:val="379C594F"/>
    <w:rsid w:val="37BF1123"/>
    <w:rsid w:val="37C85E36"/>
    <w:rsid w:val="38BE4696"/>
    <w:rsid w:val="39B82A39"/>
    <w:rsid w:val="39F33306"/>
    <w:rsid w:val="3B1705E5"/>
    <w:rsid w:val="3B18334B"/>
    <w:rsid w:val="3B36794F"/>
    <w:rsid w:val="3B544954"/>
    <w:rsid w:val="3B793FF0"/>
    <w:rsid w:val="3B97076E"/>
    <w:rsid w:val="3C5A5928"/>
    <w:rsid w:val="3C6A5B02"/>
    <w:rsid w:val="3D2757A1"/>
    <w:rsid w:val="3D3D4FC4"/>
    <w:rsid w:val="3DDF3AB1"/>
    <w:rsid w:val="3DE60B7E"/>
    <w:rsid w:val="3E1D0952"/>
    <w:rsid w:val="3E42660A"/>
    <w:rsid w:val="3E7555B1"/>
    <w:rsid w:val="3EA72472"/>
    <w:rsid w:val="3EDE1208"/>
    <w:rsid w:val="3F0527E5"/>
    <w:rsid w:val="3F16459E"/>
    <w:rsid w:val="3F4A6687"/>
    <w:rsid w:val="4004000C"/>
    <w:rsid w:val="410B7187"/>
    <w:rsid w:val="411B6CE5"/>
    <w:rsid w:val="412070D7"/>
    <w:rsid w:val="41314E40"/>
    <w:rsid w:val="415C674B"/>
    <w:rsid w:val="426C1EA8"/>
    <w:rsid w:val="42E86A87"/>
    <w:rsid w:val="43136432"/>
    <w:rsid w:val="443A3B12"/>
    <w:rsid w:val="44487B36"/>
    <w:rsid w:val="44EF6BE8"/>
    <w:rsid w:val="45A30364"/>
    <w:rsid w:val="465B470D"/>
    <w:rsid w:val="469D6AD4"/>
    <w:rsid w:val="46C027C2"/>
    <w:rsid w:val="47674801"/>
    <w:rsid w:val="47F95F8C"/>
    <w:rsid w:val="48225EF7"/>
    <w:rsid w:val="48A36D47"/>
    <w:rsid w:val="495C4A24"/>
    <w:rsid w:val="49A21DF3"/>
    <w:rsid w:val="49C811E4"/>
    <w:rsid w:val="4A216E30"/>
    <w:rsid w:val="4B7951CB"/>
    <w:rsid w:val="4B7C315C"/>
    <w:rsid w:val="4B9300D7"/>
    <w:rsid w:val="4BAB7F90"/>
    <w:rsid w:val="4BD53EDA"/>
    <w:rsid w:val="4BE11807"/>
    <w:rsid w:val="4C484CE5"/>
    <w:rsid w:val="4DAC4ACA"/>
    <w:rsid w:val="4DD06F63"/>
    <w:rsid w:val="4E043596"/>
    <w:rsid w:val="4EA8523F"/>
    <w:rsid w:val="4F186D58"/>
    <w:rsid w:val="4F224836"/>
    <w:rsid w:val="511D3192"/>
    <w:rsid w:val="51760217"/>
    <w:rsid w:val="51E36677"/>
    <w:rsid w:val="522F6E0C"/>
    <w:rsid w:val="52463BA1"/>
    <w:rsid w:val="529F078E"/>
    <w:rsid w:val="53C0244D"/>
    <w:rsid w:val="53DD4D4E"/>
    <w:rsid w:val="53E578CE"/>
    <w:rsid w:val="53EA10F5"/>
    <w:rsid w:val="54225B28"/>
    <w:rsid w:val="543B029D"/>
    <w:rsid w:val="54977029"/>
    <w:rsid w:val="554E5773"/>
    <w:rsid w:val="555A3CBC"/>
    <w:rsid w:val="55EF4EA6"/>
    <w:rsid w:val="56530F5D"/>
    <w:rsid w:val="56EE372E"/>
    <w:rsid w:val="5842572D"/>
    <w:rsid w:val="598A28E2"/>
    <w:rsid w:val="5C1336B7"/>
    <w:rsid w:val="5C263CE4"/>
    <w:rsid w:val="5C5D2777"/>
    <w:rsid w:val="5C722D7F"/>
    <w:rsid w:val="5D290C69"/>
    <w:rsid w:val="5EFA176D"/>
    <w:rsid w:val="5F0247F9"/>
    <w:rsid w:val="5F2D4A41"/>
    <w:rsid w:val="5F864BC4"/>
    <w:rsid w:val="601C34ED"/>
    <w:rsid w:val="60A511FB"/>
    <w:rsid w:val="61025A59"/>
    <w:rsid w:val="613D5BBC"/>
    <w:rsid w:val="61536C39"/>
    <w:rsid w:val="616D60F9"/>
    <w:rsid w:val="62944DD7"/>
    <w:rsid w:val="63497036"/>
    <w:rsid w:val="63C1619B"/>
    <w:rsid w:val="63C25DC5"/>
    <w:rsid w:val="63C62057"/>
    <w:rsid w:val="63C73832"/>
    <w:rsid w:val="64192A39"/>
    <w:rsid w:val="64FB113D"/>
    <w:rsid w:val="6544377C"/>
    <w:rsid w:val="655F5939"/>
    <w:rsid w:val="656152C6"/>
    <w:rsid w:val="6587477F"/>
    <w:rsid w:val="658C3A08"/>
    <w:rsid w:val="65C031CA"/>
    <w:rsid w:val="65CE6852"/>
    <w:rsid w:val="65F004F9"/>
    <w:rsid w:val="66267C04"/>
    <w:rsid w:val="663F505A"/>
    <w:rsid w:val="667F2393"/>
    <w:rsid w:val="66EE5541"/>
    <w:rsid w:val="67086152"/>
    <w:rsid w:val="687E45FE"/>
    <w:rsid w:val="692172FD"/>
    <w:rsid w:val="6A3829EE"/>
    <w:rsid w:val="6A924CB7"/>
    <w:rsid w:val="6AE0292E"/>
    <w:rsid w:val="6B474EF5"/>
    <w:rsid w:val="6BC27679"/>
    <w:rsid w:val="6BC54EFE"/>
    <w:rsid w:val="6C560CAE"/>
    <w:rsid w:val="6CD15296"/>
    <w:rsid w:val="6D903FF5"/>
    <w:rsid w:val="6DA955B8"/>
    <w:rsid w:val="6DE346AB"/>
    <w:rsid w:val="6F8B66CB"/>
    <w:rsid w:val="6FFB2E76"/>
    <w:rsid w:val="70AB70D6"/>
    <w:rsid w:val="70DE5507"/>
    <w:rsid w:val="718C12E2"/>
    <w:rsid w:val="71C34D91"/>
    <w:rsid w:val="71ED38AA"/>
    <w:rsid w:val="72DB435C"/>
    <w:rsid w:val="74ED1B1B"/>
    <w:rsid w:val="750837F0"/>
    <w:rsid w:val="762A73EF"/>
    <w:rsid w:val="7631412E"/>
    <w:rsid w:val="764F62AB"/>
    <w:rsid w:val="765C45EC"/>
    <w:rsid w:val="768A7619"/>
    <w:rsid w:val="7714640F"/>
    <w:rsid w:val="77EA362A"/>
    <w:rsid w:val="7875383E"/>
    <w:rsid w:val="796D60A4"/>
    <w:rsid w:val="79A031D5"/>
    <w:rsid w:val="79A52681"/>
    <w:rsid w:val="7A1525F7"/>
    <w:rsid w:val="7A3E6CB6"/>
    <w:rsid w:val="7A99799F"/>
    <w:rsid w:val="7B420052"/>
    <w:rsid w:val="7B7D43A1"/>
    <w:rsid w:val="7BD06A28"/>
    <w:rsid w:val="7C1E4CD7"/>
    <w:rsid w:val="7C3A7C0B"/>
    <w:rsid w:val="7C5248E4"/>
    <w:rsid w:val="7C566698"/>
    <w:rsid w:val="7CE56AF6"/>
    <w:rsid w:val="7CF02E5B"/>
    <w:rsid w:val="7D213FB2"/>
    <w:rsid w:val="7D416222"/>
    <w:rsid w:val="7FCE13E9"/>
    <w:rsid w:val="7FF7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1">
    <w:name w:val="21"/>
    <w:qFormat/>
    <w:uiPriority w:val="0"/>
    <w:rPr>
      <w:rFonts w:hint="default" w:ascii="Wingdings" w:hAnsi="Wingdings" w:cs="Wingdings"/>
      <w:b/>
      <w:bCs/>
    </w:rPr>
  </w:style>
  <w:style w:type="paragraph" w:customStyle="1" w:styleId="12">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 w:type="paragraph" w:customStyle="1" w:styleId="13">
    <w:name w:val="正文-公1"/>
    <w:basedOn w:val="14"/>
    <w:next w:val="1"/>
    <w:qFormat/>
    <w:uiPriority w:val="0"/>
    <w:pPr>
      <w:ind w:firstLine="200" w:firstLineChars="200"/>
    </w:pPr>
  </w:style>
  <w:style w:type="paragraph" w:customStyle="1" w:styleId="14">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3"/>
    <w:qFormat/>
    <w:uiPriority w:val="0"/>
    <w:pPr>
      <w:widowControl w:val="0"/>
      <w:jc w:val="both"/>
    </w:pPr>
    <w:rPr>
      <w:rFonts w:ascii="Times New Roman" w:hAnsi="Times New Roman" w:eastAsia="宋体" w:cs="Times New Roman"/>
      <w:kern w:val="2"/>
      <w:sz w:val="21"/>
      <w:lang w:val="en-US" w:eastAsia="zh-CN"/>
    </w:rPr>
  </w:style>
  <w:style w:type="paragraph" w:customStyle="1" w:styleId="15">
    <w:name w:val="列出段落2"/>
    <w:qFormat/>
    <w:uiPriority w:val="99"/>
    <w:pPr>
      <w:ind w:firstLine="420" w:firstLineChars="200"/>
    </w:pPr>
    <w:rPr>
      <w:rFonts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11302</Words>
  <Characters>15504</Characters>
  <Lines>161</Lines>
  <Paragraphs>45</Paragraphs>
  <TotalTime>12</TotalTime>
  <ScaleCrop>false</ScaleCrop>
  <LinksUpToDate>false</LinksUpToDate>
  <CharactersWithSpaces>16833</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2026-05-15T08:27:42Z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570B3F24AE014BDDA1B6AECEAA57922E_13</vt:lpwstr>
  </property>
  <property fmtid="{D5CDD505-2E9C-101B-9397-08002B2CF9AE}" pid="4" name="KSOTemplateDocerSaveRecord">
    <vt:lpwstr>eyJoZGlkIjoiMTEzOWZkYTRlYzE5NmVhNWE2Mjk3ZmQ3NjQyN2JjMjIiLCJ1c2VySWQiOiIxNTY3MTg4Njk1In0=</vt:lpwstr>
  </property>
</Properties>
</file>