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5187D2">
      <w:pPr>
        <w:snapToGrid w:val="0"/>
        <w:spacing w:line="440" w:lineRule="exact"/>
        <w:jc w:val="center"/>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重庆市生物降解塑料购物袋产品质量监督抽查实施细则</w:t>
      </w:r>
    </w:p>
    <w:p w14:paraId="1E15B028">
      <w:pPr>
        <w:snapToGrid w:val="0"/>
        <w:spacing w:line="440" w:lineRule="exact"/>
        <w:jc w:val="center"/>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（202</w:t>
      </w:r>
      <w:r>
        <w:rPr>
          <w:rFonts w:hint="eastAsia" w:ascii="方正小标宋简体" w:hAnsi="仿宋" w:eastAsia="方正小标宋简体" w:cs="方正仿宋简体"/>
          <w:color w:val="000000"/>
          <w:sz w:val="32"/>
          <w:szCs w:val="32"/>
          <w:lang w:val="en-US" w:eastAsia="zh-CN"/>
        </w:rPr>
        <w:t>5</w:t>
      </w:r>
      <w:r>
        <w:rPr>
          <w:rFonts w:hint="eastAsia" w:ascii="方正小标宋简体" w:hAnsi="仿宋" w:eastAsia="方正小标宋简体" w:cs="方正仿宋简体"/>
          <w:color w:val="000000"/>
          <w:sz w:val="32"/>
          <w:szCs w:val="32"/>
        </w:rPr>
        <w:t>年</w:t>
      </w:r>
      <w:r>
        <w:rPr>
          <w:rFonts w:hint="eastAsia" w:ascii="方正小标宋简体" w:hAnsi="仿宋" w:eastAsia="方正小标宋简体" w:cs="方正仿宋简体"/>
          <w:color w:val="000000"/>
          <w:sz w:val="32"/>
          <w:szCs w:val="32"/>
          <w:lang w:eastAsia="zh-CN"/>
        </w:rPr>
        <w:t>版</w:t>
      </w:r>
      <w:r>
        <w:rPr>
          <w:rFonts w:hint="eastAsia" w:ascii="方正小标宋简体" w:hAnsi="仿宋" w:eastAsia="方正小标宋简体" w:cs="方正仿宋简体"/>
          <w:color w:val="000000"/>
          <w:sz w:val="32"/>
          <w:szCs w:val="32"/>
        </w:rPr>
        <w:t>）</w:t>
      </w:r>
    </w:p>
    <w:p w14:paraId="7DF87A3E">
      <w:pPr>
        <w:snapToGrid w:val="0"/>
        <w:spacing w:line="440" w:lineRule="exact"/>
        <w:rPr>
          <w:rFonts w:hint="eastAsia" w:ascii="黑体" w:hAnsi="宋体" w:eastAsia="黑体"/>
          <w:color w:val="000000"/>
          <w:szCs w:val="21"/>
        </w:rPr>
      </w:pPr>
    </w:p>
    <w:p w14:paraId="3F058C26">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14:paraId="2EA16C82">
      <w:pPr>
        <w:snapToGrid w:val="0"/>
        <w:spacing w:line="440" w:lineRule="exact"/>
        <w:ind w:firstLine="420" w:firstLineChars="200"/>
        <w:rPr>
          <w:rFonts w:hint="eastAsia" w:ascii="宋体" w:hAnsi="宋体" w:eastAsia="宋体" w:cs="Times New Roman"/>
          <w:color w:val="000000"/>
          <w:szCs w:val="21"/>
        </w:rPr>
      </w:pPr>
      <w:r>
        <w:rPr>
          <w:rFonts w:hint="eastAsia" w:ascii="宋体" w:hAnsi="宋体" w:eastAsia="宋体" w:cs="Times New Roman"/>
          <w:color w:val="000000"/>
          <w:szCs w:val="21"/>
        </w:rPr>
        <w:t>以随机抽样的方式在被抽样生产者、销售者的待销产品中抽取。</w:t>
      </w:r>
    </w:p>
    <w:p w14:paraId="10D68AE6">
      <w:pPr>
        <w:snapToGrid w:val="0"/>
        <w:spacing w:line="440" w:lineRule="exact"/>
        <w:ind w:firstLine="420" w:firstLineChars="200"/>
        <w:rPr>
          <w:rFonts w:hint="eastAsia" w:ascii="宋体" w:hAnsi="宋体" w:eastAsia="宋体" w:cs="Times New Roman"/>
          <w:color w:val="000000"/>
          <w:szCs w:val="21"/>
        </w:rPr>
      </w:pPr>
      <w:r>
        <w:rPr>
          <w:rFonts w:hint="eastAsia" w:ascii="宋体" w:hAnsi="宋体" w:eastAsia="宋体" w:cs="Times New Roman"/>
          <w:color w:val="000000"/>
          <w:szCs w:val="21"/>
        </w:rPr>
        <w:t>随机数一般可使用随机数表等方法产生。</w:t>
      </w:r>
    </w:p>
    <w:p w14:paraId="0CC04CC3">
      <w:pPr>
        <w:snapToGrid w:val="0"/>
        <w:spacing w:line="440" w:lineRule="exact"/>
        <w:ind w:firstLine="420" w:firstLineChars="200"/>
        <w:rPr>
          <w:rFonts w:hint="eastAsia" w:ascii="宋体" w:hAnsi="宋体" w:eastAsia="宋体" w:cs="Times New Roman"/>
          <w:color w:val="000000"/>
          <w:szCs w:val="21"/>
        </w:rPr>
      </w:pPr>
      <w:r>
        <w:rPr>
          <w:rFonts w:hint="eastAsia" w:ascii="宋体" w:hAnsi="宋体" w:eastAsia="宋体" w:cs="Times New Roman"/>
          <w:color w:val="000000"/>
          <w:szCs w:val="21"/>
        </w:rPr>
        <w:t>每批次产品抽取样品抽取</w:t>
      </w:r>
      <w:r>
        <w:rPr>
          <w:rFonts w:hint="eastAsia" w:ascii="宋体" w:hAnsi="宋体" w:eastAsia="宋体" w:cs="Times New Roman"/>
          <w:color w:val="000000"/>
          <w:szCs w:val="21"/>
          <w:lang w:val="en-US" w:eastAsia="zh-CN"/>
        </w:rPr>
        <w:t>180</w:t>
      </w:r>
      <w:r>
        <w:rPr>
          <w:rFonts w:hint="eastAsia" w:ascii="宋体" w:hAnsi="宋体" w:eastAsia="宋体" w:cs="Times New Roman"/>
          <w:color w:val="000000"/>
          <w:szCs w:val="21"/>
        </w:rPr>
        <w:t>个，</w:t>
      </w:r>
      <w:r>
        <w:rPr>
          <w:rFonts w:hint="eastAsia" w:ascii="宋体" w:hAnsi="宋体" w:eastAsia="宋体" w:cs="Times New Roman"/>
          <w:color w:val="000000"/>
          <w:szCs w:val="21"/>
          <w:lang w:val="en-US" w:eastAsia="zh-CN"/>
        </w:rPr>
        <w:t>90</w:t>
      </w:r>
      <w:r>
        <w:rPr>
          <w:rFonts w:hint="eastAsia" w:ascii="宋体" w:hAnsi="宋体" w:eastAsia="宋体" w:cs="Times New Roman"/>
          <w:color w:val="000000"/>
          <w:szCs w:val="21"/>
        </w:rPr>
        <w:t>个</w:t>
      </w:r>
      <w:r>
        <w:rPr>
          <w:rFonts w:hint="eastAsia" w:ascii="宋体" w:hAnsi="宋体" w:eastAsia="宋体" w:cs="Times New Roman"/>
          <w:color w:val="000000"/>
          <w:szCs w:val="21"/>
          <w:lang w:eastAsia="zh-CN"/>
        </w:rPr>
        <w:t>作</w:t>
      </w:r>
      <w:r>
        <w:rPr>
          <w:rFonts w:hint="eastAsia" w:ascii="宋体" w:hAnsi="宋体" w:eastAsia="宋体" w:cs="Times New Roman"/>
          <w:color w:val="000000"/>
          <w:szCs w:val="21"/>
        </w:rPr>
        <w:t>为</w:t>
      </w:r>
      <w:r>
        <w:rPr>
          <w:rFonts w:hint="eastAsia" w:ascii="宋体" w:hAnsi="宋体"/>
          <w:color w:val="000000"/>
          <w:szCs w:val="21"/>
        </w:rPr>
        <w:t>检验样品</w:t>
      </w:r>
      <w:r>
        <w:rPr>
          <w:rFonts w:hint="eastAsia" w:ascii="宋体" w:hAnsi="宋体" w:eastAsia="宋体" w:cs="Times New Roman"/>
          <w:color w:val="000000"/>
          <w:szCs w:val="21"/>
        </w:rPr>
        <w:t>，</w:t>
      </w:r>
      <w:r>
        <w:rPr>
          <w:rFonts w:hint="eastAsia" w:ascii="宋体" w:hAnsi="宋体" w:eastAsia="宋体"/>
          <w:color w:val="000000"/>
          <w:szCs w:val="21"/>
          <w:lang w:val="en-US" w:eastAsia="zh-CN"/>
        </w:rPr>
        <w:t>9</w:t>
      </w:r>
      <w:r>
        <w:rPr>
          <w:rFonts w:hint="eastAsia" w:ascii="宋体" w:hAnsi="宋体"/>
          <w:color w:val="000000"/>
          <w:szCs w:val="21"/>
        </w:rPr>
        <w:t>0个作为备用样品</w:t>
      </w:r>
      <w:r>
        <w:rPr>
          <w:rFonts w:hint="eastAsia" w:ascii="宋体" w:hAnsi="宋体" w:eastAsia="宋体" w:cs="Times New Roman"/>
          <w:color w:val="000000"/>
          <w:szCs w:val="21"/>
        </w:rPr>
        <w:t>，且保证</w:t>
      </w:r>
      <w:r>
        <w:rPr>
          <w:rFonts w:hint="eastAsia" w:ascii="宋体" w:hAnsi="宋体"/>
          <w:color w:val="000000"/>
          <w:szCs w:val="21"/>
        </w:rPr>
        <w:t>检验</w:t>
      </w:r>
      <w:r>
        <w:rPr>
          <w:rFonts w:hint="eastAsia" w:ascii="宋体" w:hAnsi="宋体" w:eastAsia="宋体" w:cs="Times New Roman"/>
          <w:color w:val="000000"/>
          <w:szCs w:val="21"/>
          <w:lang w:eastAsia="zh-CN"/>
        </w:rPr>
        <w:t>、</w:t>
      </w:r>
      <w:r>
        <w:rPr>
          <w:rFonts w:hint="eastAsia" w:ascii="宋体" w:hAnsi="宋体"/>
          <w:color w:val="000000"/>
          <w:szCs w:val="21"/>
        </w:rPr>
        <w:t>备用</w:t>
      </w:r>
      <w:r>
        <w:rPr>
          <w:rFonts w:hint="eastAsia" w:ascii="宋体" w:hAnsi="宋体" w:eastAsia="宋体" w:cs="Times New Roman"/>
          <w:color w:val="000000"/>
          <w:szCs w:val="21"/>
        </w:rPr>
        <w:t>样</w:t>
      </w:r>
      <w:r>
        <w:rPr>
          <w:rFonts w:hint="eastAsia" w:ascii="宋体" w:hAnsi="宋体" w:eastAsia="宋体" w:cs="Times New Roman"/>
          <w:color w:val="000000"/>
          <w:szCs w:val="21"/>
          <w:lang w:eastAsia="zh-CN"/>
        </w:rPr>
        <w:t>品</w:t>
      </w:r>
      <w:r>
        <w:rPr>
          <w:rFonts w:hint="eastAsia" w:ascii="宋体" w:hAnsi="宋体" w:eastAsia="宋体" w:cs="Times New Roman"/>
          <w:color w:val="000000"/>
          <w:szCs w:val="21"/>
        </w:rPr>
        <w:t>重量≥500g，若重量不足500g时，应增加抽样数量。</w:t>
      </w:r>
    </w:p>
    <w:p w14:paraId="3E6ADEEB">
      <w:pPr>
        <w:snapToGrid w:val="0"/>
        <w:spacing w:line="440" w:lineRule="exact"/>
        <w:ind w:firstLine="420" w:firstLineChars="200"/>
        <w:rPr>
          <w:rFonts w:hint="eastAsia" w:ascii="宋体" w:hAnsi="宋体"/>
          <w:color w:val="000000"/>
          <w:szCs w:val="21"/>
        </w:rPr>
      </w:pPr>
    </w:p>
    <w:p w14:paraId="3E368933">
      <w:pPr>
        <w:snapToGrid w:val="0"/>
        <w:spacing w:line="360" w:lineRule="auto"/>
        <w:rPr>
          <w:rFonts w:hint="eastAsia" w:ascii="黑体" w:hAnsi="宋体" w:eastAsia="黑体"/>
          <w:color w:val="000000"/>
          <w:szCs w:val="21"/>
        </w:rPr>
      </w:pPr>
      <w:r>
        <w:rPr>
          <w:rFonts w:hint="eastAsia" w:ascii="黑体" w:hAnsi="宋体" w:eastAsia="黑体"/>
          <w:color w:val="000000"/>
          <w:szCs w:val="21"/>
        </w:rPr>
        <w:t>2 检验依据</w:t>
      </w:r>
    </w:p>
    <w:tbl>
      <w:tblPr>
        <w:tblStyle w:val="5"/>
        <w:tblW w:w="89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4761"/>
        <w:gridCol w:w="3170"/>
      </w:tblGrid>
      <w:tr w14:paraId="047C2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77" w:type="dxa"/>
            <w:noWrap w:val="0"/>
            <w:vAlign w:val="center"/>
          </w:tcPr>
          <w:p w14:paraId="646EDE7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Cs w:val="21"/>
              </w:rPr>
            </w:pPr>
            <w:r>
              <w:rPr>
                <w:rFonts w:hint="eastAsia" w:ascii="宋体" w:hAnsi="宋体" w:eastAsia="宋体" w:cs="宋体"/>
                <w:szCs w:val="21"/>
              </w:rPr>
              <w:t>序号</w:t>
            </w:r>
          </w:p>
        </w:tc>
        <w:tc>
          <w:tcPr>
            <w:tcW w:w="4761" w:type="dxa"/>
            <w:noWrap w:val="0"/>
            <w:vAlign w:val="center"/>
          </w:tcPr>
          <w:p w14:paraId="089403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Cs w:val="21"/>
              </w:rPr>
            </w:pPr>
            <w:r>
              <w:rPr>
                <w:rFonts w:hint="eastAsia" w:ascii="宋体" w:hAnsi="宋体" w:eastAsia="宋体" w:cs="宋体"/>
                <w:szCs w:val="21"/>
              </w:rPr>
              <w:t>检验项目</w:t>
            </w:r>
          </w:p>
        </w:tc>
        <w:tc>
          <w:tcPr>
            <w:tcW w:w="3170" w:type="dxa"/>
            <w:noWrap w:val="0"/>
            <w:vAlign w:val="center"/>
          </w:tcPr>
          <w:p w14:paraId="0CCC096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szCs w:val="21"/>
              </w:rPr>
            </w:pPr>
            <w:r>
              <w:rPr>
                <w:rFonts w:hint="eastAsia" w:ascii="宋体" w:hAnsi="宋体" w:eastAsia="宋体" w:cs="宋体"/>
                <w:szCs w:val="21"/>
              </w:rPr>
              <w:t>检验方法</w:t>
            </w:r>
          </w:p>
        </w:tc>
      </w:tr>
      <w:tr w14:paraId="72EB9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77" w:type="dxa"/>
            <w:noWrap w:val="0"/>
            <w:vAlign w:val="center"/>
          </w:tcPr>
          <w:p w14:paraId="0920C4F4">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Cs w:val="21"/>
                <w:lang w:eastAsia="zh-CN"/>
              </w:rPr>
            </w:pPr>
            <w:r>
              <w:rPr>
                <w:rFonts w:hint="eastAsia" w:ascii="宋体" w:hAnsi="宋体" w:eastAsia="宋体" w:cs="宋体"/>
                <w:szCs w:val="21"/>
              </w:rPr>
              <w:t>1</w:t>
            </w:r>
          </w:p>
        </w:tc>
        <w:tc>
          <w:tcPr>
            <w:tcW w:w="4761" w:type="dxa"/>
            <w:noWrap w:val="0"/>
            <w:vAlign w:val="center"/>
          </w:tcPr>
          <w:p w14:paraId="7232FA6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Cs w:val="21"/>
              </w:rPr>
            </w:pPr>
            <w:r>
              <w:rPr>
                <w:rFonts w:hint="eastAsia" w:ascii="宋体" w:hAnsi="宋体" w:eastAsia="宋体" w:cs="宋体"/>
                <w:szCs w:val="21"/>
              </w:rPr>
              <w:t>跌落试验</w:t>
            </w:r>
          </w:p>
        </w:tc>
        <w:tc>
          <w:tcPr>
            <w:tcW w:w="3170" w:type="dxa"/>
            <w:noWrap w:val="0"/>
            <w:vAlign w:val="center"/>
          </w:tcPr>
          <w:p w14:paraId="6EEF90D6">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Cs w:val="21"/>
              </w:rPr>
            </w:pPr>
            <w:r>
              <w:rPr>
                <w:rFonts w:hint="eastAsia" w:ascii="宋体" w:hAnsi="宋体" w:eastAsia="宋体" w:cs="宋体"/>
                <w:szCs w:val="21"/>
              </w:rPr>
              <w:t>GB/T 38082-2019</w:t>
            </w:r>
          </w:p>
        </w:tc>
      </w:tr>
      <w:tr w14:paraId="28E6E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77" w:type="dxa"/>
            <w:noWrap w:val="0"/>
            <w:vAlign w:val="center"/>
          </w:tcPr>
          <w:p w14:paraId="68E71442">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Cs w:val="21"/>
                <w:lang w:eastAsia="zh-CN"/>
              </w:rPr>
            </w:pPr>
            <w:r>
              <w:rPr>
                <w:rFonts w:hint="eastAsia" w:ascii="宋体" w:hAnsi="宋体" w:eastAsia="宋体" w:cs="宋体"/>
                <w:szCs w:val="21"/>
                <w:lang w:val="en-US" w:eastAsia="zh-CN"/>
              </w:rPr>
              <w:t>2</w:t>
            </w:r>
          </w:p>
        </w:tc>
        <w:tc>
          <w:tcPr>
            <w:tcW w:w="4761" w:type="dxa"/>
            <w:noWrap w:val="0"/>
            <w:vAlign w:val="center"/>
          </w:tcPr>
          <w:p w14:paraId="26F5E815">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Cs w:val="21"/>
              </w:rPr>
            </w:pPr>
            <w:r>
              <w:rPr>
                <w:rFonts w:hint="eastAsia" w:ascii="宋体" w:hAnsi="宋体" w:eastAsia="宋体" w:cs="宋体"/>
                <w:szCs w:val="21"/>
              </w:rPr>
              <w:t>漏水性</w:t>
            </w:r>
          </w:p>
        </w:tc>
        <w:tc>
          <w:tcPr>
            <w:tcW w:w="3170" w:type="dxa"/>
            <w:noWrap w:val="0"/>
            <w:vAlign w:val="center"/>
          </w:tcPr>
          <w:p w14:paraId="22D81AD4">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Cs w:val="21"/>
              </w:rPr>
            </w:pPr>
            <w:r>
              <w:rPr>
                <w:rFonts w:hint="eastAsia" w:ascii="宋体" w:hAnsi="宋体" w:eastAsia="宋体" w:cs="宋体"/>
                <w:szCs w:val="21"/>
              </w:rPr>
              <w:t>GB/T 38082-2019</w:t>
            </w:r>
          </w:p>
        </w:tc>
      </w:tr>
      <w:tr w14:paraId="3A4B4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77" w:type="dxa"/>
            <w:noWrap w:val="0"/>
            <w:vAlign w:val="center"/>
          </w:tcPr>
          <w:p w14:paraId="2CA9E22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Cs w:val="21"/>
                <w:lang w:eastAsia="zh-CN"/>
              </w:rPr>
            </w:pPr>
            <w:r>
              <w:rPr>
                <w:rFonts w:hint="eastAsia" w:ascii="宋体" w:hAnsi="宋体" w:eastAsia="宋体" w:cs="宋体"/>
                <w:szCs w:val="21"/>
                <w:lang w:val="en-US" w:eastAsia="zh-CN"/>
              </w:rPr>
              <w:t>3</w:t>
            </w:r>
          </w:p>
        </w:tc>
        <w:tc>
          <w:tcPr>
            <w:tcW w:w="4761" w:type="dxa"/>
            <w:noWrap w:val="0"/>
            <w:vAlign w:val="center"/>
          </w:tcPr>
          <w:p w14:paraId="3FA0098F">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Cs w:val="21"/>
              </w:rPr>
            </w:pPr>
            <w:r>
              <w:rPr>
                <w:rFonts w:hint="eastAsia" w:ascii="宋体" w:hAnsi="宋体" w:eastAsia="宋体" w:cs="宋体"/>
                <w:szCs w:val="21"/>
              </w:rPr>
              <w:t>封合强度</w:t>
            </w:r>
          </w:p>
        </w:tc>
        <w:tc>
          <w:tcPr>
            <w:tcW w:w="3170" w:type="dxa"/>
            <w:noWrap w:val="0"/>
            <w:vAlign w:val="center"/>
          </w:tcPr>
          <w:p w14:paraId="760CC2E0">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Cs w:val="21"/>
              </w:rPr>
            </w:pPr>
            <w:r>
              <w:rPr>
                <w:rFonts w:hint="eastAsia" w:ascii="宋体" w:hAnsi="宋体" w:eastAsia="宋体" w:cs="宋体"/>
                <w:szCs w:val="21"/>
              </w:rPr>
              <w:t>QB/T 2358-1998</w:t>
            </w:r>
          </w:p>
        </w:tc>
      </w:tr>
      <w:tr w14:paraId="1AF18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77" w:type="dxa"/>
            <w:noWrap w:val="0"/>
            <w:vAlign w:val="center"/>
          </w:tcPr>
          <w:p w14:paraId="3CA12460">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Cs w:val="21"/>
                <w:lang w:eastAsia="zh-CN"/>
              </w:rPr>
            </w:pPr>
            <w:r>
              <w:rPr>
                <w:rFonts w:hint="eastAsia" w:ascii="宋体" w:hAnsi="宋体" w:eastAsia="宋体" w:cs="宋体"/>
                <w:szCs w:val="21"/>
                <w:lang w:val="en-US" w:eastAsia="zh-CN"/>
              </w:rPr>
              <w:t>4</w:t>
            </w:r>
          </w:p>
        </w:tc>
        <w:tc>
          <w:tcPr>
            <w:tcW w:w="4761" w:type="dxa"/>
            <w:noWrap w:val="0"/>
            <w:vAlign w:val="center"/>
          </w:tcPr>
          <w:p w14:paraId="579A0C98">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Cs w:val="21"/>
              </w:rPr>
            </w:pPr>
            <w:r>
              <w:rPr>
                <w:rFonts w:hint="eastAsia" w:ascii="宋体" w:hAnsi="宋体" w:eastAsia="宋体" w:cs="宋体"/>
                <w:szCs w:val="21"/>
              </w:rPr>
              <w:t>落镖冲击</w:t>
            </w:r>
          </w:p>
        </w:tc>
        <w:tc>
          <w:tcPr>
            <w:tcW w:w="3170" w:type="dxa"/>
            <w:noWrap w:val="0"/>
            <w:vAlign w:val="center"/>
          </w:tcPr>
          <w:p w14:paraId="4BFBEE78">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Cs w:val="21"/>
              </w:rPr>
            </w:pPr>
            <w:r>
              <w:rPr>
                <w:rFonts w:hint="eastAsia" w:ascii="宋体" w:hAnsi="宋体" w:eastAsia="宋体" w:cs="宋体"/>
                <w:szCs w:val="21"/>
              </w:rPr>
              <w:t>GB/T 9639.1-2008</w:t>
            </w:r>
          </w:p>
        </w:tc>
      </w:tr>
      <w:tr w14:paraId="3CE01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exact"/>
          <w:jc w:val="center"/>
        </w:trPr>
        <w:tc>
          <w:tcPr>
            <w:tcW w:w="977" w:type="dxa"/>
            <w:noWrap w:val="0"/>
            <w:vAlign w:val="center"/>
          </w:tcPr>
          <w:p w14:paraId="0DFA02B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5</w:t>
            </w:r>
          </w:p>
        </w:tc>
        <w:tc>
          <w:tcPr>
            <w:tcW w:w="4761" w:type="dxa"/>
            <w:noWrap w:val="0"/>
            <w:vAlign w:val="center"/>
          </w:tcPr>
          <w:p w14:paraId="16F03E6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Cs w:val="21"/>
              </w:rPr>
            </w:pPr>
            <w:r>
              <w:rPr>
                <w:rFonts w:hint="eastAsia" w:ascii="宋体" w:hAnsi="宋体" w:eastAsia="宋体" w:cs="宋体"/>
                <w:szCs w:val="21"/>
              </w:rPr>
              <w:t>有机成分</w:t>
            </w:r>
          </w:p>
        </w:tc>
        <w:tc>
          <w:tcPr>
            <w:tcW w:w="3170" w:type="dxa"/>
            <w:noWrap w:val="0"/>
            <w:vAlign w:val="center"/>
          </w:tcPr>
          <w:p w14:paraId="7A46264E">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Cs w:val="21"/>
                <w:lang w:val="en-US" w:eastAsia="zh-CN"/>
              </w:rPr>
            </w:pPr>
            <w:r>
              <w:rPr>
                <w:rFonts w:hint="eastAsia" w:ascii="宋体" w:hAnsi="宋体" w:eastAsia="宋体" w:cs="宋体"/>
                <w:szCs w:val="21"/>
              </w:rPr>
              <w:t>GB/T 9345.1-2008</w:t>
            </w:r>
          </w:p>
        </w:tc>
      </w:tr>
      <w:tr w14:paraId="4B44C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exact"/>
          <w:jc w:val="center"/>
        </w:trPr>
        <w:tc>
          <w:tcPr>
            <w:tcW w:w="977" w:type="dxa"/>
            <w:noWrap w:val="0"/>
            <w:vAlign w:val="center"/>
          </w:tcPr>
          <w:p w14:paraId="0CD2489B">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宋体" w:hAnsi="宋体" w:eastAsia="宋体" w:cs="宋体"/>
                <w:szCs w:val="21"/>
                <w:lang w:val="en-US" w:eastAsia="zh-CN"/>
              </w:rPr>
            </w:pPr>
            <w:r>
              <w:rPr>
                <w:rFonts w:hint="eastAsia" w:ascii="宋体" w:hAnsi="宋体" w:cs="宋体"/>
                <w:szCs w:val="21"/>
                <w:lang w:val="en-US" w:eastAsia="zh-CN"/>
              </w:rPr>
              <w:t>6</w:t>
            </w:r>
          </w:p>
        </w:tc>
        <w:tc>
          <w:tcPr>
            <w:tcW w:w="4761" w:type="dxa"/>
            <w:noWrap w:val="0"/>
            <w:vAlign w:val="center"/>
          </w:tcPr>
          <w:p w14:paraId="0B5D0A8B">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Cs w:val="21"/>
              </w:rPr>
            </w:pPr>
            <w:r>
              <w:rPr>
                <w:rFonts w:hint="eastAsia" w:ascii="宋体" w:hAnsi="宋体" w:eastAsia="宋体" w:cs="宋体"/>
                <w:szCs w:val="21"/>
              </w:rPr>
              <w:t>生物分解率/相对生物分解率</w:t>
            </w:r>
          </w:p>
        </w:tc>
        <w:tc>
          <w:tcPr>
            <w:tcW w:w="3170" w:type="dxa"/>
            <w:noWrap w:val="0"/>
            <w:vAlign w:val="center"/>
          </w:tcPr>
          <w:p w14:paraId="11184B9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Cs w:val="21"/>
              </w:rPr>
            </w:pPr>
            <w:r>
              <w:rPr>
                <w:rFonts w:hint="eastAsia" w:ascii="宋体" w:hAnsi="宋体" w:eastAsia="宋体" w:cs="宋体"/>
                <w:szCs w:val="21"/>
              </w:rPr>
              <w:t>GB/T 19277.1-2011</w:t>
            </w:r>
          </w:p>
        </w:tc>
      </w:tr>
    </w:tbl>
    <w:p w14:paraId="4F9E1D1F">
      <w:pPr>
        <w:adjustRightInd w:val="0"/>
        <w:snapToGrid w:val="0"/>
        <w:spacing w:line="440" w:lineRule="exact"/>
        <w:ind w:firstLine="420" w:firstLineChars="200"/>
        <w:rPr>
          <w:color w:val="000000"/>
          <w:szCs w:val="21"/>
        </w:rPr>
      </w:pPr>
      <w:r>
        <w:rPr>
          <w:color w:val="000000"/>
        </w:rPr>
        <w:t>执行企业标准、团体标准、地方标准的产品，检验项目参照上述内容执行。</w:t>
      </w:r>
    </w:p>
    <w:p w14:paraId="2850EE1B">
      <w:pPr>
        <w:spacing w:line="360" w:lineRule="auto"/>
        <w:ind w:firstLine="420" w:firstLineChars="200"/>
        <w:rPr>
          <w:rFonts w:ascii="宋体" w:hAnsi="宋体"/>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14:paraId="7C4696EC">
      <w:pPr>
        <w:spacing w:line="360" w:lineRule="auto"/>
        <w:rPr>
          <w:rFonts w:hint="eastAsia" w:ascii="黑体" w:hAnsi="黑体" w:eastAsia="黑体"/>
          <w:color w:val="000000"/>
          <w:szCs w:val="21"/>
        </w:rPr>
      </w:pPr>
    </w:p>
    <w:p w14:paraId="18D4DFC7">
      <w:pPr>
        <w:spacing w:line="360" w:lineRule="auto"/>
        <w:rPr>
          <w:rFonts w:hint="eastAsia" w:ascii="黑体" w:hAnsi="黑体" w:eastAsia="黑体"/>
          <w:color w:val="000000"/>
          <w:szCs w:val="21"/>
        </w:rPr>
      </w:pPr>
      <w:r>
        <w:rPr>
          <w:rFonts w:hint="eastAsia" w:ascii="黑体" w:hAnsi="黑体" w:eastAsia="黑体"/>
          <w:color w:val="000000"/>
          <w:szCs w:val="21"/>
        </w:rPr>
        <w:t>3 判定规则</w:t>
      </w:r>
    </w:p>
    <w:p w14:paraId="1EB674B7">
      <w:pPr>
        <w:snapToGrid w:val="0"/>
        <w:spacing w:line="440" w:lineRule="exact"/>
        <w:rPr>
          <w:rFonts w:ascii="宋体" w:hAnsi="宋体"/>
          <w:color w:val="000000"/>
          <w:szCs w:val="21"/>
        </w:rPr>
      </w:pPr>
      <w:r>
        <w:rPr>
          <w:rFonts w:hint="eastAsia" w:ascii="宋体" w:hAnsi="宋体"/>
          <w:color w:val="000000"/>
          <w:szCs w:val="21"/>
        </w:rPr>
        <w:t>3.1依据标准</w:t>
      </w:r>
    </w:p>
    <w:p w14:paraId="353C9850">
      <w:pPr>
        <w:snapToGrid w:val="0"/>
        <w:spacing w:line="440" w:lineRule="exact"/>
        <w:ind w:firstLine="420" w:firstLineChars="200"/>
        <w:rPr>
          <w:rFonts w:ascii="宋体" w:hAnsi="宋体"/>
          <w:color w:val="000000"/>
          <w:szCs w:val="21"/>
        </w:rPr>
      </w:pPr>
      <w:r>
        <w:rPr>
          <w:rFonts w:hint="eastAsia" w:ascii="宋体" w:hAnsi="宋体"/>
          <w:color w:val="000000"/>
          <w:szCs w:val="21"/>
        </w:rPr>
        <w:t>GB/T 38082-2019 生物降解塑料购物袋</w:t>
      </w:r>
    </w:p>
    <w:p w14:paraId="74B0C39F">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相关的法律、行政法规、部门规章、规范性文件</w:t>
      </w:r>
    </w:p>
    <w:p w14:paraId="2ABD4BF8">
      <w:pPr>
        <w:snapToGrid w:val="0"/>
        <w:spacing w:line="440" w:lineRule="exact"/>
        <w:ind w:firstLine="462" w:firstLineChars="220"/>
        <w:rPr>
          <w:rFonts w:hint="eastAsia" w:ascii="宋体" w:hAnsi="宋体"/>
          <w:color w:val="000000"/>
          <w:szCs w:val="21"/>
        </w:rPr>
      </w:pPr>
      <w:r>
        <w:rPr>
          <w:rFonts w:hint="eastAsia" w:ascii="宋体" w:hAnsi="宋体"/>
          <w:color w:val="000000"/>
          <w:szCs w:val="21"/>
        </w:rPr>
        <w:t>现行有效的企业标准、团体标准、地方标准及产品明示质量要求</w:t>
      </w:r>
    </w:p>
    <w:p w14:paraId="3F2017B6">
      <w:pPr>
        <w:snapToGrid w:val="0"/>
        <w:spacing w:line="440" w:lineRule="exact"/>
        <w:rPr>
          <w:rFonts w:ascii="宋体" w:hAnsi="宋体"/>
          <w:color w:val="000000"/>
          <w:szCs w:val="21"/>
        </w:rPr>
      </w:pPr>
      <w:r>
        <w:rPr>
          <w:rFonts w:hint="eastAsia" w:ascii="宋体" w:hAnsi="宋体"/>
          <w:color w:val="000000"/>
          <w:szCs w:val="21"/>
        </w:rPr>
        <w:t>3.2判定原则</w:t>
      </w:r>
    </w:p>
    <w:p w14:paraId="0299C869">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w:t>
      </w:r>
      <w:r>
        <w:rPr>
          <w:rFonts w:hint="eastAsia"/>
          <w:color w:val="000000"/>
          <w:szCs w:val="21"/>
        </w:rPr>
        <w:t>所检项目未发现不</w:t>
      </w:r>
      <w:r>
        <w:rPr>
          <w:color w:val="000000"/>
          <w:szCs w:val="21"/>
        </w:rPr>
        <w:t>合格</w:t>
      </w:r>
      <w:r>
        <w:rPr>
          <w:rFonts w:hint="eastAsia" w:ascii="宋体" w:hAnsi="宋体"/>
          <w:color w:val="000000"/>
          <w:szCs w:val="21"/>
        </w:rPr>
        <w:t>；检验项目中任一项或一项以上不合格，判定为被抽查产品不合格。</w:t>
      </w:r>
    </w:p>
    <w:p w14:paraId="38BADA28">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14:paraId="69ECB5BA">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14:paraId="4EE7F510">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14:paraId="15506926">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14:paraId="49D7F05C">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w:t>
      </w:r>
    </w:p>
    <w:p w14:paraId="790F9E1C">
      <w:pPr>
        <w:snapToGrid w:val="0"/>
        <w:spacing w:line="440" w:lineRule="exact"/>
        <w:ind w:firstLine="417" w:firstLineChars="199"/>
        <w:rPr>
          <w:rFonts w:ascii="宋体" w:hAnsi="宋体"/>
          <w:color w:val="000000"/>
          <w:szCs w:val="21"/>
        </w:rPr>
      </w:pPr>
      <w:bookmarkStart w:id="0" w:name="_GoBack"/>
    </w:p>
    <w:bookmarkEnd w:id="0"/>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902B46">
    <w:pPr>
      <w:pStyle w:val="3"/>
      <w:jc w:val="center"/>
    </w:pPr>
    <w:r>
      <w:rPr>
        <w:lang w:val="zh-CN"/>
      </w:rPr>
      <w:fldChar w:fldCharType="begin"/>
    </w:r>
    <w:r>
      <w:rPr>
        <w:lang w:val="zh-CN"/>
      </w:rPr>
      <w:instrText xml:space="preserve"> PAGE   \* MERGEFORMAT </w:instrText>
    </w:r>
    <w:r>
      <w:rPr>
        <w:lang w:val="zh-CN"/>
      </w:rPr>
      <w:fldChar w:fldCharType="separate"/>
    </w:r>
    <w:r>
      <w:t>3</w:t>
    </w:r>
    <w:r>
      <w:rPr>
        <w:lang w:val="zh-CN"/>
      </w:rPr>
      <w:fldChar w:fldCharType="end"/>
    </w:r>
  </w:p>
  <w:p w14:paraId="1EAEFB94">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BA5C5E">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14:paraId="12C61AC1">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6E0433">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0"/>
      <w:numFmt w:val="none"/>
      <w:lvlText w:val=""/>
      <w:lvlJc w:val="left"/>
      <w:pPr>
        <w:tabs>
          <w:tab w:val="left" w:pos="360"/>
        </w:tabs>
      </w:pPr>
    </w:lvl>
    <w:lvl w:ilvl="1" w:tentative="0">
      <w:start w:val="1"/>
      <w:numFmt w:val="decimal"/>
      <w:pStyle w:val="13"/>
      <w:suff w:val="nothing"/>
      <w:lvlText w:val="%1%2　"/>
      <w:lvlJc w:val="left"/>
      <w:pPr>
        <w:ind w:left="0" w:firstLine="0"/>
      </w:pPr>
      <w:rPr>
        <w:rFonts w:hint="eastAsia" w:ascii="仿宋_GB2312" w:hAnsi="Times New Roman" w:eastAsia="仿宋_GB2312"/>
        <w:b w:val="0"/>
        <w:i w:val="0"/>
        <w:sz w:val="28"/>
      </w:rPr>
    </w:lvl>
    <w:lvl w:ilvl="2" w:tentative="0">
      <w:start w:val="1"/>
      <w:numFmt w:val="decimal"/>
      <w:suff w:val="nothing"/>
      <w:lvlText w:val="%1%2.%3　"/>
      <w:lvlJc w:val="left"/>
      <w:pPr>
        <w:ind w:left="710" w:firstLine="0"/>
      </w:pPr>
      <w:rPr>
        <w:rFonts w:hint="eastAsia" w:ascii="仿宋_GB2312" w:hAnsi="Times New Roman" w:eastAsia="仿宋_GB2312"/>
        <w:b w:val="0"/>
        <w:i w:val="0"/>
        <w:sz w:val="28"/>
      </w:rPr>
    </w:lvl>
    <w:lvl w:ilvl="3" w:tentative="0">
      <w:start w:val="1"/>
      <w:numFmt w:val="decimal"/>
      <w:suff w:val="nothing"/>
      <w:lvlText w:val="%1%2.3.%4　"/>
      <w:lvlJc w:val="left"/>
      <w:pPr>
        <w:ind w:left="993" w:firstLine="0"/>
      </w:pPr>
      <w:rPr>
        <w:rFonts w:hint="eastAsia" w:ascii="仿宋_GB2312" w:hAnsi="Times New Roman" w:eastAsia="仿宋_GB2312"/>
        <w:b w:val="0"/>
        <w:i w:val="0"/>
        <w:sz w:val="28"/>
        <w:szCs w:val="28"/>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7245"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FDD"/>
    <w:rsid w:val="0000325E"/>
    <w:rsid w:val="00017AFC"/>
    <w:rsid w:val="00051A44"/>
    <w:rsid w:val="00060492"/>
    <w:rsid w:val="00074382"/>
    <w:rsid w:val="00080F22"/>
    <w:rsid w:val="00081CBD"/>
    <w:rsid w:val="00090336"/>
    <w:rsid w:val="000976DE"/>
    <w:rsid w:val="000A418D"/>
    <w:rsid w:val="000C492C"/>
    <w:rsid w:val="000C727A"/>
    <w:rsid w:val="000D21DC"/>
    <w:rsid w:val="00111DDA"/>
    <w:rsid w:val="001323F0"/>
    <w:rsid w:val="00133864"/>
    <w:rsid w:val="00141EE6"/>
    <w:rsid w:val="00152CEE"/>
    <w:rsid w:val="00154D0F"/>
    <w:rsid w:val="00157CAC"/>
    <w:rsid w:val="001809DD"/>
    <w:rsid w:val="001A2F18"/>
    <w:rsid w:val="001A41F0"/>
    <w:rsid w:val="001A71D2"/>
    <w:rsid w:val="001B3004"/>
    <w:rsid w:val="001C47B6"/>
    <w:rsid w:val="001E1865"/>
    <w:rsid w:val="001F5029"/>
    <w:rsid w:val="00232530"/>
    <w:rsid w:val="00232973"/>
    <w:rsid w:val="00242A87"/>
    <w:rsid w:val="00253539"/>
    <w:rsid w:val="00253624"/>
    <w:rsid w:val="00291B2E"/>
    <w:rsid w:val="00297055"/>
    <w:rsid w:val="002B2049"/>
    <w:rsid w:val="002D3F6A"/>
    <w:rsid w:val="002D6F51"/>
    <w:rsid w:val="002D7F8A"/>
    <w:rsid w:val="002E0D1D"/>
    <w:rsid w:val="00300687"/>
    <w:rsid w:val="00302E3E"/>
    <w:rsid w:val="003108CB"/>
    <w:rsid w:val="003203A3"/>
    <w:rsid w:val="00364327"/>
    <w:rsid w:val="00382194"/>
    <w:rsid w:val="00382296"/>
    <w:rsid w:val="003A164A"/>
    <w:rsid w:val="003C388C"/>
    <w:rsid w:val="003E61BF"/>
    <w:rsid w:val="0040017E"/>
    <w:rsid w:val="004013A9"/>
    <w:rsid w:val="004165CC"/>
    <w:rsid w:val="004449B1"/>
    <w:rsid w:val="00445E86"/>
    <w:rsid w:val="00474E04"/>
    <w:rsid w:val="00477315"/>
    <w:rsid w:val="004A16CC"/>
    <w:rsid w:val="004A2D8F"/>
    <w:rsid w:val="004B6172"/>
    <w:rsid w:val="004C3B64"/>
    <w:rsid w:val="004D0C5A"/>
    <w:rsid w:val="004E1396"/>
    <w:rsid w:val="004E5D30"/>
    <w:rsid w:val="004F6D04"/>
    <w:rsid w:val="005042C7"/>
    <w:rsid w:val="005309FA"/>
    <w:rsid w:val="00556234"/>
    <w:rsid w:val="00563EBC"/>
    <w:rsid w:val="00585731"/>
    <w:rsid w:val="0058658E"/>
    <w:rsid w:val="00590BCB"/>
    <w:rsid w:val="00590C50"/>
    <w:rsid w:val="005A0D22"/>
    <w:rsid w:val="005F77CF"/>
    <w:rsid w:val="00601374"/>
    <w:rsid w:val="0061657B"/>
    <w:rsid w:val="00616E20"/>
    <w:rsid w:val="006249CE"/>
    <w:rsid w:val="00674CA8"/>
    <w:rsid w:val="006B4A78"/>
    <w:rsid w:val="006E0BD1"/>
    <w:rsid w:val="006E1171"/>
    <w:rsid w:val="006F0971"/>
    <w:rsid w:val="00706BFE"/>
    <w:rsid w:val="0072251C"/>
    <w:rsid w:val="0072278E"/>
    <w:rsid w:val="0072334C"/>
    <w:rsid w:val="00741A03"/>
    <w:rsid w:val="00745287"/>
    <w:rsid w:val="00783DC2"/>
    <w:rsid w:val="00785B69"/>
    <w:rsid w:val="0079154E"/>
    <w:rsid w:val="007B5885"/>
    <w:rsid w:val="007C2395"/>
    <w:rsid w:val="007C6B13"/>
    <w:rsid w:val="007D5FED"/>
    <w:rsid w:val="007E1CC1"/>
    <w:rsid w:val="0081283A"/>
    <w:rsid w:val="00830C4A"/>
    <w:rsid w:val="00834EBA"/>
    <w:rsid w:val="00895BEA"/>
    <w:rsid w:val="008A3497"/>
    <w:rsid w:val="008D4AC0"/>
    <w:rsid w:val="008F3795"/>
    <w:rsid w:val="00917A54"/>
    <w:rsid w:val="00932406"/>
    <w:rsid w:val="00933A22"/>
    <w:rsid w:val="009444F8"/>
    <w:rsid w:val="0098474D"/>
    <w:rsid w:val="00997AA5"/>
    <w:rsid w:val="009A7AAA"/>
    <w:rsid w:val="009B443D"/>
    <w:rsid w:val="009C12F8"/>
    <w:rsid w:val="009C3AAC"/>
    <w:rsid w:val="009D68A9"/>
    <w:rsid w:val="009F460D"/>
    <w:rsid w:val="00A3573E"/>
    <w:rsid w:val="00A43553"/>
    <w:rsid w:val="00A50E51"/>
    <w:rsid w:val="00A749F0"/>
    <w:rsid w:val="00AA43DC"/>
    <w:rsid w:val="00AB2B6C"/>
    <w:rsid w:val="00AC4430"/>
    <w:rsid w:val="00AC5391"/>
    <w:rsid w:val="00B17377"/>
    <w:rsid w:val="00B25990"/>
    <w:rsid w:val="00B40AF7"/>
    <w:rsid w:val="00B44943"/>
    <w:rsid w:val="00B56125"/>
    <w:rsid w:val="00B67D2D"/>
    <w:rsid w:val="00BA2193"/>
    <w:rsid w:val="00BB07AB"/>
    <w:rsid w:val="00BC4AED"/>
    <w:rsid w:val="00BC7D28"/>
    <w:rsid w:val="00BF2B8C"/>
    <w:rsid w:val="00C13C50"/>
    <w:rsid w:val="00C21AC5"/>
    <w:rsid w:val="00C22D45"/>
    <w:rsid w:val="00C26074"/>
    <w:rsid w:val="00C56AD0"/>
    <w:rsid w:val="00C72234"/>
    <w:rsid w:val="00C83935"/>
    <w:rsid w:val="00C83B0A"/>
    <w:rsid w:val="00CD4B06"/>
    <w:rsid w:val="00CE1E0C"/>
    <w:rsid w:val="00CE277E"/>
    <w:rsid w:val="00CE2DBD"/>
    <w:rsid w:val="00CF4C14"/>
    <w:rsid w:val="00D35198"/>
    <w:rsid w:val="00D47301"/>
    <w:rsid w:val="00D56867"/>
    <w:rsid w:val="00D92B6E"/>
    <w:rsid w:val="00D95A5E"/>
    <w:rsid w:val="00DB4215"/>
    <w:rsid w:val="00DE08FF"/>
    <w:rsid w:val="00DF65B5"/>
    <w:rsid w:val="00E02A7F"/>
    <w:rsid w:val="00E07880"/>
    <w:rsid w:val="00E21977"/>
    <w:rsid w:val="00E35B72"/>
    <w:rsid w:val="00E51ABC"/>
    <w:rsid w:val="00E60832"/>
    <w:rsid w:val="00E64E8A"/>
    <w:rsid w:val="00E66656"/>
    <w:rsid w:val="00E70EA4"/>
    <w:rsid w:val="00E82621"/>
    <w:rsid w:val="00E9212D"/>
    <w:rsid w:val="00EC4CB4"/>
    <w:rsid w:val="00ED475B"/>
    <w:rsid w:val="00F0475F"/>
    <w:rsid w:val="00F665E7"/>
    <w:rsid w:val="00F77C9A"/>
    <w:rsid w:val="00F81128"/>
    <w:rsid w:val="00FA487C"/>
    <w:rsid w:val="00FB576C"/>
    <w:rsid w:val="00FD013A"/>
    <w:rsid w:val="00FD2AA6"/>
    <w:rsid w:val="00FE4CF8"/>
    <w:rsid w:val="00FE7E8A"/>
    <w:rsid w:val="023F7B04"/>
    <w:rsid w:val="063532A4"/>
    <w:rsid w:val="091031FF"/>
    <w:rsid w:val="0B2E395D"/>
    <w:rsid w:val="0CB62DC4"/>
    <w:rsid w:val="0DEE315F"/>
    <w:rsid w:val="0E572E9E"/>
    <w:rsid w:val="10375D1F"/>
    <w:rsid w:val="14EE52B3"/>
    <w:rsid w:val="15885D23"/>
    <w:rsid w:val="199C4212"/>
    <w:rsid w:val="1B483B60"/>
    <w:rsid w:val="1CA46E53"/>
    <w:rsid w:val="1E5E0A98"/>
    <w:rsid w:val="200B7247"/>
    <w:rsid w:val="211C780A"/>
    <w:rsid w:val="23F342A9"/>
    <w:rsid w:val="23F84426"/>
    <w:rsid w:val="2B936D04"/>
    <w:rsid w:val="2E8507C2"/>
    <w:rsid w:val="311138C8"/>
    <w:rsid w:val="31252508"/>
    <w:rsid w:val="3126675B"/>
    <w:rsid w:val="36A25590"/>
    <w:rsid w:val="37C81B68"/>
    <w:rsid w:val="3BB35261"/>
    <w:rsid w:val="3F292907"/>
    <w:rsid w:val="43E94B23"/>
    <w:rsid w:val="49260DCC"/>
    <w:rsid w:val="495E25EB"/>
    <w:rsid w:val="4D0855B4"/>
    <w:rsid w:val="4EDA2BCD"/>
    <w:rsid w:val="5309222D"/>
    <w:rsid w:val="53ED19C2"/>
    <w:rsid w:val="5A471E04"/>
    <w:rsid w:val="61295003"/>
    <w:rsid w:val="621D1D26"/>
    <w:rsid w:val="6718414F"/>
    <w:rsid w:val="68804018"/>
    <w:rsid w:val="68AE0E69"/>
    <w:rsid w:val="69612338"/>
    <w:rsid w:val="6A120998"/>
    <w:rsid w:val="6C3C7933"/>
    <w:rsid w:val="6F4C4DCF"/>
    <w:rsid w:val="72827811"/>
    <w:rsid w:val="74064240"/>
    <w:rsid w:val="75807974"/>
    <w:rsid w:val="77493BC8"/>
    <w:rsid w:val="7A5F730C"/>
    <w:rsid w:val="7C5509C7"/>
    <w:rsid w:val="7E0D187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unhideWhenUsed/>
    <w:uiPriority w:val="99"/>
    <w:tblPr>
      <w:tblCellMar>
        <w:top w:w="0" w:type="dxa"/>
        <w:left w:w="108" w:type="dxa"/>
        <w:bottom w:w="0" w:type="dxa"/>
        <w:right w:w="108" w:type="dxa"/>
      </w:tblCellMar>
    </w:tblPr>
  </w:style>
  <w:style w:type="paragraph" w:styleId="2">
    <w:name w:val="Balloon Text"/>
    <w:basedOn w:val="1"/>
    <w:link w:val="10"/>
    <w:unhideWhenUsed/>
    <w:uiPriority w:val="0"/>
    <w:rPr>
      <w:sz w:val="18"/>
      <w:szCs w:val="18"/>
    </w:r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2"/>
    <w:unhideWhenUsed/>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nhideWhenUsed/>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uiPriority w:val="0"/>
  </w:style>
  <w:style w:type="character" w:styleId="9">
    <w:name w:val="Emphasis"/>
    <w:basedOn w:val="7"/>
    <w:qFormat/>
    <w:uiPriority w:val="20"/>
    <w:rPr>
      <w:i/>
      <w:iCs/>
    </w:rPr>
  </w:style>
  <w:style w:type="character" w:customStyle="1" w:styleId="10">
    <w:name w:val="批注框文本 Char"/>
    <w:basedOn w:val="7"/>
    <w:link w:val="2"/>
    <w:uiPriority w:val="0"/>
    <w:rPr>
      <w:kern w:val="2"/>
      <w:sz w:val="18"/>
      <w:szCs w:val="18"/>
    </w:rPr>
  </w:style>
  <w:style w:type="character" w:customStyle="1" w:styleId="11">
    <w:name w:val="页脚 Char"/>
    <w:basedOn w:val="7"/>
    <w:link w:val="3"/>
    <w:uiPriority w:val="99"/>
    <w:rPr>
      <w:kern w:val="2"/>
      <w:sz w:val="18"/>
      <w:szCs w:val="18"/>
    </w:rPr>
  </w:style>
  <w:style w:type="character" w:customStyle="1" w:styleId="12">
    <w:name w:val="页眉 Char"/>
    <w:basedOn w:val="7"/>
    <w:link w:val="4"/>
    <w:uiPriority w:val="0"/>
    <w:rPr>
      <w:kern w:val="2"/>
      <w:sz w:val="18"/>
      <w:szCs w:val="18"/>
    </w:rPr>
  </w:style>
  <w:style w:type="paragraph" w:customStyle="1" w:styleId="13">
    <w:name w:val="章标题"/>
    <w:next w:val="1"/>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paragraph" w:customStyle="1" w:styleId="14">
    <w:name w:val="列出段落1"/>
    <w:basedOn w:val="1"/>
    <w:qFormat/>
    <w:uiPriority w:val="34"/>
    <w:pPr>
      <w:ind w:firstLine="420" w:firstLineChars="200"/>
    </w:pPr>
    <w:rPr>
      <w:rFonts w:ascii="Calibri" w:hAnsi="Calibri"/>
      <w:szCs w:val="22"/>
    </w:rPr>
  </w:style>
  <w:style w:type="paragraph" w:customStyle="1" w:styleId="15">
    <w:name w:val="注×："/>
    <w:qFormat/>
    <w:uiPriority w:val="0"/>
    <w:pPr>
      <w:widowControl w:val="0"/>
      <w:tabs>
        <w:tab w:val="left" w:pos="630"/>
        <w:tab w:val="left" w:pos="900"/>
      </w:tabs>
      <w:autoSpaceDE w:val="0"/>
      <w:autoSpaceDN w:val="0"/>
      <w:ind w:left="900" w:hanging="500"/>
      <w:jc w:val="both"/>
    </w:pPr>
    <w:rPr>
      <w:rFonts w:ascii="宋体" w:hAnsi="Times New Roman" w:eastAsia="宋体" w:cs="Times New Roman"/>
      <w:sz w:val="18"/>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715</Words>
  <Characters>877</Characters>
  <Lines>16</Lines>
  <Paragraphs>4</Paragraphs>
  <TotalTime>0</TotalTime>
  <ScaleCrop>false</ScaleCrop>
  <LinksUpToDate>false</LinksUpToDate>
  <CharactersWithSpaces>893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2004-08-06T03:45:00Z</dcterms:created>
  <dc:creator>Legend User</dc:creator>
  <cp:lastModifiedBy>小宋</cp:lastModifiedBy>
  <cp:lastPrinted>2020-04-26T01:22:00Z</cp:lastPrinted>
  <dcterms:modified xsi:type="dcterms:W3CDTF">2025-03-31T01:13:12Z</dcterms:modified>
  <dc:title>××产品质量监督抽查实施细则</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834B1CCC76BD45E38EE9D2BFC44CF4E1_13</vt:lpwstr>
  </property>
  <property fmtid="{D5CDD505-2E9C-101B-9397-08002B2CF9AE}" pid="4" name="KSOTemplateDocerSaveRecord">
    <vt:lpwstr>eyJoZGlkIjoiM2YwMWE0YmIxNDczMDQ4OWQ5NzZlZjRmYzIyZmI1YWYiLCJ1c2VySWQiOiI2NDAxOTI4MTYifQ==</vt:lpwstr>
  </property>
</Properties>
</file>