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D5222">
      <w:pPr>
        <w:adjustRightInd w:val="0"/>
        <w:spacing w:line="240" w:lineRule="auto"/>
        <w:contextualSpacing/>
        <w:jc w:val="center"/>
        <w:rPr>
          <w:rFonts w:hint="default" w:ascii="Times New Roman" w:hAnsi="Times New Roman" w:eastAsia="方正小标宋_GBK" w:cs="Times New Roman"/>
          <w:b w:val="0"/>
          <w:bCs w:val="0"/>
          <w:color w:val="000000"/>
          <w:sz w:val="32"/>
          <w:szCs w:val="32"/>
          <w:shd w:val="clear" w:color="auto" w:fill="auto"/>
        </w:rPr>
      </w:pPr>
      <w:r>
        <w:rPr>
          <w:rFonts w:hint="default" w:ascii="Times New Roman" w:hAnsi="Times New Roman" w:eastAsia="方正小标宋_GBK" w:cs="Times New Roman"/>
          <w:b w:val="0"/>
          <w:bCs w:val="0"/>
          <w:color w:val="000000"/>
          <w:sz w:val="32"/>
          <w:szCs w:val="32"/>
          <w:shd w:val="clear" w:color="auto" w:fill="auto"/>
        </w:rPr>
        <w:t>重庆</w:t>
      </w:r>
      <w:r>
        <w:rPr>
          <w:rFonts w:hint="default" w:ascii="Times New Roman" w:hAnsi="Times New Roman" w:eastAsia="方正小标宋_GBK" w:cs="Times New Roman"/>
          <w:b w:val="0"/>
          <w:bCs w:val="0"/>
          <w:color w:val="000000"/>
          <w:sz w:val="32"/>
          <w:szCs w:val="32"/>
          <w:shd w:val="clear" w:color="auto" w:fill="auto"/>
          <w:lang w:val="en-US" w:eastAsia="zh-CN"/>
        </w:rPr>
        <w:t>市</w:t>
      </w:r>
      <w:r>
        <w:rPr>
          <w:rFonts w:hint="eastAsia" w:ascii="Times New Roman" w:hAnsi="Times New Roman" w:eastAsia="方正小标宋_GBK" w:cs="Times New Roman"/>
          <w:b w:val="0"/>
          <w:bCs w:val="0"/>
          <w:color w:val="000000"/>
          <w:sz w:val="32"/>
          <w:szCs w:val="32"/>
          <w:shd w:val="clear" w:color="auto" w:fill="auto"/>
          <w:lang w:val="en-US" w:eastAsia="zh-CN"/>
        </w:rPr>
        <w:t>一次性洗脸巾</w:t>
      </w:r>
      <w:r>
        <w:rPr>
          <w:rFonts w:hint="default" w:ascii="Times New Roman" w:hAnsi="Times New Roman" w:eastAsia="方正小标宋_GBK" w:cs="Times New Roman"/>
          <w:b w:val="0"/>
          <w:bCs w:val="0"/>
          <w:color w:val="000000"/>
          <w:sz w:val="32"/>
          <w:szCs w:val="32"/>
          <w:shd w:val="clear" w:color="auto" w:fill="auto"/>
        </w:rPr>
        <w:t>产品质量监督抽查实施细则</w:t>
      </w:r>
    </w:p>
    <w:p w14:paraId="7396D45E">
      <w:pPr>
        <w:adjustRightInd w:val="0"/>
        <w:spacing w:line="240" w:lineRule="auto"/>
        <w:contextualSpacing/>
        <w:jc w:val="center"/>
        <w:rPr>
          <w:rFonts w:hint="default" w:ascii="Times New Roman" w:hAnsi="Times New Roman" w:eastAsia="方正小标宋_GBK" w:cs="Times New Roman"/>
          <w:b w:val="0"/>
          <w:bCs w:val="0"/>
          <w:color w:val="000000"/>
          <w:sz w:val="32"/>
          <w:szCs w:val="32"/>
          <w:shd w:val="clear" w:color="auto" w:fill="auto"/>
          <w:lang w:eastAsia="zh-CN"/>
        </w:rPr>
      </w:pPr>
      <w:r>
        <w:rPr>
          <w:rFonts w:hint="default" w:ascii="Times New Roman" w:hAnsi="Times New Roman" w:eastAsia="方正小标宋_GBK" w:cs="Times New Roman"/>
          <w:b w:val="0"/>
          <w:bCs w:val="0"/>
          <w:color w:val="000000"/>
          <w:sz w:val="32"/>
          <w:szCs w:val="32"/>
          <w:shd w:val="clear" w:color="auto" w:fill="auto"/>
          <w:lang w:eastAsia="zh-CN"/>
        </w:rPr>
        <w:t>（</w:t>
      </w:r>
      <w:r>
        <w:rPr>
          <w:rFonts w:hint="default" w:ascii="Times New Roman" w:hAnsi="Times New Roman" w:eastAsia="方正小标宋_GBK" w:cs="Times New Roman"/>
          <w:b w:val="0"/>
          <w:bCs w:val="0"/>
          <w:color w:val="000000"/>
          <w:sz w:val="32"/>
          <w:szCs w:val="32"/>
          <w:shd w:val="clear" w:color="auto" w:fill="auto"/>
          <w:lang w:val="en-US" w:eastAsia="zh-CN"/>
        </w:rPr>
        <w:t>2025年版</w:t>
      </w:r>
      <w:r>
        <w:rPr>
          <w:rFonts w:hint="default" w:ascii="Times New Roman" w:hAnsi="Times New Roman" w:eastAsia="方正小标宋_GBK" w:cs="Times New Roman"/>
          <w:b w:val="0"/>
          <w:bCs w:val="0"/>
          <w:color w:val="000000"/>
          <w:sz w:val="32"/>
          <w:szCs w:val="32"/>
          <w:shd w:val="clear" w:color="auto" w:fill="auto"/>
          <w:lang w:eastAsia="zh-CN"/>
        </w:rPr>
        <w:t>）</w:t>
      </w:r>
    </w:p>
    <w:p w14:paraId="338E627D">
      <w:pPr>
        <w:adjustRightInd w:val="0"/>
        <w:spacing w:line="360" w:lineRule="auto"/>
        <w:contextualSpacing/>
        <w:jc w:val="center"/>
        <w:rPr>
          <w:rFonts w:hint="default" w:ascii="Times New Roman" w:hAnsi="Times New Roman" w:eastAsia="方正小标宋简体" w:cs="Times New Roman"/>
          <w:color w:val="000000"/>
          <w:sz w:val="32"/>
          <w:szCs w:val="32"/>
        </w:rPr>
      </w:pPr>
    </w:p>
    <w:p w14:paraId="5CBEC7D6">
      <w:pPr>
        <w:snapToGrid w:val="0"/>
        <w:spacing w:line="440" w:lineRule="exact"/>
        <w:rPr>
          <w:rFonts w:hint="default" w:ascii="Times New Roman" w:hAnsi="Times New Roman" w:eastAsia="黑体"/>
          <w:color w:val="000000"/>
          <w:szCs w:val="21"/>
        </w:rPr>
      </w:pPr>
      <w:r>
        <w:rPr>
          <w:rFonts w:hint="default" w:ascii="Times New Roman" w:hAnsi="Times New Roman" w:eastAsia="黑体"/>
          <w:color w:val="000000"/>
          <w:szCs w:val="21"/>
        </w:rPr>
        <w:t xml:space="preserve">1 抽样方法 </w:t>
      </w:r>
    </w:p>
    <w:p w14:paraId="1E1AFC18">
      <w:pPr>
        <w:snapToGrid w:val="0"/>
        <w:spacing w:line="440" w:lineRule="exact"/>
        <w:ind w:firstLine="420" w:firstLineChars="200"/>
        <w:rPr>
          <w:rFonts w:ascii="Times New Roman" w:hAnsi="Times New Roman"/>
          <w:color w:val="auto"/>
          <w:szCs w:val="21"/>
        </w:rPr>
      </w:pPr>
      <w:r>
        <w:rPr>
          <w:rFonts w:hint="default" w:ascii="Times New Roman" w:hAnsi="Times New Roman"/>
          <w:color w:val="auto"/>
          <w:szCs w:val="21"/>
        </w:rPr>
        <w:t>以随机抽样的方式在被抽样生产者</w:t>
      </w:r>
      <w:r>
        <w:rPr>
          <w:rFonts w:hint="default" w:ascii="Times New Roman" w:hAnsi="Times New Roman"/>
          <w:color w:val="auto"/>
          <w:szCs w:val="21"/>
          <w:lang w:eastAsia="zh-CN"/>
        </w:rPr>
        <w:t>、</w:t>
      </w:r>
      <w:r>
        <w:rPr>
          <w:rFonts w:hint="default" w:ascii="Times New Roman" w:hAnsi="Times New Roman"/>
          <w:color w:val="auto"/>
          <w:szCs w:val="21"/>
          <w:lang w:val="en-US" w:eastAsia="zh-CN"/>
        </w:rPr>
        <w:t>销售者</w:t>
      </w:r>
      <w:r>
        <w:rPr>
          <w:rFonts w:hint="default" w:ascii="Times New Roman" w:hAnsi="Times New Roman"/>
          <w:color w:val="auto"/>
          <w:szCs w:val="21"/>
        </w:rPr>
        <w:t>的待销产品中抽取。</w:t>
      </w:r>
    </w:p>
    <w:p w14:paraId="223A97AC">
      <w:pPr>
        <w:snapToGrid w:val="0"/>
        <w:spacing w:line="440" w:lineRule="exact"/>
        <w:ind w:firstLine="420" w:firstLineChars="200"/>
        <w:rPr>
          <w:rFonts w:ascii="Times New Roman" w:hAnsi="Times New Roman"/>
          <w:color w:val="auto"/>
          <w:szCs w:val="21"/>
          <w:highlight w:val="none"/>
        </w:rPr>
      </w:pPr>
      <w:r>
        <w:rPr>
          <w:rFonts w:hint="default" w:ascii="Times New Roman" w:hAnsi="Times New Roman"/>
          <w:color w:val="auto"/>
          <w:szCs w:val="21"/>
        </w:rPr>
        <w:t>随机数一般可使用随机数表等方法产生。</w:t>
      </w:r>
    </w:p>
    <w:p w14:paraId="5029A04A">
      <w:pPr>
        <w:snapToGrid w:val="0"/>
        <w:spacing w:line="440" w:lineRule="exact"/>
        <w:ind w:firstLine="420" w:firstLineChars="200"/>
        <w:rPr>
          <w:rFonts w:ascii="宋体" w:hAnsi="宋体"/>
          <w:color w:val="000000"/>
          <w:szCs w:val="21"/>
        </w:rPr>
      </w:pPr>
      <w:bookmarkStart w:id="0" w:name="OLE_LINK1"/>
      <w:r>
        <w:rPr>
          <w:rFonts w:hint="default" w:ascii="Times New Roman" w:hAnsi="Times New Roman" w:cs="Times New Roman"/>
          <w:kern w:val="0"/>
          <w:szCs w:val="21"/>
        </w:rPr>
        <w:t>每批</w:t>
      </w:r>
      <w:r>
        <w:rPr>
          <w:rFonts w:hint="default" w:ascii="Times New Roman" w:hAnsi="Times New Roman" w:cs="Times New Roman"/>
          <w:color w:val="000000"/>
          <w:szCs w:val="21"/>
        </w:rPr>
        <w:t>次产品抽取</w:t>
      </w:r>
      <w:r>
        <w:rPr>
          <w:rFonts w:hint="default" w:ascii="Times New Roman" w:hAnsi="Times New Roman" w:cs="Times New Roman"/>
          <w:color w:val="000000"/>
          <w:szCs w:val="21"/>
          <w:lang w:val="en-US" w:eastAsia="zh-CN"/>
        </w:rPr>
        <w:t>6</w:t>
      </w:r>
      <w:r>
        <w:rPr>
          <w:rFonts w:hint="default" w:ascii="Times New Roman" w:hAnsi="Times New Roman" w:cs="Times New Roman"/>
          <w:color w:val="000000"/>
          <w:szCs w:val="21"/>
        </w:rPr>
        <w:t>个最小销售包装，其中</w:t>
      </w:r>
      <w:r>
        <w:rPr>
          <w:rFonts w:hint="default" w:ascii="Times New Roman" w:hAnsi="Times New Roman" w:cs="Times New Roman"/>
          <w:color w:val="000000"/>
          <w:szCs w:val="21"/>
          <w:lang w:val="en-US" w:eastAsia="zh-CN"/>
        </w:rPr>
        <w:t>3</w:t>
      </w:r>
      <w:r>
        <w:rPr>
          <w:rFonts w:hint="default" w:ascii="Times New Roman" w:hAnsi="Times New Roman" w:cs="Times New Roman"/>
          <w:color w:val="000000"/>
          <w:szCs w:val="21"/>
        </w:rPr>
        <w:t>个最小销售包装作为检验样品，3个最小销售包装作为备用样品。每个最小销售包装不足</w:t>
      </w:r>
      <w:r>
        <w:rPr>
          <w:rFonts w:hint="default" w:ascii="Times New Roman" w:hAnsi="Times New Roman" w:cs="Times New Roman"/>
          <w:color w:val="000000"/>
          <w:szCs w:val="21"/>
          <w:lang w:val="en-US" w:eastAsia="zh-CN"/>
        </w:rPr>
        <w:t>20</w:t>
      </w:r>
      <w:r>
        <w:rPr>
          <w:rFonts w:hint="default" w:ascii="Times New Roman" w:hAnsi="Times New Roman" w:cs="Times New Roman"/>
          <w:color w:val="000000"/>
          <w:szCs w:val="21"/>
        </w:rPr>
        <w:t>片</w:t>
      </w:r>
      <w:r>
        <w:rPr>
          <w:rFonts w:hint="default" w:ascii="Times New Roman" w:hAnsi="Times New Roman" w:cs="Times New Roman"/>
          <w:color w:val="000000"/>
          <w:szCs w:val="21"/>
          <w:lang w:val="en-US" w:eastAsia="zh-CN"/>
        </w:rPr>
        <w:t>/抽/张</w:t>
      </w:r>
      <w:r>
        <w:rPr>
          <w:rFonts w:hint="default" w:ascii="Times New Roman" w:hAnsi="Times New Roman" w:cs="Times New Roman"/>
          <w:color w:val="000000"/>
          <w:szCs w:val="21"/>
        </w:rPr>
        <w:t>的，按</w:t>
      </w:r>
      <w:r>
        <w:rPr>
          <w:rFonts w:hint="default" w:ascii="Times New Roman" w:hAnsi="Times New Roman" w:cs="Times New Roman"/>
          <w:color w:val="000000"/>
          <w:szCs w:val="21"/>
          <w:lang w:val="en-US" w:eastAsia="zh-CN"/>
        </w:rPr>
        <w:t>60</w:t>
      </w:r>
      <w:r>
        <w:rPr>
          <w:rFonts w:hint="default" w:ascii="Times New Roman" w:hAnsi="Times New Roman" w:cs="Times New Roman"/>
          <w:color w:val="000000"/>
          <w:szCs w:val="21"/>
        </w:rPr>
        <w:t>片</w:t>
      </w:r>
      <w:bookmarkStart w:id="2" w:name="_GoBack"/>
      <w:bookmarkEnd w:id="2"/>
      <w:r>
        <w:rPr>
          <w:rFonts w:hint="default" w:ascii="Times New Roman" w:hAnsi="Times New Roman" w:cs="Times New Roman"/>
          <w:color w:val="000000"/>
          <w:szCs w:val="21"/>
          <w:lang w:val="en-US" w:eastAsia="zh-CN"/>
        </w:rPr>
        <w:t>/抽/张</w:t>
      </w:r>
      <w:r>
        <w:rPr>
          <w:rFonts w:hint="default" w:ascii="Times New Roman" w:hAnsi="Times New Roman" w:cs="Times New Roman"/>
          <w:color w:val="000000"/>
          <w:szCs w:val="21"/>
        </w:rPr>
        <w:t>换算成相应的最小销售包装单位。</w:t>
      </w:r>
      <w:bookmarkEnd w:id="0"/>
    </w:p>
    <w:p w14:paraId="4E68A6A8">
      <w:pPr>
        <w:snapToGrid w:val="0"/>
        <w:spacing w:line="440" w:lineRule="exact"/>
        <w:ind w:firstLine="420" w:firstLineChars="200"/>
        <w:rPr>
          <w:rFonts w:hint="default" w:ascii="Times New Roman" w:hAnsi="Times New Roman"/>
          <w:szCs w:val="21"/>
          <w:highlight w:val="none"/>
          <w:lang w:eastAsia="zh-CN"/>
        </w:rPr>
      </w:pPr>
    </w:p>
    <w:p w14:paraId="3F2C17FD">
      <w:pPr>
        <w:snapToGrid w:val="0"/>
        <w:spacing w:line="440" w:lineRule="exact"/>
        <w:rPr>
          <w:rFonts w:hint="default" w:ascii="Times New Roman" w:hAnsi="Times New Roman" w:eastAsia="黑体"/>
          <w:color w:val="000000"/>
          <w:szCs w:val="21"/>
        </w:rPr>
      </w:pPr>
      <w:r>
        <w:rPr>
          <w:rFonts w:hint="default" w:ascii="Times New Roman" w:hAnsi="Times New Roman" w:eastAsia="黑体"/>
          <w:color w:val="000000"/>
          <w:szCs w:val="21"/>
        </w:rPr>
        <w:t>2 检验依据</w:t>
      </w:r>
    </w:p>
    <w:tbl>
      <w:tblPr>
        <w:tblStyle w:val="10"/>
        <w:tblW w:w="77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4575"/>
        <w:gridCol w:w="2544"/>
      </w:tblGrid>
      <w:tr w14:paraId="015FD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blHeader/>
          <w:jc w:val="center"/>
        </w:trPr>
        <w:tc>
          <w:tcPr>
            <w:tcW w:w="671" w:type="dxa"/>
            <w:tcBorders>
              <w:bottom w:val="single" w:color="auto" w:sz="4" w:space="0"/>
              <w:right w:val="single" w:color="auto" w:sz="4" w:space="0"/>
            </w:tcBorders>
            <w:vAlign w:val="center"/>
          </w:tcPr>
          <w:p w14:paraId="7245CFB1">
            <w:pPr>
              <w:spacing w:line="288" w:lineRule="auto"/>
              <w:jc w:val="center"/>
              <w:rPr>
                <w:rFonts w:ascii="Times New Roman" w:hAnsi="Times New Roman"/>
                <w:color w:val="auto"/>
                <w:szCs w:val="21"/>
                <w:highlight w:val="none"/>
              </w:rPr>
            </w:pPr>
            <w:r>
              <w:rPr>
                <w:rFonts w:hint="default" w:ascii="Times New Roman" w:hAnsi="Times New Roman"/>
                <w:color w:val="auto"/>
                <w:szCs w:val="21"/>
                <w:highlight w:val="none"/>
              </w:rPr>
              <w:t>序号</w:t>
            </w:r>
          </w:p>
        </w:tc>
        <w:tc>
          <w:tcPr>
            <w:tcW w:w="4575" w:type="dxa"/>
            <w:tcBorders>
              <w:left w:val="single" w:color="auto" w:sz="4" w:space="0"/>
              <w:bottom w:val="single" w:color="auto" w:sz="4" w:space="0"/>
              <w:right w:val="single" w:color="auto" w:sz="4" w:space="0"/>
            </w:tcBorders>
            <w:vAlign w:val="center"/>
          </w:tcPr>
          <w:p w14:paraId="3091C5BC">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检验项目</w:t>
            </w:r>
          </w:p>
        </w:tc>
        <w:tc>
          <w:tcPr>
            <w:tcW w:w="2544" w:type="dxa"/>
            <w:tcBorders>
              <w:left w:val="single" w:color="auto" w:sz="4" w:space="0"/>
              <w:bottom w:val="single" w:color="auto" w:sz="4" w:space="0"/>
            </w:tcBorders>
            <w:vAlign w:val="center"/>
          </w:tcPr>
          <w:p w14:paraId="5AE8E88E">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检验方法</w:t>
            </w:r>
          </w:p>
        </w:tc>
      </w:tr>
      <w:tr w14:paraId="4D239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1" w:type="dxa"/>
            <w:tcBorders>
              <w:top w:val="single" w:color="auto" w:sz="4" w:space="0"/>
              <w:bottom w:val="single" w:color="auto" w:sz="4" w:space="0"/>
              <w:right w:val="single" w:color="auto" w:sz="4" w:space="0"/>
            </w:tcBorders>
            <w:vAlign w:val="center"/>
          </w:tcPr>
          <w:p w14:paraId="4A73EDB6">
            <w:pPr>
              <w:numPr>
                <w:ilvl w:val="0"/>
                <w:numId w:val="1"/>
              </w:numPr>
              <w:tabs>
                <w:tab w:val="clear" w:pos="420"/>
              </w:tabs>
              <w:spacing w:line="288" w:lineRule="auto"/>
              <w:jc w:val="center"/>
              <w:rPr>
                <w:rFonts w:ascii="Times New Roman" w:hAnsi="Times New Roman"/>
                <w:color w:val="auto"/>
                <w:szCs w:val="21"/>
                <w:highlight w:val="none"/>
              </w:rPr>
            </w:pPr>
          </w:p>
        </w:tc>
        <w:tc>
          <w:tcPr>
            <w:tcW w:w="4575" w:type="dxa"/>
            <w:tcBorders>
              <w:top w:val="single" w:color="auto" w:sz="4" w:space="0"/>
              <w:left w:val="single" w:color="auto" w:sz="4" w:space="0"/>
              <w:bottom w:val="single" w:color="auto" w:sz="4" w:space="0"/>
              <w:right w:val="single" w:color="auto" w:sz="4" w:space="0"/>
            </w:tcBorders>
            <w:shd w:val="clear" w:color="auto" w:fill="auto"/>
            <w:vAlign w:val="center"/>
          </w:tcPr>
          <w:p w14:paraId="40D79D83">
            <w:pPr>
              <w:pStyle w:val="9"/>
              <w:keepNext w:val="0"/>
              <w:keepLines w:val="0"/>
              <w:widowControl/>
              <w:suppressLineNumbers w:val="0"/>
              <w:spacing w:line="27" w:lineRule="atLeast"/>
              <w:ind w:left="0" w:leftChars="0" w:right="0" w:rightChars="0"/>
              <w:jc w:val="center"/>
              <w:rPr>
                <w:rFonts w:hint="default" w:ascii="Times New Roman" w:hAnsi="Times New Roman" w:eastAsia="宋体" w:cs="Times New Roman"/>
                <w:color w:val="auto"/>
                <w:kern w:val="0"/>
                <w:sz w:val="21"/>
                <w:szCs w:val="21"/>
                <w:highlight w:val="none"/>
                <w:vertAlign w:val="baseline"/>
                <w:lang w:val="en-US" w:eastAsia="zh-CN" w:bidi="ar"/>
              </w:rPr>
            </w:pPr>
            <w:r>
              <w:rPr>
                <w:rFonts w:hint="default" w:ascii="Times New Roman" w:hAnsi="Times New Roman" w:eastAsia="宋体" w:cs="Times New Roman"/>
                <w:caps w:val="0"/>
                <w:color w:val="auto"/>
                <w:spacing w:val="0"/>
                <w:kern w:val="2"/>
                <w:sz w:val="21"/>
                <w:szCs w:val="21"/>
                <w:highlight w:val="none"/>
                <w:lang w:bidi="ar-SA"/>
              </w:rPr>
              <w:t>细菌菌落总数</w:t>
            </w:r>
          </w:p>
        </w:tc>
        <w:tc>
          <w:tcPr>
            <w:tcW w:w="2544" w:type="dxa"/>
            <w:tcBorders>
              <w:top w:val="single" w:color="auto" w:sz="4" w:space="0"/>
              <w:left w:val="single" w:color="auto" w:sz="4" w:space="0"/>
              <w:bottom w:val="single" w:color="auto" w:sz="4" w:space="0"/>
            </w:tcBorders>
            <w:vAlign w:val="center"/>
          </w:tcPr>
          <w:p w14:paraId="47ABEC20">
            <w:pPr>
              <w:pStyle w:val="9"/>
              <w:keepNext w:val="0"/>
              <w:keepLines w:val="0"/>
              <w:widowControl/>
              <w:suppressLineNumbers w:val="0"/>
              <w:spacing w:line="27" w:lineRule="atLeast"/>
              <w:ind w:left="0" w:leftChars="0" w:right="0" w:rightChars="0"/>
              <w:jc w:val="center"/>
              <w:rPr>
                <w:rFonts w:hint="default" w:ascii="Times New Roman" w:hAnsi="Times New Roman"/>
                <w:color w:val="auto"/>
                <w:sz w:val="21"/>
                <w:szCs w:val="21"/>
                <w:highlight w:val="none"/>
              </w:rPr>
            </w:pPr>
            <w:r>
              <w:rPr>
                <w:rFonts w:hint="default" w:ascii="Times New Roman" w:hAnsi="Times New Roman" w:eastAsia="宋体" w:cs="Times New Roman"/>
                <w:caps w:val="0"/>
                <w:color w:val="auto"/>
                <w:spacing w:val="0"/>
                <w:sz w:val="21"/>
                <w:szCs w:val="21"/>
                <w:highlight w:val="none"/>
              </w:rPr>
              <w:t>GB 15979</w:t>
            </w:r>
            <w:r>
              <w:rPr>
                <w:rFonts w:hint="default" w:ascii="Times New Roman" w:hAnsi="Times New Roman"/>
                <w:color w:val="auto"/>
                <w:szCs w:val="21"/>
                <w:highlight w:val="none"/>
              </w:rPr>
              <w:t>—</w:t>
            </w:r>
            <w:r>
              <w:rPr>
                <w:rFonts w:hint="default" w:ascii="Times New Roman" w:hAnsi="Times New Roman" w:eastAsia="宋体" w:cs="Times New Roman"/>
                <w:caps w:val="0"/>
                <w:color w:val="auto"/>
                <w:spacing w:val="0"/>
                <w:sz w:val="21"/>
                <w:szCs w:val="21"/>
                <w:highlight w:val="none"/>
              </w:rPr>
              <w:t>2002</w:t>
            </w:r>
          </w:p>
        </w:tc>
      </w:tr>
      <w:tr w14:paraId="483EF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1" w:type="dxa"/>
            <w:tcBorders>
              <w:top w:val="single" w:color="auto" w:sz="4" w:space="0"/>
              <w:bottom w:val="single" w:color="auto" w:sz="4" w:space="0"/>
              <w:right w:val="single" w:color="auto" w:sz="4" w:space="0"/>
            </w:tcBorders>
            <w:vAlign w:val="center"/>
          </w:tcPr>
          <w:p w14:paraId="651FEBAB">
            <w:pPr>
              <w:numPr>
                <w:ilvl w:val="0"/>
                <w:numId w:val="1"/>
              </w:numPr>
              <w:tabs>
                <w:tab w:val="clear" w:pos="420"/>
              </w:tabs>
              <w:spacing w:line="288" w:lineRule="auto"/>
              <w:jc w:val="center"/>
              <w:rPr>
                <w:rFonts w:ascii="Times New Roman" w:hAnsi="Times New Roman"/>
                <w:color w:val="auto"/>
                <w:szCs w:val="21"/>
                <w:highlight w:val="none"/>
              </w:rPr>
            </w:pPr>
          </w:p>
        </w:tc>
        <w:tc>
          <w:tcPr>
            <w:tcW w:w="4575" w:type="dxa"/>
            <w:tcBorders>
              <w:top w:val="single" w:color="auto" w:sz="4" w:space="0"/>
              <w:left w:val="single" w:color="auto" w:sz="4" w:space="0"/>
              <w:bottom w:val="single" w:color="auto" w:sz="4" w:space="0"/>
              <w:right w:val="single" w:color="auto" w:sz="4" w:space="0"/>
            </w:tcBorders>
            <w:shd w:val="clear" w:color="auto" w:fill="auto"/>
            <w:vAlign w:val="center"/>
          </w:tcPr>
          <w:p w14:paraId="65CAE251">
            <w:pPr>
              <w:pStyle w:val="9"/>
              <w:keepNext w:val="0"/>
              <w:keepLines w:val="0"/>
              <w:widowControl/>
              <w:suppressLineNumbers w:val="0"/>
              <w:spacing w:line="27" w:lineRule="atLeast"/>
              <w:ind w:left="0" w:leftChars="0" w:right="0" w:rightChars="0"/>
              <w:jc w:val="center"/>
              <w:rPr>
                <w:rFonts w:hint="default" w:ascii="Times New Roman" w:hAnsi="Times New Roman" w:eastAsia="宋体" w:cs="Times New Roman"/>
                <w:caps w:val="0"/>
                <w:color w:val="auto"/>
                <w:spacing w:val="0"/>
                <w:kern w:val="2"/>
                <w:sz w:val="21"/>
                <w:szCs w:val="21"/>
                <w:highlight w:val="none"/>
                <w:lang w:val="en-US" w:eastAsia="zh-CN" w:bidi="ar-SA"/>
              </w:rPr>
            </w:pPr>
            <w:r>
              <w:rPr>
                <w:rFonts w:hint="default" w:ascii="Times New Roman" w:hAnsi="Times New Roman" w:eastAsia="宋体" w:cs="Times New Roman"/>
                <w:caps w:val="0"/>
                <w:color w:val="auto"/>
                <w:spacing w:val="0"/>
                <w:kern w:val="2"/>
                <w:sz w:val="21"/>
                <w:szCs w:val="21"/>
                <w:highlight w:val="none"/>
                <w:lang w:bidi="ar-SA"/>
              </w:rPr>
              <w:t>真菌菌落总数</w:t>
            </w:r>
          </w:p>
        </w:tc>
        <w:tc>
          <w:tcPr>
            <w:tcW w:w="2544" w:type="dxa"/>
            <w:tcBorders>
              <w:top w:val="single" w:color="auto" w:sz="4" w:space="0"/>
              <w:left w:val="single" w:color="auto" w:sz="4" w:space="0"/>
              <w:bottom w:val="single" w:color="auto" w:sz="4" w:space="0"/>
            </w:tcBorders>
            <w:vAlign w:val="center"/>
          </w:tcPr>
          <w:p w14:paraId="21476234">
            <w:pPr>
              <w:pStyle w:val="9"/>
              <w:keepNext w:val="0"/>
              <w:keepLines w:val="0"/>
              <w:widowControl/>
              <w:suppressLineNumbers w:val="0"/>
              <w:spacing w:line="27" w:lineRule="atLeast"/>
              <w:ind w:left="0" w:leftChars="0" w:right="0" w:rightChars="0"/>
              <w:jc w:val="center"/>
              <w:rPr>
                <w:rFonts w:hint="default" w:ascii="Times New Roman" w:hAnsi="Times New Roman"/>
                <w:color w:val="auto"/>
                <w:sz w:val="21"/>
                <w:szCs w:val="21"/>
                <w:highlight w:val="none"/>
              </w:rPr>
            </w:pPr>
            <w:r>
              <w:rPr>
                <w:rFonts w:hint="default" w:ascii="Times New Roman" w:hAnsi="Times New Roman" w:eastAsia="宋体" w:cs="Times New Roman"/>
                <w:caps w:val="0"/>
                <w:color w:val="auto"/>
                <w:spacing w:val="0"/>
                <w:sz w:val="21"/>
                <w:szCs w:val="21"/>
                <w:highlight w:val="none"/>
              </w:rPr>
              <w:t>GB 15979</w:t>
            </w:r>
            <w:r>
              <w:rPr>
                <w:rFonts w:hint="default" w:ascii="Times New Roman" w:hAnsi="Times New Roman"/>
                <w:color w:val="auto"/>
                <w:szCs w:val="21"/>
                <w:highlight w:val="none"/>
              </w:rPr>
              <w:t>—</w:t>
            </w:r>
            <w:r>
              <w:rPr>
                <w:rFonts w:hint="default" w:ascii="Times New Roman" w:hAnsi="Times New Roman" w:eastAsia="宋体" w:cs="Times New Roman"/>
                <w:caps w:val="0"/>
                <w:color w:val="auto"/>
                <w:spacing w:val="0"/>
                <w:sz w:val="21"/>
                <w:szCs w:val="21"/>
                <w:highlight w:val="none"/>
              </w:rPr>
              <w:t>2002</w:t>
            </w:r>
          </w:p>
        </w:tc>
      </w:tr>
      <w:tr w14:paraId="1EC0C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1" w:type="dxa"/>
            <w:tcBorders>
              <w:top w:val="single" w:color="auto" w:sz="4" w:space="0"/>
              <w:bottom w:val="single" w:color="auto" w:sz="4" w:space="0"/>
              <w:right w:val="single" w:color="auto" w:sz="4" w:space="0"/>
            </w:tcBorders>
            <w:vAlign w:val="center"/>
          </w:tcPr>
          <w:p w14:paraId="42850FC9">
            <w:pPr>
              <w:numPr>
                <w:ilvl w:val="0"/>
                <w:numId w:val="1"/>
              </w:numPr>
              <w:tabs>
                <w:tab w:val="clear" w:pos="420"/>
              </w:tabs>
              <w:spacing w:line="288" w:lineRule="auto"/>
              <w:jc w:val="center"/>
              <w:rPr>
                <w:rFonts w:ascii="Times New Roman" w:hAnsi="Times New Roman"/>
                <w:color w:val="auto"/>
                <w:szCs w:val="21"/>
                <w:highlight w:val="none"/>
              </w:rPr>
            </w:pPr>
          </w:p>
        </w:tc>
        <w:tc>
          <w:tcPr>
            <w:tcW w:w="4575" w:type="dxa"/>
            <w:tcBorders>
              <w:top w:val="single" w:color="auto" w:sz="4" w:space="0"/>
              <w:left w:val="single" w:color="auto" w:sz="4" w:space="0"/>
              <w:bottom w:val="single" w:color="auto" w:sz="4" w:space="0"/>
              <w:right w:val="single" w:color="auto" w:sz="4" w:space="0"/>
            </w:tcBorders>
            <w:shd w:val="clear" w:color="auto" w:fill="auto"/>
            <w:vAlign w:val="center"/>
          </w:tcPr>
          <w:p w14:paraId="2FAD7F37">
            <w:pPr>
              <w:pStyle w:val="9"/>
              <w:keepNext w:val="0"/>
              <w:keepLines w:val="0"/>
              <w:widowControl/>
              <w:suppressLineNumbers w:val="0"/>
              <w:spacing w:line="27" w:lineRule="atLeast"/>
              <w:ind w:left="0" w:leftChars="0" w:right="0" w:rightChars="0"/>
              <w:jc w:val="center"/>
              <w:rPr>
                <w:rFonts w:hint="default" w:ascii="Times New Roman" w:hAnsi="Times New Roman" w:eastAsia="宋体" w:cs="Times New Roman"/>
                <w:caps w:val="0"/>
                <w:color w:val="auto"/>
                <w:spacing w:val="0"/>
                <w:kern w:val="2"/>
                <w:sz w:val="21"/>
                <w:szCs w:val="21"/>
                <w:highlight w:val="none"/>
                <w:lang w:val="en-US" w:eastAsia="zh-CN" w:bidi="ar-SA"/>
              </w:rPr>
            </w:pPr>
            <w:r>
              <w:rPr>
                <w:rFonts w:hint="default" w:ascii="Times New Roman" w:hAnsi="Times New Roman" w:eastAsia="宋体" w:cs="Times New Roman"/>
                <w:caps w:val="0"/>
                <w:color w:val="auto"/>
                <w:spacing w:val="0"/>
                <w:kern w:val="2"/>
                <w:sz w:val="21"/>
                <w:szCs w:val="21"/>
                <w:highlight w:val="none"/>
                <w:lang w:bidi="ar-SA"/>
              </w:rPr>
              <w:t>大肠菌群</w:t>
            </w:r>
          </w:p>
        </w:tc>
        <w:tc>
          <w:tcPr>
            <w:tcW w:w="2544" w:type="dxa"/>
            <w:tcBorders>
              <w:top w:val="single" w:color="auto" w:sz="4" w:space="0"/>
              <w:left w:val="single" w:color="auto" w:sz="4" w:space="0"/>
              <w:bottom w:val="single" w:color="auto" w:sz="4" w:space="0"/>
            </w:tcBorders>
            <w:vAlign w:val="center"/>
          </w:tcPr>
          <w:p w14:paraId="7C5A13E2">
            <w:pPr>
              <w:pStyle w:val="9"/>
              <w:keepNext w:val="0"/>
              <w:keepLines w:val="0"/>
              <w:widowControl/>
              <w:suppressLineNumbers w:val="0"/>
              <w:spacing w:line="27" w:lineRule="atLeast"/>
              <w:ind w:left="0" w:leftChars="0" w:right="0" w:rightChars="0"/>
              <w:jc w:val="center"/>
              <w:rPr>
                <w:rFonts w:hint="default" w:ascii="Times New Roman" w:hAnsi="Times New Roman"/>
                <w:color w:val="auto"/>
                <w:sz w:val="21"/>
                <w:szCs w:val="21"/>
                <w:highlight w:val="none"/>
              </w:rPr>
            </w:pPr>
            <w:r>
              <w:rPr>
                <w:rFonts w:hint="default" w:ascii="Times New Roman" w:hAnsi="Times New Roman" w:eastAsia="宋体" w:cs="Times New Roman"/>
                <w:caps w:val="0"/>
                <w:color w:val="auto"/>
                <w:spacing w:val="0"/>
                <w:sz w:val="21"/>
                <w:szCs w:val="21"/>
                <w:highlight w:val="none"/>
              </w:rPr>
              <w:t>GB 15979</w:t>
            </w:r>
            <w:r>
              <w:rPr>
                <w:rFonts w:hint="default" w:ascii="Times New Roman" w:hAnsi="Times New Roman"/>
                <w:color w:val="auto"/>
                <w:szCs w:val="21"/>
                <w:highlight w:val="none"/>
              </w:rPr>
              <w:t>—</w:t>
            </w:r>
            <w:r>
              <w:rPr>
                <w:rFonts w:hint="default" w:ascii="Times New Roman" w:hAnsi="Times New Roman" w:eastAsia="宋体" w:cs="Times New Roman"/>
                <w:caps w:val="0"/>
                <w:color w:val="auto"/>
                <w:spacing w:val="0"/>
                <w:sz w:val="21"/>
                <w:szCs w:val="21"/>
                <w:highlight w:val="none"/>
              </w:rPr>
              <w:t>2002</w:t>
            </w:r>
          </w:p>
        </w:tc>
      </w:tr>
      <w:tr w14:paraId="62660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1" w:type="dxa"/>
            <w:tcBorders>
              <w:top w:val="single" w:color="auto" w:sz="4" w:space="0"/>
              <w:bottom w:val="single" w:color="auto" w:sz="4" w:space="0"/>
              <w:right w:val="single" w:color="auto" w:sz="4" w:space="0"/>
            </w:tcBorders>
            <w:vAlign w:val="center"/>
          </w:tcPr>
          <w:p w14:paraId="2F1E2054">
            <w:pPr>
              <w:numPr>
                <w:ilvl w:val="0"/>
                <w:numId w:val="1"/>
              </w:numPr>
              <w:tabs>
                <w:tab w:val="clear" w:pos="420"/>
              </w:tabs>
              <w:spacing w:line="288" w:lineRule="auto"/>
              <w:jc w:val="center"/>
              <w:rPr>
                <w:rFonts w:ascii="Times New Roman" w:hAnsi="Times New Roman"/>
                <w:color w:val="auto"/>
                <w:szCs w:val="21"/>
                <w:highlight w:val="none"/>
              </w:rPr>
            </w:pPr>
          </w:p>
        </w:tc>
        <w:tc>
          <w:tcPr>
            <w:tcW w:w="4575" w:type="dxa"/>
            <w:tcBorders>
              <w:top w:val="single" w:color="auto" w:sz="4" w:space="0"/>
              <w:left w:val="single" w:color="auto" w:sz="4" w:space="0"/>
              <w:bottom w:val="single" w:color="auto" w:sz="4" w:space="0"/>
              <w:right w:val="single" w:color="auto" w:sz="4" w:space="0"/>
            </w:tcBorders>
            <w:shd w:val="clear" w:color="auto" w:fill="auto"/>
            <w:vAlign w:val="center"/>
          </w:tcPr>
          <w:p w14:paraId="47B9CF5A">
            <w:pPr>
              <w:spacing w:line="288" w:lineRule="auto"/>
              <w:jc w:val="center"/>
              <w:rPr>
                <w:rFonts w:hint="default" w:ascii="Times New Roman" w:hAnsi="Times New Roman"/>
                <w:color w:val="auto"/>
                <w:szCs w:val="21"/>
                <w:highlight w:val="none"/>
                <w:lang w:val="en-US" w:eastAsia="zh-CN"/>
              </w:rPr>
            </w:pPr>
            <w:r>
              <w:rPr>
                <w:rFonts w:hint="eastAsia" w:ascii="Times New Roman" w:hAnsi="Times New Roman"/>
                <w:color w:val="auto"/>
                <w:szCs w:val="21"/>
                <w:highlight w:val="none"/>
                <w:lang w:eastAsia="zh-CN"/>
              </w:rPr>
              <w:t>致病性化脓菌（</w:t>
            </w:r>
            <w:r>
              <w:rPr>
                <w:rFonts w:hint="default" w:ascii="Times New Roman" w:hAnsi="Times New Roman"/>
                <w:color w:val="auto"/>
                <w:szCs w:val="21"/>
                <w:highlight w:val="none"/>
              </w:rPr>
              <w:t>绿脓杆菌</w:t>
            </w:r>
            <w:r>
              <w:rPr>
                <w:rFonts w:hint="eastAsia" w:ascii="Times New Roman" w:hAnsi="Times New Roman"/>
                <w:color w:val="auto"/>
                <w:szCs w:val="21"/>
                <w:highlight w:val="none"/>
                <w:lang w:eastAsia="zh-CN"/>
              </w:rPr>
              <w:t>、</w:t>
            </w:r>
            <w:r>
              <w:rPr>
                <w:rFonts w:hint="default" w:ascii="Times New Roman" w:hAnsi="Times New Roman"/>
                <w:color w:val="auto"/>
                <w:szCs w:val="21"/>
                <w:highlight w:val="none"/>
              </w:rPr>
              <w:t>金黄色葡萄球菌</w:t>
            </w:r>
            <w:r>
              <w:rPr>
                <w:rFonts w:hint="eastAsia" w:ascii="Times New Roman" w:hAnsi="Times New Roman"/>
                <w:color w:val="auto"/>
                <w:szCs w:val="21"/>
                <w:highlight w:val="none"/>
                <w:lang w:eastAsia="zh-CN"/>
              </w:rPr>
              <w:t>、</w:t>
            </w:r>
            <w:r>
              <w:rPr>
                <w:rFonts w:hint="default" w:ascii="Times New Roman" w:hAnsi="Times New Roman"/>
                <w:color w:val="auto"/>
                <w:szCs w:val="21"/>
                <w:highlight w:val="none"/>
              </w:rPr>
              <w:t>溶血性链球菌</w:t>
            </w:r>
            <w:r>
              <w:rPr>
                <w:rFonts w:hint="eastAsia" w:ascii="Times New Roman" w:hAnsi="Times New Roman"/>
                <w:color w:val="auto"/>
                <w:szCs w:val="21"/>
                <w:highlight w:val="none"/>
                <w:lang w:eastAsia="zh-CN"/>
              </w:rPr>
              <w:t>）</w:t>
            </w:r>
          </w:p>
        </w:tc>
        <w:tc>
          <w:tcPr>
            <w:tcW w:w="2544" w:type="dxa"/>
            <w:tcBorders>
              <w:top w:val="single" w:color="auto" w:sz="4" w:space="0"/>
              <w:left w:val="single" w:color="auto" w:sz="4" w:space="0"/>
              <w:bottom w:val="single" w:color="auto" w:sz="4" w:space="0"/>
            </w:tcBorders>
            <w:vAlign w:val="center"/>
          </w:tcPr>
          <w:p w14:paraId="07C7D26E">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 15979—2002</w:t>
            </w:r>
          </w:p>
        </w:tc>
      </w:tr>
      <w:tr w14:paraId="24E11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1" w:type="dxa"/>
            <w:tcBorders>
              <w:top w:val="single" w:color="auto" w:sz="4" w:space="0"/>
              <w:bottom w:val="single" w:color="auto" w:sz="4" w:space="0"/>
              <w:right w:val="single" w:color="auto" w:sz="4" w:space="0"/>
            </w:tcBorders>
            <w:vAlign w:val="center"/>
          </w:tcPr>
          <w:p w14:paraId="69945CD0">
            <w:pPr>
              <w:numPr>
                <w:ilvl w:val="0"/>
                <w:numId w:val="1"/>
              </w:numPr>
              <w:tabs>
                <w:tab w:val="clear" w:pos="420"/>
              </w:tabs>
              <w:spacing w:line="288" w:lineRule="auto"/>
              <w:jc w:val="center"/>
              <w:rPr>
                <w:rFonts w:ascii="Times New Roman" w:hAnsi="Times New Roman"/>
                <w:color w:val="auto"/>
                <w:szCs w:val="21"/>
                <w:highlight w:val="none"/>
              </w:rPr>
            </w:pPr>
          </w:p>
        </w:tc>
        <w:tc>
          <w:tcPr>
            <w:tcW w:w="4575" w:type="dxa"/>
            <w:tcBorders>
              <w:top w:val="single" w:color="auto" w:sz="4" w:space="0"/>
              <w:left w:val="single" w:color="auto" w:sz="4" w:space="0"/>
              <w:bottom w:val="single" w:color="auto" w:sz="4" w:space="0"/>
              <w:right w:val="single" w:color="auto" w:sz="4" w:space="0"/>
            </w:tcBorders>
            <w:shd w:val="clear" w:color="auto" w:fill="auto"/>
            <w:vAlign w:val="center"/>
          </w:tcPr>
          <w:p w14:paraId="6BC1724B">
            <w:pPr>
              <w:spacing w:line="288" w:lineRule="auto"/>
              <w:jc w:val="center"/>
              <w:rPr>
                <w:rFonts w:hint="default" w:ascii="Times New Roman" w:hAnsi="Times New Roman"/>
                <w:color w:val="auto"/>
                <w:szCs w:val="21"/>
                <w:highlight w:val="none"/>
                <w:lang w:val="en-US" w:eastAsia="zh-CN"/>
              </w:rPr>
            </w:pPr>
            <w:r>
              <w:rPr>
                <w:rFonts w:hint="default" w:ascii="Times New Roman" w:hAnsi="Times New Roman"/>
                <w:color w:val="auto"/>
                <w:szCs w:val="21"/>
                <w:highlight w:val="none"/>
              </w:rPr>
              <w:t>甲醛含量</w:t>
            </w:r>
          </w:p>
        </w:tc>
        <w:tc>
          <w:tcPr>
            <w:tcW w:w="2544" w:type="dxa"/>
            <w:tcBorders>
              <w:top w:val="single" w:color="auto" w:sz="4" w:space="0"/>
              <w:left w:val="single" w:color="auto" w:sz="4" w:space="0"/>
              <w:bottom w:val="single" w:color="auto" w:sz="4" w:space="0"/>
            </w:tcBorders>
            <w:vAlign w:val="center"/>
          </w:tcPr>
          <w:p w14:paraId="15B6F803">
            <w:pPr>
              <w:spacing w:line="288" w:lineRule="auto"/>
              <w:jc w:val="center"/>
              <w:rPr>
                <w:rFonts w:hint="default" w:ascii="Times New Roman" w:hAnsi="Times New Roman"/>
                <w:color w:val="auto"/>
                <w:szCs w:val="21"/>
                <w:highlight w:val="none"/>
                <w:lang w:val="en-US" w:eastAsia="zh-CN"/>
              </w:rPr>
            </w:pPr>
            <w:r>
              <w:rPr>
                <w:rFonts w:hint="default" w:ascii="Times New Roman" w:hAnsi="Times New Roman"/>
                <w:color w:val="auto"/>
                <w:szCs w:val="21"/>
                <w:highlight w:val="none"/>
              </w:rPr>
              <w:t>GB/T 2912.1—2009</w:t>
            </w:r>
          </w:p>
        </w:tc>
      </w:tr>
      <w:tr w14:paraId="6A248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1" w:type="dxa"/>
            <w:tcBorders>
              <w:top w:val="single" w:color="auto" w:sz="4" w:space="0"/>
              <w:bottom w:val="single" w:color="auto" w:sz="4" w:space="0"/>
              <w:right w:val="single" w:color="auto" w:sz="4" w:space="0"/>
            </w:tcBorders>
            <w:vAlign w:val="center"/>
          </w:tcPr>
          <w:p w14:paraId="31F6F543">
            <w:pPr>
              <w:numPr>
                <w:ilvl w:val="0"/>
                <w:numId w:val="1"/>
              </w:numPr>
              <w:tabs>
                <w:tab w:val="clear" w:pos="420"/>
              </w:tabs>
              <w:spacing w:line="288" w:lineRule="auto"/>
              <w:jc w:val="center"/>
              <w:rPr>
                <w:rFonts w:ascii="Times New Roman" w:hAnsi="Times New Roman"/>
                <w:color w:val="auto"/>
                <w:szCs w:val="21"/>
                <w:highlight w:val="none"/>
              </w:rPr>
            </w:pPr>
          </w:p>
        </w:tc>
        <w:tc>
          <w:tcPr>
            <w:tcW w:w="4575" w:type="dxa"/>
            <w:tcBorders>
              <w:top w:val="single" w:color="auto" w:sz="4" w:space="0"/>
              <w:left w:val="single" w:color="auto" w:sz="4" w:space="0"/>
              <w:bottom w:val="single" w:color="auto" w:sz="4" w:space="0"/>
              <w:right w:val="single" w:color="auto" w:sz="4" w:space="0"/>
            </w:tcBorders>
            <w:shd w:val="clear" w:color="auto" w:fill="auto"/>
            <w:vAlign w:val="center"/>
          </w:tcPr>
          <w:p w14:paraId="0D61E0C2">
            <w:pPr>
              <w:spacing w:line="288" w:lineRule="auto"/>
              <w:jc w:val="center"/>
              <w:rPr>
                <w:rFonts w:hint="default" w:ascii="Times New Roman" w:hAnsi="Times New Roman"/>
                <w:color w:val="auto"/>
                <w:szCs w:val="21"/>
                <w:highlight w:val="none"/>
                <w:lang w:val="en-US" w:eastAsia="zh-CN"/>
              </w:rPr>
            </w:pPr>
            <w:r>
              <w:rPr>
                <w:rFonts w:hint="default" w:ascii="Times New Roman" w:hAnsi="Times New Roman"/>
                <w:color w:val="auto"/>
                <w:szCs w:val="21"/>
                <w:highlight w:val="none"/>
              </w:rPr>
              <w:t>pH值</w:t>
            </w:r>
          </w:p>
        </w:tc>
        <w:tc>
          <w:tcPr>
            <w:tcW w:w="2544" w:type="dxa"/>
            <w:tcBorders>
              <w:top w:val="single" w:color="auto" w:sz="4" w:space="0"/>
              <w:left w:val="single" w:color="auto" w:sz="4" w:space="0"/>
              <w:bottom w:val="single" w:color="auto" w:sz="4" w:space="0"/>
            </w:tcBorders>
            <w:vAlign w:val="center"/>
          </w:tcPr>
          <w:p w14:paraId="0EE41603">
            <w:pPr>
              <w:spacing w:line="288" w:lineRule="auto"/>
              <w:jc w:val="center"/>
              <w:rPr>
                <w:rFonts w:hint="default" w:ascii="Times New Roman" w:hAnsi="Times New Roman"/>
                <w:color w:val="auto"/>
                <w:szCs w:val="21"/>
                <w:highlight w:val="none"/>
                <w:lang w:val="en-US" w:eastAsia="zh-CN"/>
              </w:rPr>
            </w:pPr>
            <w:r>
              <w:rPr>
                <w:rFonts w:hint="default" w:ascii="Times New Roman" w:hAnsi="Times New Roman"/>
                <w:color w:val="auto"/>
                <w:szCs w:val="21"/>
                <w:highlight w:val="none"/>
              </w:rPr>
              <w:t>GB/T 7573—2009</w:t>
            </w:r>
          </w:p>
        </w:tc>
      </w:tr>
      <w:tr w14:paraId="7F348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1" w:type="dxa"/>
            <w:tcBorders>
              <w:top w:val="single" w:color="auto" w:sz="4" w:space="0"/>
              <w:bottom w:val="single" w:color="auto" w:sz="4" w:space="0"/>
              <w:right w:val="single" w:color="auto" w:sz="4" w:space="0"/>
            </w:tcBorders>
            <w:vAlign w:val="center"/>
          </w:tcPr>
          <w:p w14:paraId="55EE6FA4">
            <w:pPr>
              <w:widowControl w:val="0"/>
              <w:numPr>
                <w:ilvl w:val="0"/>
                <w:numId w:val="0"/>
              </w:numPr>
              <w:spacing w:line="288" w:lineRule="auto"/>
              <w:jc w:val="center"/>
              <w:rPr>
                <w:rFonts w:hint="default" w:ascii="Times New Roman" w:hAnsi="Times New Roman" w:eastAsia="宋体"/>
                <w:color w:val="auto"/>
                <w:szCs w:val="21"/>
                <w:highlight w:val="none"/>
                <w:lang w:val="en-US" w:eastAsia="zh-CN"/>
              </w:rPr>
            </w:pPr>
            <w:r>
              <w:rPr>
                <w:rFonts w:hint="default" w:ascii="Times New Roman" w:hAnsi="Times New Roman"/>
                <w:color w:val="auto"/>
                <w:szCs w:val="21"/>
                <w:highlight w:val="none"/>
                <w:lang w:val="en-US" w:eastAsia="zh-CN"/>
              </w:rPr>
              <w:t>7</w:t>
            </w:r>
          </w:p>
          <w:p w14:paraId="3640D30C">
            <w:pPr>
              <w:widowControl w:val="0"/>
              <w:numPr>
                <w:ilvl w:val="0"/>
                <w:numId w:val="0"/>
              </w:numPr>
              <w:spacing w:line="288" w:lineRule="auto"/>
              <w:jc w:val="center"/>
              <w:rPr>
                <w:rFonts w:ascii="Times New Roman" w:hAnsi="Times New Roman"/>
                <w:color w:val="auto"/>
                <w:szCs w:val="21"/>
                <w:highlight w:val="none"/>
              </w:rPr>
            </w:pPr>
          </w:p>
        </w:tc>
        <w:tc>
          <w:tcPr>
            <w:tcW w:w="4575" w:type="dxa"/>
            <w:tcBorders>
              <w:top w:val="single" w:color="auto" w:sz="4" w:space="0"/>
              <w:left w:val="single" w:color="auto" w:sz="4" w:space="0"/>
              <w:bottom w:val="single" w:color="auto" w:sz="4" w:space="0"/>
              <w:right w:val="single" w:color="auto" w:sz="4" w:space="0"/>
            </w:tcBorders>
            <w:vAlign w:val="center"/>
          </w:tcPr>
          <w:p w14:paraId="0B568D30">
            <w:pPr>
              <w:spacing w:line="288" w:lineRule="auto"/>
              <w:jc w:val="center"/>
              <w:rPr>
                <w:rFonts w:hint="eastAsia" w:ascii="Times New Roman" w:hAnsi="Times New Roman" w:eastAsia="宋体"/>
                <w:color w:val="auto"/>
                <w:szCs w:val="21"/>
                <w:highlight w:val="none"/>
                <w:lang w:eastAsia="zh-CN"/>
              </w:rPr>
            </w:pPr>
            <w:r>
              <w:rPr>
                <w:rFonts w:hint="default" w:ascii="Times New Roman" w:hAnsi="Times New Roman"/>
                <w:color w:val="auto"/>
                <w:szCs w:val="21"/>
                <w:highlight w:val="none"/>
              </w:rPr>
              <w:t>纤维含量</w:t>
            </w:r>
            <w:r>
              <w:rPr>
                <w:rFonts w:hint="eastAsia" w:ascii="Times New Roman" w:hAnsi="Times New Roman"/>
                <w:color w:val="auto"/>
                <w:szCs w:val="21"/>
                <w:highlight w:val="none"/>
                <w:lang w:eastAsia="zh-CN"/>
              </w:rPr>
              <w:t>允差</w:t>
            </w:r>
          </w:p>
        </w:tc>
        <w:tc>
          <w:tcPr>
            <w:tcW w:w="2544" w:type="dxa"/>
            <w:tcBorders>
              <w:top w:val="single" w:color="auto" w:sz="4" w:space="0"/>
              <w:left w:val="single" w:color="auto" w:sz="4" w:space="0"/>
              <w:bottom w:val="single" w:color="auto" w:sz="4" w:space="0"/>
            </w:tcBorders>
            <w:vAlign w:val="center"/>
          </w:tcPr>
          <w:p w14:paraId="7A70A852">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FZ/T 01057.1—2007</w:t>
            </w:r>
          </w:p>
          <w:p w14:paraId="23A37993">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FZ/T 01057.2—2007</w:t>
            </w:r>
          </w:p>
          <w:p w14:paraId="52C6A3FB">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FZ/T 01057.3—2007</w:t>
            </w:r>
          </w:p>
          <w:p w14:paraId="16918F31">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FZ/T 01057.4—2007</w:t>
            </w:r>
          </w:p>
          <w:p w14:paraId="25B97658">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2910.1—2009</w:t>
            </w:r>
          </w:p>
          <w:p w14:paraId="3500AE89">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2910.2—2009</w:t>
            </w:r>
          </w:p>
          <w:p w14:paraId="3593E8FE">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2910.3—2009</w:t>
            </w:r>
          </w:p>
          <w:p w14:paraId="3B9AA8CB">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2910.4—2022</w:t>
            </w:r>
          </w:p>
          <w:p w14:paraId="706643ED">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2910.5—2009</w:t>
            </w:r>
          </w:p>
          <w:p w14:paraId="36D283C2">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2910.6—2009</w:t>
            </w:r>
          </w:p>
          <w:p w14:paraId="3BF008A7">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2910.7—2009</w:t>
            </w:r>
          </w:p>
          <w:p w14:paraId="39A19FEC">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2910.8—2009</w:t>
            </w:r>
          </w:p>
          <w:p w14:paraId="0D398268">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2910.11—2009</w:t>
            </w:r>
          </w:p>
          <w:p w14:paraId="09A88234">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2910.12—2023</w:t>
            </w:r>
          </w:p>
          <w:p w14:paraId="14721859">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2910.18—2009</w:t>
            </w:r>
          </w:p>
          <w:p w14:paraId="5F685E75">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2910.20—2009</w:t>
            </w:r>
          </w:p>
          <w:p w14:paraId="04EC03C6">
            <w:pPr>
              <w:spacing w:line="288" w:lineRule="auto"/>
              <w:jc w:val="center"/>
              <w:rPr>
                <w:rFonts w:hint="default" w:ascii="Times New Roman" w:hAnsi="Times New Roman"/>
                <w:color w:val="auto"/>
                <w:szCs w:val="21"/>
                <w:highlight w:val="none"/>
              </w:rPr>
            </w:pPr>
            <w:r>
              <w:rPr>
                <w:rFonts w:hint="eastAsia" w:ascii="Times New Roman" w:hAnsi="Times New Roman"/>
                <w:color w:val="auto"/>
                <w:szCs w:val="21"/>
                <w:highlight w:val="none"/>
                <w:lang w:val="en-US" w:eastAsia="zh-CN"/>
              </w:rPr>
              <w:t>6</w:t>
            </w:r>
            <w:r>
              <w:rPr>
                <w:rFonts w:hint="default" w:ascii="Times New Roman" w:hAnsi="Times New Roman"/>
                <w:color w:val="auto"/>
                <w:szCs w:val="21"/>
                <w:highlight w:val="none"/>
              </w:rPr>
              <w:t>GB/T 2910.22—2009</w:t>
            </w:r>
          </w:p>
          <w:p w14:paraId="37F5CD1E">
            <w:pPr>
              <w:spacing w:line="288" w:lineRule="auto"/>
              <w:jc w:val="center"/>
              <w:rPr>
                <w:rFonts w:hint="default" w:ascii="Times New Roman" w:hAnsi="Times New Roman"/>
                <w:color w:val="auto"/>
                <w:szCs w:val="21"/>
                <w:highlight w:val="none"/>
              </w:rPr>
            </w:pPr>
            <w:r>
              <w:rPr>
                <w:rFonts w:hint="default" w:ascii="Times New Roman" w:hAnsi="Times New Roman"/>
                <w:color w:val="auto"/>
                <w:szCs w:val="21"/>
                <w:highlight w:val="none"/>
              </w:rPr>
              <w:t>GB/T 2910.101—2009</w:t>
            </w:r>
          </w:p>
          <w:p w14:paraId="040B2378">
            <w:pPr>
              <w:spacing w:line="288" w:lineRule="auto"/>
              <w:jc w:val="center"/>
              <w:rPr>
                <w:rFonts w:ascii="Times New Roman" w:hAnsi="Times New Roman"/>
                <w:color w:val="auto"/>
                <w:szCs w:val="21"/>
                <w:highlight w:val="none"/>
              </w:rPr>
            </w:pPr>
            <w:r>
              <w:rPr>
                <w:rFonts w:hint="default" w:ascii="Times New Roman" w:hAnsi="Times New Roman"/>
                <w:color w:val="auto"/>
                <w:szCs w:val="21"/>
                <w:highlight w:val="none"/>
              </w:rPr>
              <w:t>FZ/T 01101—2008</w:t>
            </w:r>
            <w:r>
              <w:rPr>
                <w:rFonts w:hint="eastAsia" w:ascii="Times New Roman" w:hAnsi="Times New Roman"/>
                <w:color w:val="auto"/>
                <w:szCs w:val="21"/>
                <w:highlight w:val="none"/>
                <w:lang w:val="en-US" w:eastAsia="zh-CN"/>
              </w:rPr>
              <w:t>等</w:t>
            </w:r>
          </w:p>
        </w:tc>
      </w:tr>
      <w:tr w14:paraId="12281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1" w:type="dxa"/>
            <w:tcBorders>
              <w:top w:val="single" w:color="auto" w:sz="4" w:space="0"/>
              <w:bottom w:val="single" w:color="auto" w:sz="4" w:space="0"/>
              <w:right w:val="single" w:color="auto" w:sz="4" w:space="0"/>
            </w:tcBorders>
            <w:vAlign w:val="center"/>
          </w:tcPr>
          <w:p w14:paraId="7D7EEFE6">
            <w:pPr>
              <w:widowControl w:val="0"/>
              <w:numPr>
                <w:ilvl w:val="0"/>
                <w:numId w:val="0"/>
              </w:numPr>
              <w:spacing w:line="288" w:lineRule="auto"/>
              <w:jc w:val="center"/>
              <w:rPr>
                <w:rFonts w:hint="default" w:ascii="Times New Roman" w:hAnsi="Times New Roman" w:eastAsia="宋体"/>
                <w:color w:val="auto"/>
                <w:szCs w:val="21"/>
                <w:highlight w:val="none"/>
                <w:lang w:val="en-US" w:eastAsia="zh-CN"/>
              </w:rPr>
            </w:pPr>
            <w:r>
              <w:rPr>
                <w:rFonts w:hint="default" w:ascii="Times New Roman" w:hAnsi="Times New Roman"/>
                <w:color w:val="auto"/>
                <w:szCs w:val="21"/>
                <w:highlight w:val="none"/>
                <w:lang w:val="en-US" w:eastAsia="zh-CN"/>
              </w:rPr>
              <w:t>8</w:t>
            </w:r>
          </w:p>
        </w:tc>
        <w:tc>
          <w:tcPr>
            <w:tcW w:w="4575" w:type="dxa"/>
            <w:tcBorders>
              <w:top w:val="single" w:color="auto" w:sz="4" w:space="0"/>
              <w:left w:val="single" w:color="auto" w:sz="4" w:space="0"/>
              <w:bottom w:val="single" w:color="auto" w:sz="4" w:space="0"/>
              <w:right w:val="single" w:color="auto" w:sz="4" w:space="0"/>
            </w:tcBorders>
            <w:vAlign w:val="center"/>
          </w:tcPr>
          <w:p w14:paraId="7FAB78A1">
            <w:pPr>
              <w:adjustRightInd w:val="0"/>
              <w:snapToGrid w:val="0"/>
              <w:jc w:val="center"/>
              <w:rPr>
                <w:rFonts w:hint="eastAsia" w:ascii="Times New Roman" w:hAnsi="Times New Roman" w:eastAsia="宋体"/>
                <w:color w:val="auto"/>
                <w:szCs w:val="21"/>
                <w:highlight w:val="none"/>
                <w:lang w:eastAsia="zh-CN"/>
              </w:rPr>
            </w:pPr>
            <w:r>
              <w:rPr>
                <w:rFonts w:hint="eastAsia" w:ascii="Times New Roman" w:hAnsi="Times New Roman"/>
                <w:szCs w:val="22"/>
                <w:lang w:eastAsia="zh-CN"/>
              </w:rPr>
              <w:t>荧光增白剂</w:t>
            </w:r>
          </w:p>
        </w:tc>
        <w:tc>
          <w:tcPr>
            <w:tcW w:w="2544" w:type="dxa"/>
            <w:tcBorders>
              <w:top w:val="single" w:color="auto" w:sz="4" w:space="0"/>
              <w:left w:val="single" w:color="auto" w:sz="4" w:space="0"/>
              <w:bottom w:val="single" w:color="auto" w:sz="4" w:space="0"/>
            </w:tcBorders>
            <w:vAlign w:val="center"/>
          </w:tcPr>
          <w:p w14:paraId="7DEF4008">
            <w:pPr>
              <w:adjustRightInd w:val="0"/>
              <w:snapToGrid w:val="0"/>
              <w:jc w:val="center"/>
              <w:rPr>
                <w:rFonts w:hint="eastAsia" w:ascii="Times New Roman" w:hAnsi="Times New Roman" w:cs="Times New Roman"/>
                <w:szCs w:val="22"/>
                <w:lang w:val="en-US" w:eastAsia="zh-CN"/>
              </w:rPr>
            </w:pPr>
            <w:r>
              <w:rPr>
                <w:rFonts w:hint="default" w:ascii="Times New Roman" w:hAnsi="Times New Roman" w:cs="Times New Roman"/>
                <w:szCs w:val="22"/>
              </w:rPr>
              <w:t xml:space="preserve">GB/T </w:t>
            </w:r>
            <w:r>
              <w:rPr>
                <w:rFonts w:hint="eastAsia" w:ascii="Times New Roman" w:hAnsi="Times New Roman" w:cs="Times New Roman"/>
                <w:szCs w:val="22"/>
                <w:lang w:val="en-US" w:eastAsia="zh-CN"/>
              </w:rPr>
              <w:t>40276</w:t>
            </w:r>
            <w:r>
              <w:rPr>
                <w:rFonts w:hint="default" w:ascii="Times New Roman" w:hAnsi="Times New Roman"/>
                <w:color w:val="auto"/>
                <w:szCs w:val="21"/>
                <w:highlight w:val="none"/>
              </w:rPr>
              <w:t>—</w:t>
            </w:r>
            <w:r>
              <w:rPr>
                <w:rFonts w:hint="eastAsia" w:ascii="Times New Roman" w:hAnsi="Times New Roman" w:cs="Times New Roman"/>
                <w:szCs w:val="22"/>
                <w:lang w:val="en-US" w:eastAsia="zh-CN"/>
              </w:rPr>
              <w:t>2021</w:t>
            </w:r>
          </w:p>
          <w:p w14:paraId="6FB94AD6">
            <w:pPr>
              <w:adjustRightInd w:val="0"/>
              <w:snapToGrid w:val="0"/>
              <w:jc w:val="center"/>
              <w:rPr>
                <w:rFonts w:hint="default" w:ascii="Times New Roman" w:hAnsi="Times New Roman" w:cs="Times New Roman"/>
                <w:szCs w:val="22"/>
                <w:lang w:val="en-US" w:eastAsia="zh-CN"/>
              </w:rPr>
            </w:pPr>
            <w:r>
              <w:rPr>
                <w:rFonts w:hint="eastAsia" w:ascii="Times New Roman" w:hAnsi="Times New Roman" w:cs="Times New Roman"/>
                <w:szCs w:val="22"/>
                <w:lang w:val="en-US" w:eastAsia="zh-CN"/>
              </w:rPr>
              <w:t>FZ/T 01137</w:t>
            </w:r>
            <w:r>
              <w:rPr>
                <w:rFonts w:hint="default" w:ascii="Times New Roman" w:hAnsi="Times New Roman"/>
                <w:color w:val="auto"/>
                <w:szCs w:val="21"/>
                <w:highlight w:val="none"/>
              </w:rPr>
              <w:t>—</w:t>
            </w:r>
            <w:r>
              <w:rPr>
                <w:rFonts w:hint="eastAsia" w:ascii="Times New Roman" w:hAnsi="Times New Roman" w:cs="Times New Roman"/>
                <w:szCs w:val="22"/>
                <w:lang w:val="en-US" w:eastAsia="zh-CN"/>
              </w:rPr>
              <w:t>2016</w:t>
            </w:r>
          </w:p>
        </w:tc>
      </w:tr>
      <w:tr w14:paraId="61A19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71" w:type="dxa"/>
            <w:tcBorders>
              <w:top w:val="single" w:color="auto" w:sz="4" w:space="0"/>
              <w:right w:val="single" w:color="auto" w:sz="4" w:space="0"/>
            </w:tcBorders>
            <w:vAlign w:val="center"/>
          </w:tcPr>
          <w:p w14:paraId="0896F75E">
            <w:pPr>
              <w:widowControl w:val="0"/>
              <w:numPr>
                <w:ilvl w:val="0"/>
                <w:numId w:val="0"/>
              </w:numPr>
              <w:spacing w:line="288" w:lineRule="auto"/>
              <w:jc w:val="center"/>
              <w:rPr>
                <w:rFonts w:hint="default" w:ascii="Times New Roman" w:hAnsi="Times New Roman" w:eastAsia="宋体"/>
                <w:color w:val="auto"/>
                <w:szCs w:val="21"/>
                <w:highlight w:val="none"/>
                <w:lang w:val="en-US" w:eastAsia="zh-CN"/>
              </w:rPr>
            </w:pPr>
            <w:r>
              <w:rPr>
                <w:rFonts w:hint="default" w:ascii="Times New Roman" w:hAnsi="Times New Roman"/>
                <w:color w:val="auto"/>
                <w:szCs w:val="21"/>
                <w:highlight w:val="none"/>
                <w:lang w:val="en-US" w:eastAsia="zh-CN"/>
              </w:rPr>
              <w:t>9</w:t>
            </w:r>
          </w:p>
        </w:tc>
        <w:tc>
          <w:tcPr>
            <w:tcW w:w="4575" w:type="dxa"/>
            <w:tcBorders>
              <w:top w:val="single" w:color="auto" w:sz="4" w:space="0"/>
              <w:left w:val="single" w:color="auto" w:sz="4" w:space="0"/>
              <w:right w:val="single" w:color="auto" w:sz="4" w:space="0"/>
            </w:tcBorders>
            <w:vAlign w:val="center"/>
          </w:tcPr>
          <w:p w14:paraId="65240175">
            <w:pPr>
              <w:adjustRightInd w:val="0"/>
              <w:snapToGrid w:val="0"/>
              <w:jc w:val="center"/>
              <w:rPr>
                <w:rFonts w:hint="eastAsia" w:ascii="Times New Roman" w:hAnsi="Times New Roman" w:eastAsia="宋体"/>
                <w:color w:val="auto"/>
                <w:szCs w:val="21"/>
                <w:highlight w:val="none"/>
                <w:lang w:eastAsia="zh-CN"/>
              </w:rPr>
            </w:pPr>
            <w:r>
              <w:rPr>
                <w:rFonts w:hint="eastAsia" w:ascii="Times New Roman" w:hAnsi="Times New Roman"/>
                <w:szCs w:val="22"/>
                <w:lang w:eastAsia="zh-CN"/>
              </w:rPr>
              <w:t>纵、横向断裂强力</w:t>
            </w:r>
          </w:p>
        </w:tc>
        <w:tc>
          <w:tcPr>
            <w:tcW w:w="2544" w:type="dxa"/>
            <w:tcBorders>
              <w:top w:val="single" w:color="auto" w:sz="4" w:space="0"/>
              <w:left w:val="single" w:color="auto" w:sz="4" w:space="0"/>
            </w:tcBorders>
            <w:vAlign w:val="center"/>
          </w:tcPr>
          <w:p w14:paraId="4685DCA6">
            <w:pPr>
              <w:adjustRightInd w:val="0"/>
              <w:snapToGrid w:val="0"/>
              <w:jc w:val="center"/>
              <w:rPr>
                <w:rFonts w:hint="default" w:ascii="Times New Roman" w:hAnsi="Times New Roman" w:eastAsia="宋体"/>
                <w:color w:val="auto"/>
                <w:szCs w:val="21"/>
                <w:highlight w:val="none"/>
                <w:lang w:val="en-US" w:eastAsia="zh-CN"/>
              </w:rPr>
            </w:pPr>
            <w:r>
              <w:rPr>
                <w:rFonts w:hint="default" w:ascii="Times New Roman" w:hAnsi="Times New Roman" w:cs="Times New Roman"/>
                <w:szCs w:val="22"/>
              </w:rPr>
              <w:t xml:space="preserve">GB/T </w:t>
            </w:r>
            <w:r>
              <w:rPr>
                <w:rFonts w:hint="eastAsia" w:ascii="Times New Roman" w:hAnsi="Times New Roman" w:cs="Times New Roman"/>
                <w:szCs w:val="22"/>
                <w:lang w:val="en-US" w:eastAsia="zh-CN"/>
              </w:rPr>
              <w:t>24218.3</w:t>
            </w:r>
            <w:r>
              <w:rPr>
                <w:rFonts w:hint="default" w:ascii="Times New Roman" w:hAnsi="Times New Roman"/>
                <w:color w:val="auto"/>
                <w:szCs w:val="21"/>
                <w:highlight w:val="none"/>
              </w:rPr>
              <w:t>—</w:t>
            </w:r>
            <w:r>
              <w:rPr>
                <w:rFonts w:hint="eastAsia" w:ascii="Times New Roman" w:hAnsi="Times New Roman" w:cs="Times New Roman"/>
                <w:szCs w:val="22"/>
                <w:lang w:val="en-US" w:eastAsia="zh-CN"/>
              </w:rPr>
              <w:t>2010</w:t>
            </w:r>
          </w:p>
        </w:tc>
      </w:tr>
    </w:tbl>
    <w:p w14:paraId="184223F5">
      <w:pPr>
        <w:adjustRightInd w:val="0"/>
        <w:snapToGrid w:val="0"/>
        <w:spacing w:line="440" w:lineRule="exact"/>
        <w:ind w:firstLine="420" w:firstLineChars="200"/>
        <w:rPr>
          <w:rFonts w:hint="default" w:ascii="Times New Roman" w:hAnsi="Times New Roman"/>
          <w:color w:val="000000"/>
          <w:szCs w:val="21"/>
        </w:rPr>
      </w:pPr>
      <w:r>
        <w:rPr>
          <w:rFonts w:hint="default" w:ascii="Times New Roman" w:hAnsi="Times New Roman"/>
          <w:color w:val="000000"/>
          <w:szCs w:val="21"/>
        </w:rPr>
        <w:t>执行企业标准、团体标准、地方标准的产品，检验项目参照上述内容执行。</w:t>
      </w:r>
    </w:p>
    <w:p w14:paraId="2E00E04E">
      <w:pPr>
        <w:snapToGrid w:val="0"/>
        <w:spacing w:line="440" w:lineRule="exact"/>
        <w:ind w:firstLine="417" w:firstLineChars="199"/>
        <w:contextualSpacing w:val="0"/>
        <w:rPr>
          <w:rFonts w:hint="default" w:ascii="Times New Roman" w:hAnsi="Times New Roman"/>
          <w:color w:val="000000"/>
          <w:szCs w:val="21"/>
        </w:rPr>
      </w:pPr>
      <w:r>
        <w:rPr>
          <w:rFonts w:hint="default" w:ascii="Times New Roman" w:hAnsi="Times New Roman"/>
          <w:color w:val="000000"/>
          <w:szCs w:val="21"/>
        </w:rPr>
        <w:t>凡是注日期的文件，其随后所有的修改单（不包括勘误的内容）或修订版不适用于本细则。凡是不注日期的文件，其最新版本适用于本细则。</w:t>
      </w:r>
    </w:p>
    <w:p w14:paraId="5EFCC4F1">
      <w:pPr>
        <w:snapToGrid w:val="0"/>
        <w:spacing w:line="440" w:lineRule="exact"/>
        <w:ind w:firstLine="417" w:firstLineChars="199"/>
        <w:contextualSpacing w:val="0"/>
        <w:rPr>
          <w:rFonts w:hint="default" w:ascii="Times New Roman" w:hAnsi="Times New Roman"/>
          <w:color w:val="000000"/>
          <w:szCs w:val="21"/>
          <w:highlight w:val="yellow"/>
        </w:rPr>
      </w:pPr>
    </w:p>
    <w:p w14:paraId="09C061D7">
      <w:pPr>
        <w:snapToGrid w:val="0"/>
        <w:spacing w:line="440" w:lineRule="exact"/>
        <w:rPr>
          <w:rFonts w:hint="default" w:ascii="Times New Roman" w:hAnsi="Times New Roman" w:eastAsia="黑体"/>
          <w:color w:val="000000"/>
          <w:szCs w:val="21"/>
        </w:rPr>
      </w:pPr>
      <w:r>
        <w:rPr>
          <w:rFonts w:hint="default" w:ascii="Times New Roman" w:hAnsi="Times New Roman" w:eastAsia="黑体"/>
          <w:color w:val="000000"/>
          <w:szCs w:val="21"/>
        </w:rPr>
        <w:t>3 判定原则</w:t>
      </w:r>
    </w:p>
    <w:p w14:paraId="7E50A704">
      <w:pPr>
        <w:spacing w:line="440" w:lineRule="exact"/>
        <w:rPr>
          <w:rFonts w:ascii="Times New Roman" w:hAnsi="Times New Roman"/>
          <w:color w:val="000000"/>
          <w:szCs w:val="21"/>
          <w:highlight w:val="none"/>
        </w:rPr>
      </w:pPr>
      <w:r>
        <w:rPr>
          <w:rFonts w:hint="default" w:ascii="Times New Roman" w:hAnsi="Times New Roman"/>
          <w:color w:val="000000"/>
          <w:szCs w:val="21"/>
          <w:highlight w:val="none"/>
        </w:rPr>
        <w:t>3.1依据标准</w:t>
      </w:r>
    </w:p>
    <w:p w14:paraId="10DEE7A0">
      <w:pPr>
        <w:keepNext w:val="0"/>
        <w:keepLines w:val="0"/>
        <w:widowControl/>
        <w:suppressLineNumbers w:val="0"/>
        <w:spacing w:line="440" w:lineRule="exact"/>
        <w:ind w:firstLine="420" w:firstLineChars="200"/>
        <w:jc w:val="left"/>
        <w:rPr>
          <w:rFonts w:hint="default" w:ascii="Times New Roman" w:hAnsi="Times New Roman" w:eastAsia="宋体" w:cs="Times New Roman"/>
          <w:color w:val="000000"/>
          <w:kern w:val="2"/>
          <w:sz w:val="21"/>
          <w:szCs w:val="21"/>
          <w:highlight w:val="none"/>
          <w:lang w:val="en-US" w:eastAsia="zh-CN" w:bidi="ar"/>
        </w:rPr>
      </w:pPr>
      <w:bookmarkStart w:id="1" w:name="_Hlk77751671"/>
      <w:r>
        <w:rPr>
          <w:rFonts w:hint="default" w:ascii="Times New Roman" w:hAnsi="Times New Roman" w:eastAsia="宋体" w:cs="Times New Roman"/>
          <w:color w:val="000000"/>
          <w:kern w:val="2"/>
          <w:sz w:val="21"/>
          <w:szCs w:val="21"/>
          <w:highlight w:val="none"/>
          <w:lang w:val="en-US" w:eastAsia="zh-CN" w:bidi="ar"/>
        </w:rPr>
        <w:t>GB 15979</w:t>
      </w:r>
      <w:r>
        <w:rPr>
          <w:rFonts w:ascii="Times New Roman" w:hAnsi="Times New Roman"/>
          <w:szCs w:val="21"/>
        </w:rPr>
        <w:t>—</w:t>
      </w:r>
      <w:r>
        <w:rPr>
          <w:rFonts w:hint="default" w:ascii="Times New Roman" w:hAnsi="Times New Roman" w:eastAsia="宋体" w:cs="Times New Roman"/>
          <w:color w:val="000000"/>
          <w:kern w:val="2"/>
          <w:sz w:val="21"/>
          <w:szCs w:val="21"/>
          <w:highlight w:val="none"/>
          <w:lang w:val="en-US" w:eastAsia="zh-CN" w:bidi="ar"/>
        </w:rPr>
        <w:t>20</w:t>
      </w:r>
      <w:r>
        <w:rPr>
          <w:rFonts w:hint="default" w:ascii="Times New Roman" w:hAnsi="Times New Roman" w:cs="Times New Roman"/>
          <w:color w:val="000000"/>
          <w:kern w:val="2"/>
          <w:sz w:val="21"/>
          <w:szCs w:val="21"/>
          <w:highlight w:val="none"/>
          <w:lang w:val="en-US" w:eastAsia="zh-CN" w:bidi="ar"/>
        </w:rPr>
        <w:t xml:space="preserve">02 </w:t>
      </w:r>
      <w:r>
        <w:rPr>
          <w:rFonts w:hint="default" w:ascii="Times New Roman" w:hAnsi="Times New Roman" w:eastAsia="宋体" w:cs="Times New Roman"/>
          <w:color w:val="000000"/>
          <w:kern w:val="2"/>
          <w:sz w:val="21"/>
          <w:szCs w:val="21"/>
          <w:highlight w:val="none"/>
          <w:lang w:val="en-US" w:eastAsia="zh-CN" w:bidi="ar"/>
        </w:rPr>
        <w:t>一次性使用卫生用品卫生标准</w:t>
      </w:r>
    </w:p>
    <w:p w14:paraId="2BC1AB4E">
      <w:pPr>
        <w:spacing w:line="440" w:lineRule="exact"/>
        <w:ind w:firstLine="420" w:firstLineChars="200"/>
        <w:rPr>
          <w:rFonts w:ascii="Times New Roman" w:hAnsi="Times New Roman"/>
          <w:color w:val="000000"/>
          <w:szCs w:val="21"/>
          <w:highlight w:val="none"/>
        </w:rPr>
      </w:pPr>
      <w:r>
        <w:rPr>
          <w:rFonts w:hint="default" w:ascii="Times New Roman" w:hAnsi="Times New Roman"/>
          <w:color w:val="000000"/>
          <w:szCs w:val="21"/>
          <w:highlight w:val="none"/>
        </w:rPr>
        <w:t>GB/T 29862</w:t>
      </w:r>
      <w:r>
        <w:rPr>
          <w:rFonts w:ascii="Times New Roman" w:hAnsi="Times New Roman"/>
          <w:szCs w:val="21"/>
        </w:rPr>
        <w:t>—</w:t>
      </w:r>
      <w:r>
        <w:rPr>
          <w:rFonts w:hint="default" w:ascii="Times New Roman" w:hAnsi="Times New Roman"/>
          <w:color w:val="000000"/>
          <w:szCs w:val="21"/>
          <w:highlight w:val="none"/>
        </w:rPr>
        <w:t>2013 纺织品纤维含量的标识</w:t>
      </w:r>
    </w:p>
    <w:p w14:paraId="25D4197E">
      <w:pPr>
        <w:keepNext w:val="0"/>
        <w:keepLines w:val="0"/>
        <w:widowControl/>
        <w:suppressLineNumbers w:val="0"/>
        <w:tabs>
          <w:tab w:val="left" w:pos="2127"/>
          <w:tab w:val="left" w:pos="2268"/>
          <w:tab w:val="left" w:pos="2410"/>
        </w:tabs>
        <w:adjustRightInd w:val="0"/>
        <w:snapToGrid w:val="0"/>
        <w:spacing w:line="440" w:lineRule="exact"/>
        <w:ind w:firstLine="420" w:firstLineChars="200"/>
        <w:jc w:val="left"/>
        <w:rPr>
          <w:rFonts w:hint="eastAsia" w:ascii="Times New Roman" w:hAnsi="Times New Roman" w:eastAsia="宋体" w:cs="Times New Roman"/>
          <w:color w:val="000000"/>
          <w:kern w:val="2"/>
          <w:sz w:val="21"/>
          <w:szCs w:val="21"/>
          <w:highlight w:val="none"/>
          <w:lang w:val="en-US" w:eastAsia="zh-CN" w:bidi="ar"/>
        </w:rPr>
      </w:pPr>
      <w:r>
        <w:rPr>
          <w:rFonts w:ascii="Times New Roman" w:hAnsi="Times New Roman"/>
          <w:szCs w:val="21"/>
        </w:rPr>
        <w:t xml:space="preserve">GB/T </w:t>
      </w:r>
      <w:r>
        <w:rPr>
          <w:rFonts w:hint="eastAsia" w:ascii="Times New Roman" w:hAnsi="Times New Roman"/>
          <w:szCs w:val="21"/>
          <w:lang w:val="en-US" w:eastAsia="zh-CN"/>
        </w:rPr>
        <w:t>40276</w:t>
      </w:r>
      <w:r>
        <w:rPr>
          <w:rFonts w:ascii="Times New Roman" w:hAnsi="Times New Roman"/>
          <w:szCs w:val="21"/>
        </w:rPr>
        <w:t>—</w:t>
      </w:r>
      <w:r>
        <w:rPr>
          <w:rFonts w:hint="eastAsia" w:ascii="Times New Roman" w:hAnsi="Times New Roman"/>
          <w:szCs w:val="21"/>
          <w:lang w:val="en-US" w:eastAsia="zh-CN"/>
        </w:rPr>
        <w:t>2021</w:t>
      </w:r>
      <w:r>
        <w:rPr>
          <w:rFonts w:ascii="Times New Roman" w:hAnsi="Times New Roman"/>
          <w:szCs w:val="21"/>
        </w:rPr>
        <w:t xml:space="preserve"> </w:t>
      </w:r>
      <w:r>
        <w:rPr>
          <w:rFonts w:hint="eastAsia" w:ascii="Times New Roman" w:hAnsi="Times New Roman"/>
          <w:szCs w:val="21"/>
          <w:lang w:eastAsia="zh-CN"/>
        </w:rPr>
        <w:t>柔巾</w:t>
      </w:r>
    </w:p>
    <w:p w14:paraId="2F5DF64E">
      <w:pPr>
        <w:spacing w:line="440" w:lineRule="exact"/>
        <w:ind w:firstLine="420" w:firstLineChars="200"/>
        <w:rPr>
          <w:rFonts w:ascii="Times New Roman" w:hAnsi="Times New Roman"/>
          <w:color w:val="000000"/>
          <w:szCs w:val="21"/>
          <w:highlight w:val="none"/>
        </w:rPr>
      </w:pPr>
      <w:r>
        <w:rPr>
          <w:rFonts w:hint="default" w:ascii="Times New Roman" w:hAnsi="Times New Roman"/>
          <w:color w:val="000000"/>
          <w:szCs w:val="21"/>
          <w:highlight w:val="none"/>
        </w:rPr>
        <w:t>现行有效的企业标准、团体标准、地方标准及产品明示质量要求</w:t>
      </w:r>
      <w:bookmarkEnd w:id="1"/>
    </w:p>
    <w:p w14:paraId="09757429">
      <w:pPr>
        <w:spacing w:line="440" w:lineRule="exact"/>
        <w:outlineLvl w:val="0"/>
        <w:rPr>
          <w:rFonts w:ascii="Times New Roman" w:hAnsi="Times New Roman"/>
          <w:color w:val="000000"/>
          <w:szCs w:val="21"/>
          <w:highlight w:val="none"/>
        </w:rPr>
      </w:pPr>
      <w:r>
        <w:rPr>
          <w:rFonts w:hint="default" w:ascii="Times New Roman" w:hAnsi="Times New Roman"/>
          <w:color w:val="000000"/>
          <w:szCs w:val="21"/>
          <w:highlight w:val="none"/>
        </w:rPr>
        <w:t>3.2判定原则</w:t>
      </w:r>
    </w:p>
    <w:p w14:paraId="3880EF02">
      <w:pPr>
        <w:snapToGrid w:val="0"/>
        <w:spacing w:line="440" w:lineRule="exact"/>
        <w:ind w:firstLine="420" w:firstLineChars="200"/>
        <w:rPr>
          <w:rFonts w:hint="default" w:ascii="Times New Roman" w:hAnsi="Times New Roman"/>
          <w:color w:val="000000"/>
          <w:szCs w:val="21"/>
        </w:rPr>
      </w:pPr>
      <w:r>
        <w:rPr>
          <w:rFonts w:hint="default" w:ascii="Times New Roman" w:hAnsi="Times New Roman"/>
          <w:color w:val="000000"/>
          <w:szCs w:val="21"/>
        </w:rPr>
        <w:t>经检验，检验项目全部合格，判定为被抽查产品所检项目未发现不合格；检验项目中任一项或一项以上不合格，判定为被抽查产品不合格。</w:t>
      </w:r>
    </w:p>
    <w:p w14:paraId="004421EA">
      <w:pPr>
        <w:snapToGrid w:val="0"/>
        <w:spacing w:line="440" w:lineRule="exact"/>
        <w:ind w:firstLine="417" w:firstLineChars="199"/>
        <w:rPr>
          <w:rFonts w:ascii="Times New Roman" w:hAnsi="Times New Roman"/>
          <w:color w:val="000000"/>
          <w:szCs w:val="21"/>
        </w:rPr>
      </w:pPr>
      <w:r>
        <w:rPr>
          <w:rFonts w:hint="default" w:ascii="Times New Roman" w:hAnsi="Times New Roman"/>
          <w:color w:val="000000"/>
          <w:szCs w:val="21"/>
        </w:rPr>
        <w:t>若被检产品明示的质量要求高于本细则中检验项目依据的标准要求时，应按被检产品明示的质量要求判定。</w:t>
      </w:r>
    </w:p>
    <w:p w14:paraId="7ED4F98B">
      <w:pPr>
        <w:snapToGrid w:val="0"/>
        <w:spacing w:line="440" w:lineRule="exact"/>
        <w:ind w:firstLine="417" w:firstLineChars="199"/>
        <w:rPr>
          <w:rFonts w:ascii="Times New Roman" w:hAnsi="Times New Roman"/>
          <w:color w:val="000000"/>
          <w:szCs w:val="21"/>
        </w:rPr>
      </w:pPr>
      <w:r>
        <w:rPr>
          <w:rFonts w:hint="default" w:ascii="Times New Roman" w:hAnsi="Times New Roman"/>
          <w:color w:val="000000"/>
          <w:szCs w:val="21"/>
        </w:rPr>
        <w:t>若被检产品明示的质量要求低于本细则中检验项目依据的强制性标准要求时，应按照强制性标准要求判定。</w:t>
      </w:r>
    </w:p>
    <w:p w14:paraId="77661EE1">
      <w:pPr>
        <w:snapToGrid w:val="0"/>
        <w:spacing w:line="440" w:lineRule="exact"/>
        <w:ind w:firstLine="417" w:firstLineChars="199"/>
        <w:rPr>
          <w:rFonts w:ascii="Times New Roman" w:hAnsi="Times New Roman"/>
          <w:color w:val="000000"/>
          <w:szCs w:val="21"/>
        </w:rPr>
      </w:pPr>
      <w:r>
        <w:rPr>
          <w:rFonts w:hint="default" w:ascii="Times New Roman" w:hAnsi="Times New Roman"/>
          <w:color w:val="000000"/>
          <w:szCs w:val="21"/>
        </w:rPr>
        <w:t>若被检产品明示的质量要求低于或包含本细则中检验项目依据的推荐性标准要求时，应以被检产品明示的质量要求判定。</w:t>
      </w:r>
    </w:p>
    <w:p w14:paraId="490BBAFE">
      <w:pPr>
        <w:snapToGrid w:val="0"/>
        <w:spacing w:line="440" w:lineRule="exact"/>
        <w:ind w:firstLine="417" w:firstLineChars="199"/>
        <w:rPr>
          <w:rFonts w:ascii="Times New Roman" w:hAnsi="Times New Roman"/>
          <w:color w:val="000000"/>
          <w:szCs w:val="21"/>
        </w:rPr>
      </w:pPr>
      <w:r>
        <w:rPr>
          <w:rFonts w:hint="default" w:ascii="Times New Roman" w:hAnsi="Times New Roman"/>
          <w:color w:val="000000"/>
          <w:szCs w:val="21"/>
        </w:rPr>
        <w:t>若被检产品明示的质量要求缺少本细则中检验项目依据的强制性标准要求时，应按照强制性标准要求判定。</w:t>
      </w:r>
    </w:p>
    <w:p w14:paraId="6A7592CF">
      <w:pPr>
        <w:spacing w:line="440" w:lineRule="exact"/>
        <w:ind w:firstLine="417" w:firstLineChars="199"/>
        <w:rPr>
          <w:rFonts w:ascii="Times New Roman" w:hAnsi="Times New Roman"/>
          <w:color w:val="000000"/>
          <w:highlight w:val="none"/>
        </w:rPr>
      </w:pPr>
      <w:r>
        <w:rPr>
          <w:rFonts w:hint="default" w:ascii="Times New Roman" w:hAnsi="Times New Roman"/>
          <w:color w:val="000000"/>
          <w:szCs w:val="21"/>
        </w:rPr>
        <w:t>若被检产品明示的质量要求缺少本细则中检验项目依据的推荐性标准要求时，该项目不参与判定。</w:t>
      </w:r>
    </w:p>
    <w:p w14:paraId="40F038F9">
      <w:pPr>
        <w:rPr>
          <w:rFonts w:ascii="Times New Roman" w:hAnsi="Times New Roman"/>
        </w:rPr>
      </w:pPr>
    </w:p>
    <w:p w14:paraId="09D46BB0">
      <w:pPr>
        <w:rPr>
          <w:rFonts w:ascii="Times New Roman" w:hAnsi="Times New Roman"/>
        </w:rPr>
      </w:pPr>
    </w:p>
    <w:sectPr>
      <w:headerReference r:id="rId3" w:type="default"/>
      <w:footerReference r:id="rId4" w:type="default"/>
      <w:footerReference r:id="rId5" w:type="even"/>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EF951">
    <w:pPr>
      <w:pStyle w:val="6"/>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2B84D952">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BE666">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2</w:t>
    </w:r>
    <w:r>
      <w:fldChar w:fldCharType="end"/>
    </w:r>
  </w:p>
  <w:p w14:paraId="12C2B672">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51114">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ED8951"/>
    <w:multiLevelType w:val="singleLevel"/>
    <w:tmpl w:val="C8ED8951"/>
    <w:lvl w:ilvl="0" w:tentative="0">
      <w:start w:val="1"/>
      <w:numFmt w:val="decimal"/>
      <w:lvlText w:val="%1"/>
      <w:lvlJc w:val="left"/>
      <w:pPr>
        <w:tabs>
          <w:tab w:val="left" w:pos="420"/>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4MGNiNjEwYjAyOTQ5ZWUwYjZmMTI4ZGVjZTVkZjQifQ=="/>
  </w:docVars>
  <w:rsids>
    <w:rsidRoot w:val="00172A27"/>
    <w:rsid w:val="00002F21"/>
    <w:rsid w:val="000207F2"/>
    <w:rsid w:val="00025F66"/>
    <w:rsid w:val="000333A1"/>
    <w:rsid w:val="00051A44"/>
    <w:rsid w:val="0007099E"/>
    <w:rsid w:val="00072225"/>
    <w:rsid w:val="00072333"/>
    <w:rsid w:val="000730F0"/>
    <w:rsid w:val="00081CBD"/>
    <w:rsid w:val="000976DE"/>
    <w:rsid w:val="000A0FAB"/>
    <w:rsid w:val="000A41A7"/>
    <w:rsid w:val="000A4BAF"/>
    <w:rsid w:val="000A54AC"/>
    <w:rsid w:val="000C4D36"/>
    <w:rsid w:val="000D3222"/>
    <w:rsid w:val="000E2EFB"/>
    <w:rsid w:val="000E4210"/>
    <w:rsid w:val="000F5A7C"/>
    <w:rsid w:val="00101F12"/>
    <w:rsid w:val="00102D01"/>
    <w:rsid w:val="00107959"/>
    <w:rsid w:val="001328F3"/>
    <w:rsid w:val="00141046"/>
    <w:rsid w:val="00141300"/>
    <w:rsid w:val="001621E5"/>
    <w:rsid w:val="00162FBB"/>
    <w:rsid w:val="00172A27"/>
    <w:rsid w:val="001809DD"/>
    <w:rsid w:val="00191A03"/>
    <w:rsid w:val="00197A62"/>
    <w:rsid w:val="001C59D9"/>
    <w:rsid w:val="001D696C"/>
    <w:rsid w:val="001E062C"/>
    <w:rsid w:val="001F0120"/>
    <w:rsid w:val="001F2D82"/>
    <w:rsid w:val="001F6661"/>
    <w:rsid w:val="002023D8"/>
    <w:rsid w:val="002156D7"/>
    <w:rsid w:val="00221670"/>
    <w:rsid w:val="002261B3"/>
    <w:rsid w:val="00232530"/>
    <w:rsid w:val="00242AE8"/>
    <w:rsid w:val="00252BDD"/>
    <w:rsid w:val="00253318"/>
    <w:rsid w:val="00253624"/>
    <w:rsid w:val="00264496"/>
    <w:rsid w:val="00272789"/>
    <w:rsid w:val="0029256A"/>
    <w:rsid w:val="002B5839"/>
    <w:rsid w:val="002C2BEC"/>
    <w:rsid w:val="002C75D6"/>
    <w:rsid w:val="002D1038"/>
    <w:rsid w:val="002D3E59"/>
    <w:rsid w:val="002D7F8A"/>
    <w:rsid w:val="002E0D1D"/>
    <w:rsid w:val="002F3512"/>
    <w:rsid w:val="002F7D66"/>
    <w:rsid w:val="00312781"/>
    <w:rsid w:val="003203A3"/>
    <w:rsid w:val="00322DE9"/>
    <w:rsid w:val="00327721"/>
    <w:rsid w:val="00333425"/>
    <w:rsid w:val="00333B39"/>
    <w:rsid w:val="00336343"/>
    <w:rsid w:val="003452FA"/>
    <w:rsid w:val="003739CF"/>
    <w:rsid w:val="00392DB3"/>
    <w:rsid w:val="003A0765"/>
    <w:rsid w:val="003A2D0B"/>
    <w:rsid w:val="003A708D"/>
    <w:rsid w:val="003B1A1C"/>
    <w:rsid w:val="003B5A20"/>
    <w:rsid w:val="003B68D4"/>
    <w:rsid w:val="003C388C"/>
    <w:rsid w:val="003D27E5"/>
    <w:rsid w:val="003D76D5"/>
    <w:rsid w:val="003E0479"/>
    <w:rsid w:val="003E53F3"/>
    <w:rsid w:val="003E5D69"/>
    <w:rsid w:val="003E61BF"/>
    <w:rsid w:val="003F661D"/>
    <w:rsid w:val="004032C9"/>
    <w:rsid w:val="00404313"/>
    <w:rsid w:val="0041131F"/>
    <w:rsid w:val="00414B68"/>
    <w:rsid w:val="004322B9"/>
    <w:rsid w:val="00433732"/>
    <w:rsid w:val="00445B99"/>
    <w:rsid w:val="00445E86"/>
    <w:rsid w:val="004552FF"/>
    <w:rsid w:val="00461158"/>
    <w:rsid w:val="00461F91"/>
    <w:rsid w:val="004733DD"/>
    <w:rsid w:val="00474E04"/>
    <w:rsid w:val="00483A8A"/>
    <w:rsid w:val="00485EFC"/>
    <w:rsid w:val="004918E5"/>
    <w:rsid w:val="00496EDE"/>
    <w:rsid w:val="004A7EA6"/>
    <w:rsid w:val="004B14BE"/>
    <w:rsid w:val="004B2E83"/>
    <w:rsid w:val="004B7F15"/>
    <w:rsid w:val="004C5488"/>
    <w:rsid w:val="004C6F06"/>
    <w:rsid w:val="004D0C5A"/>
    <w:rsid w:val="004E1396"/>
    <w:rsid w:val="004F74BA"/>
    <w:rsid w:val="004F7D38"/>
    <w:rsid w:val="00500EC9"/>
    <w:rsid w:val="0051079E"/>
    <w:rsid w:val="0051585B"/>
    <w:rsid w:val="00522C80"/>
    <w:rsid w:val="00561895"/>
    <w:rsid w:val="00563EBC"/>
    <w:rsid w:val="00586C3F"/>
    <w:rsid w:val="005B6A73"/>
    <w:rsid w:val="005C2A4C"/>
    <w:rsid w:val="005C75C5"/>
    <w:rsid w:val="005D12A0"/>
    <w:rsid w:val="005D3A4C"/>
    <w:rsid w:val="005D46D0"/>
    <w:rsid w:val="005D4B51"/>
    <w:rsid w:val="005F2C3F"/>
    <w:rsid w:val="00616361"/>
    <w:rsid w:val="006306ED"/>
    <w:rsid w:val="00633DC0"/>
    <w:rsid w:val="0063508E"/>
    <w:rsid w:val="006459CD"/>
    <w:rsid w:val="006469D1"/>
    <w:rsid w:val="00651276"/>
    <w:rsid w:val="00667BB9"/>
    <w:rsid w:val="00674A04"/>
    <w:rsid w:val="0067594B"/>
    <w:rsid w:val="0068601A"/>
    <w:rsid w:val="0069290C"/>
    <w:rsid w:val="006A4374"/>
    <w:rsid w:val="006C7A26"/>
    <w:rsid w:val="006D31C0"/>
    <w:rsid w:val="006D7111"/>
    <w:rsid w:val="006D7FF6"/>
    <w:rsid w:val="006E1171"/>
    <w:rsid w:val="006F069F"/>
    <w:rsid w:val="006F0971"/>
    <w:rsid w:val="006F5D50"/>
    <w:rsid w:val="00702DFA"/>
    <w:rsid w:val="007078EC"/>
    <w:rsid w:val="00714AA5"/>
    <w:rsid w:val="00715564"/>
    <w:rsid w:val="0072334C"/>
    <w:rsid w:val="00726502"/>
    <w:rsid w:val="00782957"/>
    <w:rsid w:val="00784993"/>
    <w:rsid w:val="007A084F"/>
    <w:rsid w:val="007A21F2"/>
    <w:rsid w:val="007B1D6E"/>
    <w:rsid w:val="007B54AC"/>
    <w:rsid w:val="007B54C7"/>
    <w:rsid w:val="007D35E2"/>
    <w:rsid w:val="00803933"/>
    <w:rsid w:val="00813B83"/>
    <w:rsid w:val="0083019C"/>
    <w:rsid w:val="00833479"/>
    <w:rsid w:val="00842C96"/>
    <w:rsid w:val="00844327"/>
    <w:rsid w:val="00854F81"/>
    <w:rsid w:val="008705F4"/>
    <w:rsid w:val="008873A0"/>
    <w:rsid w:val="008932D3"/>
    <w:rsid w:val="00895BEA"/>
    <w:rsid w:val="008A3497"/>
    <w:rsid w:val="008B0266"/>
    <w:rsid w:val="008B1872"/>
    <w:rsid w:val="008D5B57"/>
    <w:rsid w:val="008E392C"/>
    <w:rsid w:val="008F1C83"/>
    <w:rsid w:val="00903E8C"/>
    <w:rsid w:val="009059E4"/>
    <w:rsid w:val="00910B1B"/>
    <w:rsid w:val="00911823"/>
    <w:rsid w:val="00913F2A"/>
    <w:rsid w:val="00917A54"/>
    <w:rsid w:val="00922A24"/>
    <w:rsid w:val="0093220C"/>
    <w:rsid w:val="00944CA8"/>
    <w:rsid w:val="009511D8"/>
    <w:rsid w:val="00960983"/>
    <w:rsid w:val="00962935"/>
    <w:rsid w:val="009670DA"/>
    <w:rsid w:val="00971143"/>
    <w:rsid w:val="0097307A"/>
    <w:rsid w:val="009756BB"/>
    <w:rsid w:val="00983059"/>
    <w:rsid w:val="009905B0"/>
    <w:rsid w:val="009A5000"/>
    <w:rsid w:val="00A0085E"/>
    <w:rsid w:val="00A03D86"/>
    <w:rsid w:val="00A150AD"/>
    <w:rsid w:val="00A15604"/>
    <w:rsid w:val="00A172BF"/>
    <w:rsid w:val="00A26D12"/>
    <w:rsid w:val="00A43553"/>
    <w:rsid w:val="00A9138D"/>
    <w:rsid w:val="00AC01CE"/>
    <w:rsid w:val="00AC5391"/>
    <w:rsid w:val="00AC7F6A"/>
    <w:rsid w:val="00AD46C3"/>
    <w:rsid w:val="00AE1FEB"/>
    <w:rsid w:val="00AE36CF"/>
    <w:rsid w:val="00AF0B23"/>
    <w:rsid w:val="00AF58F3"/>
    <w:rsid w:val="00AF6D95"/>
    <w:rsid w:val="00B01659"/>
    <w:rsid w:val="00B03C24"/>
    <w:rsid w:val="00B11FBD"/>
    <w:rsid w:val="00B124EB"/>
    <w:rsid w:val="00B15549"/>
    <w:rsid w:val="00B20C01"/>
    <w:rsid w:val="00B21DE1"/>
    <w:rsid w:val="00B567D9"/>
    <w:rsid w:val="00B715BE"/>
    <w:rsid w:val="00B80C1F"/>
    <w:rsid w:val="00B81E83"/>
    <w:rsid w:val="00B82B57"/>
    <w:rsid w:val="00B968C1"/>
    <w:rsid w:val="00BA76AE"/>
    <w:rsid w:val="00BB3455"/>
    <w:rsid w:val="00BC0AD6"/>
    <w:rsid w:val="00BD2D3B"/>
    <w:rsid w:val="00BD50D9"/>
    <w:rsid w:val="00BD5CCD"/>
    <w:rsid w:val="00BD75AA"/>
    <w:rsid w:val="00BF2B8C"/>
    <w:rsid w:val="00C12A9D"/>
    <w:rsid w:val="00C206F4"/>
    <w:rsid w:val="00C26074"/>
    <w:rsid w:val="00C26431"/>
    <w:rsid w:val="00C35C35"/>
    <w:rsid w:val="00C40522"/>
    <w:rsid w:val="00C644DC"/>
    <w:rsid w:val="00C825C9"/>
    <w:rsid w:val="00C83B0A"/>
    <w:rsid w:val="00CB2C11"/>
    <w:rsid w:val="00CB5523"/>
    <w:rsid w:val="00CD479E"/>
    <w:rsid w:val="00CE1E0C"/>
    <w:rsid w:val="00CE277E"/>
    <w:rsid w:val="00CE4663"/>
    <w:rsid w:val="00CE7B7E"/>
    <w:rsid w:val="00CF0188"/>
    <w:rsid w:val="00CF2542"/>
    <w:rsid w:val="00D03F8C"/>
    <w:rsid w:val="00D0638D"/>
    <w:rsid w:val="00D141FE"/>
    <w:rsid w:val="00D23B91"/>
    <w:rsid w:val="00D44421"/>
    <w:rsid w:val="00D50E25"/>
    <w:rsid w:val="00D51BA3"/>
    <w:rsid w:val="00D5215C"/>
    <w:rsid w:val="00D56867"/>
    <w:rsid w:val="00D66A7D"/>
    <w:rsid w:val="00D6747F"/>
    <w:rsid w:val="00D71DA5"/>
    <w:rsid w:val="00D757B6"/>
    <w:rsid w:val="00D81C68"/>
    <w:rsid w:val="00D83CC7"/>
    <w:rsid w:val="00D84249"/>
    <w:rsid w:val="00D93FE3"/>
    <w:rsid w:val="00DB0572"/>
    <w:rsid w:val="00DB1D7C"/>
    <w:rsid w:val="00DB2498"/>
    <w:rsid w:val="00DC5287"/>
    <w:rsid w:val="00DD3ED8"/>
    <w:rsid w:val="00DE3069"/>
    <w:rsid w:val="00DF12C6"/>
    <w:rsid w:val="00DF34A6"/>
    <w:rsid w:val="00E02A7F"/>
    <w:rsid w:val="00E048B9"/>
    <w:rsid w:val="00E07880"/>
    <w:rsid w:val="00E14FD4"/>
    <w:rsid w:val="00E20873"/>
    <w:rsid w:val="00E20E63"/>
    <w:rsid w:val="00E25F3D"/>
    <w:rsid w:val="00E5217F"/>
    <w:rsid w:val="00E55366"/>
    <w:rsid w:val="00E6268A"/>
    <w:rsid w:val="00E702AE"/>
    <w:rsid w:val="00E82621"/>
    <w:rsid w:val="00E870E4"/>
    <w:rsid w:val="00E9040A"/>
    <w:rsid w:val="00EB0E64"/>
    <w:rsid w:val="00EB5855"/>
    <w:rsid w:val="00ED17F3"/>
    <w:rsid w:val="00ED733A"/>
    <w:rsid w:val="00ED7731"/>
    <w:rsid w:val="00EE1EBD"/>
    <w:rsid w:val="00EF304C"/>
    <w:rsid w:val="00F215D4"/>
    <w:rsid w:val="00F27C74"/>
    <w:rsid w:val="00F569E1"/>
    <w:rsid w:val="00F6031A"/>
    <w:rsid w:val="00F65FFC"/>
    <w:rsid w:val="00F70682"/>
    <w:rsid w:val="00F77C9A"/>
    <w:rsid w:val="00F77E39"/>
    <w:rsid w:val="00F807C8"/>
    <w:rsid w:val="00F809B9"/>
    <w:rsid w:val="00F87E97"/>
    <w:rsid w:val="00F9101F"/>
    <w:rsid w:val="00F95057"/>
    <w:rsid w:val="00FA3974"/>
    <w:rsid w:val="00FA3C73"/>
    <w:rsid w:val="00FB576C"/>
    <w:rsid w:val="00FB6115"/>
    <w:rsid w:val="00FC211A"/>
    <w:rsid w:val="00FD2AA6"/>
    <w:rsid w:val="00FE7E8A"/>
    <w:rsid w:val="00FF0DBB"/>
    <w:rsid w:val="01EF6C4D"/>
    <w:rsid w:val="029052FF"/>
    <w:rsid w:val="033E3981"/>
    <w:rsid w:val="0523112E"/>
    <w:rsid w:val="05694FE8"/>
    <w:rsid w:val="058420D4"/>
    <w:rsid w:val="05F41565"/>
    <w:rsid w:val="063532A4"/>
    <w:rsid w:val="087451E7"/>
    <w:rsid w:val="0B9B02A8"/>
    <w:rsid w:val="0C0D34C1"/>
    <w:rsid w:val="0E593352"/>
    <w:rsid w:val="0F6B359F"/>
    <w:rsid w:val="0FC32E16"/>
    <w:rsid w:val="11B25E26"/>
    <w:rsid w:val="11F62E21"/>
    <w:rsid w:val="128D521B"/>
    <w:rsid w:val="13A00991"/>
    <w:rsid w:val="13CE245D"/>
    <w:rsid w:val="160F7EF6"/>
    <w:rsid w:val="1649502A"/>
    <w:rsid w:val="173E5229"/>
    <w:rsid w:val="187A37A5"/>
    <w:rsid w:val="188056DA"/>
    <w:rsid w:val="189A4E3F"/>
    <w:rsid w:val="18BB11EA"/>
    <w:rsid w:val="18DE057F"/>
    <w:rsid w:val="19517DF8"/>
    <w:rsid w:val="1AA50A05"/>
    <w:rsid w:val="1BA710FC"/>
    <w:rsid w:val="1BD812BE"/>
    <w:rsid w:val="1C496BB4"/>
    <w:rsid w:val="1D0F3847"/>
    <w:rsid w:val="1DEA1774"/>
    <w:rsid w:val="1E320B00"/>
    <w:rsid w:val="1F0331D0"/>
    <w:rsid w:val="204626E6"/>
    <w:rsid w:val="24082954"/>
    <w:rsid w:val="24092201"/>
    <w:rsid w:val="24C519AF"/>
    <w:rsid w:val="25CF4A56"/>
    <w:rsid w:val="2A6D3CC7"/>
    <w:rsid w:val="2BA440A5"/>
    <w:rsid w:val="2D273B50"/>
    <w:rsid w:val="2E9641A3"/>
    <w:rsid w:val="3005243D"/>
    <w:rsid w:val="334C12DB"/>
    <w:rsid w:val="34070794"/>
    <w:rsid w:val="34783789"/>
    <w:rsid w:val="352007D7"/>
    <w:rsid w:val="382A2F88"/>
    <w:rsid w:val="386F5715"/>
    <w:rsid w:val="39134A56"/>
    <w:rsid w:val="3A6F5B93"/>
    <w:rsid w:val="3AC13E86"/>
    <w:rsid w:val="3B4A33FA"/>
    <w:rsid w:val="3CED77C6"/>
    <w:rsid w:val="3D970A33"/>
    <w:rsid w:val="3E7C38C4"/>
    <w:rsid w:val="3F1F210A"/>
    <w:rsid w:val="3FA100C3"/>
    <w:rsid w:val="4017364C"/>
    <w:rsid w:val="40D0560C"/>
    <w:rsid w:val="41BE4D1E"/>
    <w:rsid w:val="434846C3"/>
    <w:rsid w:val="45EF000C"/>
    <w:rsid w:val="48BC677F"/>
    <w:rsid w:val="4949341B"/>
    <w:rsid w:val="49C1352F"/>
    <w:rsid w:val="4A4C6D61"/>
    <w:rsid w:val="4A9A5331"/>
    <w:rsid w:val="4B5D2CD5"/>
    <w:rsid w:val="4F4D221F"/>
    <w:rsid w:val="4F7F76BE"/>
    <w:rsid w:val="4F8B450F"/>
    <w:rsid w:val="50D13D54"/>
    <w:rsid w:val="51145BE4"/>
    <w:rsid w:val="513B18B7"/>
    <w:rsid w:val="51985975"/>
    <w:rsid w:val="51DF28CE"/>
    <w:rsid w:val="51EC0670"/>
    <w:rsid w:val="55E60710"/>
    <w:rsid w:val="56C3344C"/>
    <w:rsid w:val="58777444"/>
    <w:rsid w:val="59BA2DDB"/>
    <w:rsid w:val="5B19615E"/>
    <w:rsid w:val="5BF15902"/>
    <w:rsid w:val="5BF34234"/>
    <w:rsid w:val="5CE80979"/>
    <w:rsid w:val="5D7E65B4"/>
    <w:rsid w:val="5E21225D"/>
    <w:rsid w:val="5EB852BA"/>
    <w:rsid w:val="5FEC48FC"/>
    <w:rsid w:val="62E651C4"/>
    <w:rsid w:val="63A70B3A"/>
    <w:rsid w:val="64896320"/>
    <w:rsid w:val="651E49ED"/>
    <w:rsid w:val="66214CD1"/>
    <w:rsid w:val="690647A8"/>
    <w:rsid w:val="691C5BDB"/>
    <w:rsid w:val="6C300ACE"/>
    <w:rsid w:val="6DA12925"/>
    <w:rsid w:val="710C6E29"/>
    <w:rsid w:val="73401124"/>
    <w:rsid w:val="738A1455"/>
    <w:rsid w:val="78340141"/>
    <w:rsid w:val="78904A8F"/>
    <w:rsid w:val="79B31B5C"/>
    <w:rsid w:val="79D02741"/>
    <w:rsid w:val="7A5404F2"/>
    <w:rsid w:val="7A8E2680"/>
    <w:rsid w:val="7DE231A8"/>
    <w:rsid w:val="7F3F09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annotation text"/>
    <w:basedOn w:val="1"/>
    <w:unhideWhenUsed/>
    <w:qFormat/>
    <w:uiPriority w:val="99"/>
    <w:pPr>
      <w:jc w:val="left"/>
    </w:pPr>
  </w:style>
  <w:style w:type="paragraph" w:styleId="4">
    <w:name w:val="Plain Text"/>
    <w:basedOn w:val="1"/>
    <w:link w:val="17"/>
    <w:qFormat/>
    <w:uiPriority w:val="0"/>
    <w:rPr>
      <w:rFonts w:ascii="宋体" w:hAnsi="Courier New"/>
      <w:szCs w:val="21"/>
    </w:rPr>
  </w:style>
  <w:style w:type="paragraph" w:styleId="5">
    <w:name w:val="Balloon Text"/>
    <w:basedOn w:val="1"/>
    <w:link w:val="13"/>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Indent 3"/>
    <w:basedOn w:val="1"/>
    <w:link w:val="16"/>
    <w:qFormat/>
    <w:uiPriority w:val="0"/>
    <w:pPr>
      <w:snapToGrid w:val="0"/>
      <w:spacing w:line="440" w:lineRule="exact"/>
      <w:ind w:firstLine="420" w:firstLineChars="200"/>
    </w:pPr>
    <w:rPr>
      <w:rFonts w:ascii="宋体" w:hAnsi="宋体"/>
      <w:szCs w:val="21"/>
    </w:rPr>
  </w:style>
  <w:style w:type="paragraph" w:styleId="9">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12">
    <w:name w:val="page number"/>
    <w:basedOn w:val="11"/>
    <w:qFormat/>
    <w:uiPriority w:val="0"/>
  </w:style>
  <w:style w:type="character" w:customStyle="1" w:styleId="13">
    <w:name w:val="批注框文本 Char"/>
    <w:link w:val="5"/>
    <w:semiHidden/>
    <w:qFormat/>
    <w:uiPriority w:val="99"/>
    <w:rPr>
      <w:kern w:val="2"/>
      <w:sz w:val="18"/>
      <w:szCs w:val="18"/>
    </w:rPr>
  </w:style>
  <w:style w:type="character" w:customStyle="1" w:styleId="14">
    <w:name w:val="纯文本 Char1"/>
    <w:qFormat/>
    <w:uiPriority w:val="0"/>
    <w:rPr>
      <w:rFonts w:ascii="宋体" w:hAnsi="Courier New" w:cs="Courier New"/>
      <w:kern w:val="2"/>
      <w:sz w:val="21"/>
      <w:szCs w:val="21"/>
    </w:rPr>
  </w:style>
  <w:style w:type="character" w:customStyle="1" w:styleId="15">
    <w:name w:val="页脚 Char"/>
    <w:link w:val="6"/>
    <w:qFormat/>
    <w:uiPriority w:val="99"/>
    <w:rPr>
      <w:kern w:val="2"/>
      <w:sz w:val="18"/>
      <w:szCs w:val="18"/>
    </w:rPr>
  </w:style>
  <w:style w:type="character" w:customStyle="1" w:styleId="16">
    <w:name w:val="正文文本缩进 3 Char"/>
    <w:link w:val="8"/>
    <w:qFormat/>
    <w:uiPriority w:val="0"/>
    <w:rPr>
      <w:rFonts w:ascii="宋体" w:hAnsi="宋体"/>
      <w:kern w:val="2"/>
      <w:sz w:val="21"/>
      <w:szCs w:val="21"/>
    </w:rPr>
  </w:style>
  <w:style w:type="character" w:customStyle="1" w:styleId="17">
    <w:name w:val="纯文本 Char"/>
    <w:link w:val="4"/>
    <w:qFormat/>
    <w:uiPriority w:val="0"/>
    <w:rPr>
      <w:rFonts w:ascii="宋体" w:hAnsi="Courier New" w:cs="Courier New"/>
      <w:kern w:val="2"/>
      <w:sz w:val="21"/>
      <w:szCs w:val="21"/>
    </w:rPr>
  </w:style>
  <w:style w:type="character" w:customStyle="1" w:styleId="18">
    <w:name w:val="页眉 Char"/>
    <w:link w:val="7"/>
    <w:qFormat/>
    <w:uiPriority w:val="99"/>
    <w:rPr>
      <w:kern w:val="2"/>
      <w:sz w:val="18"/>
      <w:szCs w:val="18"/>
    </w:rPr>
  </w:style>
  <w:style w:type="character" w:customStyle="1" w:styleId="19">
    <w:name w:val="表格 Char"/>
    <w:link w:val="20"/>
    <w:qFormat/>
    <w:uiPriority w:val="0"/>
    <w:rPr>
      <w:rFonts w:ascii="仿宋_GB2312" w:cs="宋体"/>
      <w:color w:val="000000"/>
      <w:sz w:val="21"/>
      <w:szCs w:val="24"/>
    </w:rPr>
  </w:style>
  <w:style w:type="paragraph" w:customStyle="1" w:styleId="20">
    <w:name w:val="表格"/>
    <w:basedOn w:val="1"/>
    <w:link w:val="19"/>
    <w:qFormat/>
    <w:uiPriority w:val="0"/>
    <w:pPr>
      <w:adjustRightInd w:val="0"/>
      <w:snapToGrid w:val="0"/>
      <w:jc w:val="center"/>
    </w:pPr>
    <w:rPr>
      <w:rFonts w:ascii="仿宋_GB2312"/>
      <w:color w:val="000000"/>
      <w:kern w:val="0"/>
    </w:rPr>
  </w:style>
  <w:style w:type="paragraph" w:customStyle="1" w:styleId="21">
    <w:name w:val="正文+宋体"/>
    <w:basedOn w:val="1"/>
    <w:qFormat/>
    <w:uiPriority w:val="99"/>
  </w:style>
  <w:style w:type="paragraph" w:customStyle="1" w:styleId="22">
    <w:name w:val="列出段落1"/>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Legend (Beijing) Limited</Company>
  <Pages>2</Pages>
  <Words>775</Words>
  <Characters>1179</Characters>
  <Lines>21</Lines>
  <Paragraphs>5</Paragraphs>
  <TotalTime>6</TotalTime>
  <ScaleCrop>false</ScaleCrop>
  <LinksUpToDate>false</LinksUpToDate>
  <CharactersWithSpaces>1217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2021-12-27T09:17:00Z</dcterms:created>
  <dc:creator>Legend User</dc:creator>
  <cp:lastModifiedBy>Becky 在路上</cp:lastModifiedBy>
  <cp:lastPrinted>2022-02-14T08:53:00Z</cp:lastPrinted>
  <dcterms:modified xsi:type="dcterms:W3CDTF">2025-03-31T07:50:23Z</dcterms:modified>
  <dc:title>××产品质量监督抽查实施细则</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41D806E917354175B448D78C283DF159</vt:lpwstr>
  </property>
  <property fmtid="{D5CDD505-2E9C-101B-9397-08002B2CF9AE}" pid="4" name="KSOTemplateDocerSaveRecord">
    <vt:lpwstr>eyJoZGlkIjoiN2IxYzdkM2QzODcyY2M5ZTZhMmY5MTY2NTgyMTIxNWUiLCJ1c2VySWQiOiI1MDQ3MjMzMDIifQ==</vt:lpwstr>
  </property>
</Properties>
</file>