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BBBEC0">
      <w:pPr>
        <w:snapToGrid w:val="0"/>
        <w:spacing w:line="360" w:lineRule="auto"/>
        <w:jc w:val="center"/>
        <w:rPr>
          <w:rFonts w:ascii="宋体" w:hAnsi="宋体"/>
          <w:color w:val="000000"/>
          <w:szCs w:val="21"/>
        </w:rPr>
      </w:pPr>
      <w:r>
        <w:rPr>
          <w:rFonts w:hint="eastAsia" w:ascii="方正小标宋简体" w:hAnsi="仿宋" w:eastAsia="方正小标宋简体" w:cs="方正仿宋简体"/>
          <w:color w:val="000000"/>
          <w:sz w:val="32"/>
          <w:szCs w:val="32"/>
        </w:rPr>
        <w:t>重庆市</w:t>
      </w:r>
      <w:r>
        <w:rPr>
          <w:rFonts w:hint="eastAsia" w:ascii="方正小标宋简体" w:hAnsi="仿宋" w:eastAsia="方正小标宋简体" w:cs="方正仿宋简体"/>
          <w:color w:val="000000"/>
          <w:sz w:val="32"/>
          <w:szCs w:val="32"/>
          <w:lang w:val="en-US" w:eastAsia="zh-CN"/>
        </w:rPr>
        <w:t>化学试剂硝酸钡</w:t>
      </w:r>
      <w:r>
        <w:rPr>
          <w:rFonts w:hint="eastAsia" w:ascii="方正小标宋简体" w:hAnsi="仿宋" w:eastAsia="方正小标宋简体" w:cs="方正仿宋简体"/>
          <w:color w:val="000000"/>
          <w:sz w:val="32"/>
          <w:szCs w:val="32"/>
        </w:rPr>
        <w:t>产品质量监督抽查实施细则</w:t>
      </w:r>
      <w:r>
        <w:rPr>
          <w:rFonts w:hint="eastAsia" w:ascii="方正小标宋简体" w:hAnsi="仿宋" w:eastAsia="方正小标宋简体" w:cs="方正仿宋简体"/>
          <w:color w:val="auto"/>
          <w:sz w:val="32"/>
          <w:szCs w:val="32"/>
        </w:rPr>
        <w:t>(202</w:t>
      </w:r>
      <w:r>
        <w:rPr>
          <w:rFonts w:hint="eastAsia" w:ascii="方正小标宋简体" w:hAnsi="仿宋" w:eastAsia="方正小标宋简体" w:cs="方正仿宋简体"/>
          <w:color w:val="auto"/>
          <w:sz w:val="32"/>
          <w:szCs w:val="32"/>
          <w:lang w:val="en-US" w:eastAsia="zh-CN"/>
        </w:rPr>
        <w:t>6</w:t>
      </w:r>
      <w:r>
        <w:rPr>
          <w:rFonts w:hint="eastAsia" w:ascii="方正小标宋简体" w:hAnsi="仿宋" w:eastAsia="方正小标宋简体" w:cs="方正仿宋简体"/>
          <w:color w:val="auto"/>
          <w:sz w:val="32"/>
          <w:szCs w:val="32"/>
        </w:rPr>
        <w:t>年</w:t>
      </w:r>
      <w:r>
        <w:rPr>
          <w:rFonts w:hint="eastAsia" w:ascii="方正小标宋简体" w:hAnsi="仿宋" w:eastAsia="方正小标宋简体" w:cs="方正仿宋简体"/>
          <w:color w:val="auto"/>
          <w:sz w:val="32"/>
          <w:szCs w:val="32"/>
          <w:lang w:val="en-US" w:eastAsia="zh-CN"/>
        </w:rPr>
        <w:t>版</w:t>
      </w:r>
      <w:r>
        <w:rPr>
          <w:rFonts w:hint="eastAsia" w:ascii="方正小标宋简体" w:hAnsi="仿宋" w:eastAsia="方正小标宋简体" w:cs="方正仿宋简体"/>
          <w:color w:val="auto"/>
          <w:sz w:val="32"/>
          <w:szCs w:val="32"/>
        </w:rPr>
        <w:t>)</w:t>
      </w:r>
    </w:p>
    <w:p w14:paraId="79CD2322">
      <w:pPr>
        <w:snapToGrid w:val="0"/>
        <w:spacing w:line="440" w:lineRule="exact"/>
        <w:rPr>
          <w:rFonts w:ascii="黑体" w:hAnsi="宋体" w:eastAsia="黑体"/>
          <w:color w:val="000000"/>
          <w:szCs w:val="21"/>
        </w:rPr>
      </w:pPr>
      <w:r>
        <w:rPr>
          <w:rFonts w:hint="eastAsia" w:ascii="黑体" w:hAnsi="宋体" w:eastAsia="黑体"/>
          <w:color w:val="000000"/>
          <w:szCs w:val="21"/>
        </w:rPr>
        <w:t>1 抽样方法</w:t>
      </w:r>
    </w:p>
    <w:p w14:paraId="47ED4D3E">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以随机抽样的方式在被抽样生产者、销售者的待销产品中抽取。</w:t>
      </w:r>
    </w:p>
    <w:p w14:paraId="62187C69">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抽查样品基数满足抽样数量即可。</w:t>
      </w:r>
    </w:p>
    <w:p w14:paraId="46AC9CCC">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每批次产品抽取样品</w:t>
      </w:r>
      <w:r>
        <w:rPr>
          <w:rFonts w:hint="eastAsia" w:ascii="宋体" w:hAnsi="宋体"/>
          <w:color w:val="000000"/>
          <w:szCs w:val="21"/>
          <w:lang w:val="en-US" w:eastAsia="zh-CN"/>
        </w:rPr>
        <w:t>2</w:t>
      </w:r>
      <w:r>
        <w:rPr>
          <w:rFonts w:hint="eastAsia" w:ascii="宋体" w:hAnsi="宋体"/>
          <w:color w:val="000000"/>
          <w:szCs w:val="21"/>
        </w:rPr>
        <w:t>kg，平均分装于</w:t>
      </w:r>
      <w:r>
        <w:rPr>
          <w:rFonts w:hint="eastAsia" w:ascii="宋体" w:hAnsi="宋体"/>
          <w:color w:val="000000"/>
          <w:szCs w:val="21"/>
          <w:lang w:val="en-US" w:eastAsia="zh-CN"/>
        </w:rPr>
        <w:t>2</w:t>
      </w:r>
      <w:r>
        <w:rPr>
          <w:rFonts w:hint="eastAsia" w:ascii="宋体" w:hAnsi="宋体"/>
          <w:color w:val="000000"/>
          <w:szCs w:val="21"/>
        </w:rPr>
        <w:t>个样品瓶（袋）中，其中，</w:t>
      </w:r>
      <w:r>
        <w:rPr>
          <w:rFonts w:hint="eastAsia" w:ascii="宋体" w:hAnsi="宋体"/>
          <w:color w:val="000000"/>
          <w:szCs w:val="21"/>
          <w:lang w:val="en-US" w:eastAsia="zh-CN"/>
        </w:rPr>
        <w:t>1</w:t>
      </w:r>
      <w:r>
        <w:rPr>
          <w:rFonts w:hint="eastAsia" w:ascii="宋体" w:hAnsi="宋体"/>
          <w:color w:val="000000"/>
          <w:szCs w:val="21"/>
        </w:rPr>
        <w:t>瓶（袋）作为检验样品，1瓶（袋）作为备用样品。</w:t>
      </w:r>
    </w:p>
    <w:p w14:paraId="57194821">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随机数一般可使用随机数表、随机数骰子或扑克牌等方法产生。</w:t>
      </w:r>
    </w:p>
    <w:p w14:paraId="7D16ACC6">
      <w:pPr>
        <w:snapToGrid w:val="0"/>
        <w:spacing w:line="440" w:lineRule="exact"/>
        <w:ind w:firstLine="420" w:firstLineChars="200"/>
        <w:rPr>
          <w:rFonts w:ascii="宋体" w:hAnsi="宋体"/>
          <w:color w:val="000000"/>
          <w:szCs w:val="21"/>
        </w:rPr>
      </w:pPr>
    </w:p>
    <w:p w14:paraId="1C4FCC38">
      <w:pPr>
        <w:snapToGrid w:val="0"/>
        <w:spacing w:line="440" w:lineRule="exact"/>
        <w:rPr>
          <w:rFonts w:ascii="黑体" w:hAnsi="宋体" w:eastAsia="黑体"/>
          <w:color w:val="000000"/>
          <w:szCs w:val="21"/>
        </w:rPr>
      </w:pPr>
      <w:r>
        <w:rPr>
          <w:rFonts w:hint="eastAsia" w:ascii="黑体" w:hAnsi="宋体" w:eastAsia="黑体"/>
          <w:color w:val="000000"/>
          <w:szCs w:val="21"/>
        </w:rPr>
        <w:t>2 检验依据</w:t>
      </w:r>
    </w:p>
    <w:p w14:paraId="1F7A0433">
      <w:pPr>
        <w:snapToGrid w:val="0"/>
        <w:spacing w:line="440" w:lineRule="exact"/>
        <w:rPr>
          <w:rFonts w:hint="eastAsia" w:ascii="宋体" w:hAnsi="宋体"/>
          <w:color w:val="000000"/>
          <w:szCs w:val="21"/>
        </w:rPr>
      </w:pPr>
      <w:r>
        <w:rPr>
          <w:rFonts w:hint="eastAsia" w:ascii="宋体" w:hAnsi="宋体"/>
          <w:color w:val="000000"/>
          <w:szCs w:val="21"/>
        </w:rPr>
        <w:t xml:space="preserve">    检验项目和检验方法见表1。</w:t>
      </w:r>
    </w:p>
    <w:p w14:paraId="314EC3CA">
      <w:pPr>
        <w:snapToGrid w:val="0"/>
        <w:spacing w:line="440" w:lineRule="exact"/>
        <w:jc w:val="center"/>
        <w:rPr>
          <w:rFonts w:hint="eastAsia" w:ascii="宋体" w:hAnsi="宋体" w:eastAsia="宋体" w:cs="宋体"/>
          <w:color w:val="auto"/>
          <w:szCs w:val="21"/>
          <w:highlight w:val="none"/>
          <w:lang w:val="en-US" w:eastAsia="zh-CN"/>
        </w:rPr>
      </w:pPr>
      <w:r>
        <w:rPr>
          <w:rFonts w:hint="eastAsia" w:ascii="宋体" w:hAnsi="宋体"/>
          <w:color w:val="000000"/>
          <w:szCs w:val="21"/>
        </w:rPr>
        <w:t>表1检验项目和检验方</w:t>
      </w:r>
      <w:r>
        <w:rPr>
          <w:rFonts w:hint="eastAsia" w:ascii="宋体" w:hAnsi="宋体"/>
          <w:color w:val="000000"/>
          <w:szCs w:val="21"/>
          <w:lang w:val="en-US" w:eastAsia="zh-CN"/>
        </w:rPr>
        <w:t>法</w:t>
      </w:r>
    </w:p>
    <w:tbl>
      <w:tblPr>
        <w:tblStyle w:val="5"/>
        <w:tblW w:w="8337" w:type="dxa"/>
        <w:jc w:val="center"/>
        <w:tblCellSpacing w:w="0" w:type="dxa"/>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Layout w:type="fixed"/>
        <w:tblCellMar>
          <w:top w:w="0" w:type="dxa"/>
          <w:left w:w="0" w:type="dxa"/>
          <w:bottom w:w="0" w:type="dxa"/>
          <w:right w:w="0" w:type="dxa"/>
        </w:tblCellMar>
      </w:tblPr>
      <w:tblGrid>
        <w:gridCol w:w="1708"/>
        <w:gridCol w:w="3965"/>
        <w:gridCol w:w="2664"/>
      </w:tblGrid>
      <w:tr w14:paraId="5455E797">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trHeight w:val="895" w:hRule="atLeast"/>
          <w:tblCellSpacing w:w="0" w:type="dxa"/>
          <w:jc w:val="center"/>
        </w:trPr>
        <w:tc>
          <w:tcPr>
            <w:tcW w:w="1708" w:type="dxa"/>
            <w:tcBorders>
              <w:top w:val="outset" w:color="FFFFFF" w:sz="6" w:space="0"/>
              <w:left w:val="outset" w:color="FFFFFF" w:sz="6" w:space="0"/>
              <w:right w:val="outset" w:color="FFFFFF" w:sz="6" w:space="0"/>
            </w:tcBorders>
            <w:noWrap/>
            <w:vAlign w:val="center"/>
          </w:tcPr>
          <w:p w14:paraId="4B7092AA">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序号</w:t>
            </w:r>
          </w:p>
        </w:tc>
        <w:tc>
          <w:tcPr>
            <w:tcW w:w="3965" w:type="dxa"/>
            <w:tcBorders>
              <w:top w:val="outset" w:color="FFFFFF" w:sz="6" w:space="0"/>
              <w:left w:val="outset" w:color="FFFFFF" w:sz="6" w:space="0"/>
              <w:right w:val="outset" w:color="FFFFFF" w:sz="6" w:space="0"/>
            </w:tcBorders>
            <w:noWrap/>
            <w:vAlign w:val="center"/>
          </w:tcPr>
          <w:p w14:paraId="6140CF56">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检验项目</w:t>
            </w:r>
          </w:p>
        </w:tc>
        <w:tc>
          <w:tcPr>
            <w:tcW w:w="2664" w:type="dxa"/>
            <w:tcBorders>
              <w:top w:val="outset" w:color="FFFFFF" w:sz="6" w:space="0"/>
              <w:left w:val="outset" w:color="FFFFFF" w:sz="6" w:space="0"/>
              <w:bottom w:val="outset" w:color="FFFFFF" w:sz="6" w:space="0"/>
              <w:right w:val="outset" w:color="FFFFFF" w:sz="6" w:space="0"/>
            </w:tcBorders>
            <w:noWrap/>
            <w:vAlign w:val="center"/>
          </w:tcPr>
          <w:p w14:paraId="40FC85D2">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检验方法</w:t>
            </w:r>
          </w:p>
        </w:tc>
      </w:tr>
      <w:tr w14:paraId="00A979F9">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trHeight w:val="235" w:hRule="atLeast"/>
          <w:tblCellSpacing w:w="0" w:type="dxa"/>
          <w:jc w:val="center"/>
        </w:trPr>
        <w:tc>
          <w:tcPr>
            <w:tcW w:w="1708" w:type="dxa"/>
            <w:tcBorders>
              <w:top w:val="outset" w:color="FFFFFF" w:sz="6" w:space="0"/>
              <w:left w:val="outset" w:color="FFFFFF" w:sz="6" w:space="0"/>
              <w:bottom w:val="outset" w:color="FFFFFF" w:sz="6" w:space="0"/>
              <w:right w:val="outset" w:color="FFFFFF" w:sz="6" w:space="0"/>
            </w:tcBorders>
            <w:noWrap/>
            <w:vAlign w:val="center"/>
          </w:tcPr>
          <w:p w14:paraId="6987B975">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3965" w:type="dxa"/>
            <w:tcBorders>
              <w:top w:val="outset" w:color="FFFFFF" w:sz="6" w:space="0"/>
              <w:left w:val="outset" w:color="FFFFFF" w:sz="6" w:space="0"/>
              <w:bottom w:val="outset" w:color="FFFFFF" w:sz="6" w:space="0"/>
              <w:right w:val="outset" w:color="FFFFFF" w:sz="6" w:space="0"/>
            </w:tcBorders>
            <w:noWrap/>
            <w:vAlign w:val="center"/>
          </w:tcPr>
          <w:p w14:paraId="5E7BDA56">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含量</w:t>
            </w:r>
          </w:p>
        </w:tc>
        <w:tc>
          <w:tcPr>
            <w:tcW w:w="2664" w:type="dxa"/>
            <w:tcBorders>
              <w:top w:val="outset" w:color="FFFFFF" w:sz="6" w:space="0"/>
              <w:left w:val="outset" w:color="FFFFFF" w:sz="6" w:space="0"/>
              <w:bottom w:val="outset" w:color="FFFFFF" w:sz="6" w:space="0"/>
              <w:right w:val="outset" w:color="FFFFFF" w:sz="6" w:space="0"/>
            </w:tcBorders>
            <w:noWrap/>
            <w:vAlign w:val="center"/>
          </w:tcPr>
          <w:p w14:paraId="58D7879F">
            <w:pPr>
              <w:spacing w:line="440" w:lineRule="exact"/>
              <w:ind w:firstLine="210" w:firstLineChars="10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GB/T 6</w:t>
            </w:r>
            <w:r>
              <w:rPr>
                <w:rFonts w:hint="eastAsia" w:ascii="宋体" w:hAnsi="宋体" w:cs="宋体"/>
                <w:color w:val="auto"/>
                <w:szCs w:val="21"/>
                <w:highlight w:val="none"/>
                <w:lang w:val="en-US" w:eastAsia="zh-CN"/>
              </w:rPr>
              <w:t>53</w:t>
            </w:r>
            <w:r>
              <w:rPr>
                <w:rFonts w:hint="eastAsia" w:ascii="宋体" w:hAnsi="宋体" w:eastAsia="宋体" w:cs="宋体"/>
                <w:color w:val="auto"/>
                <w:szCs w:val="21"/>
                <w:highlight w:val="none"/>
              </w:rPr>
              <w:t>-2011</w:t>
            </w:r>
          </w:p>
        </w:tc>
      </w:tr>
      <w:tr w14:paraId="4B0C5CA5">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trHeight w:val="235" w:hRule="atLeast"/>
          <w:tblCellSpacing w:w="0" w:type="dxa"/>
          <w:jc w:val="center"/>
        </w:trPr>
        <w:tc>
          <w:tcPr>
            <w:tcW w:w="1708" w:type="dxa"/>
            <w:tcBorders>
              <w:top w:val="outset" w:color="FFFFFF" w:sz="6" w:space="0"/>
              <w:left w:val="outset" w:color="FFFFFF" w:sz="6" w:space="0"/>
              <w:bottom w:val="outset" w:color="FFFFFF" w:sz="6" w:space="0"/>
              <w:right w:val="outset" w:color="FFFFFF" w:sz="6" w:space="0"/>
            </w:tcBorders>
            <w:noWrap/>
            <w:vAlign w:val="center"/>
          </w:tcPr>
          <w:p w14:paraId="484F8BEC">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3965" w:type="dxa"/>
            <w:tcBorders>
              <w:top w:val="outset" w:color="FFFFFF" w:sz="6" w:space="0"/>
              <w:left w:val="outset" w:color="FFFFFF" w:sz="6" w:space="0"/>
              <w:bottom w:val="outset" w:color="FFFFFF" w:sz="6" w:space="0"/>
              <w:right w:val="outset" w:color="FFFFFF" w:sz="6" w:space="0"/>
            </w:tcBorders>
            <w:noWrap/>
            <w:vAlign w:val="center"/>
          </w:tcPr>
          <w:p w14:paraId="185DBCBB">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pH值</w:t>
            </w:r>
          </w:p>
        </w:tc>
        <w:tc>
          <w:tcPr>
            <w:tcW w:w="2664" w:type="dxa"/>
            <w:tcBorders>
              <w:top w:val="outset" w:color="FFFFFF" w:sz="6" w:space="0"/>
              <w:left w:val="outset" w:color="FFFFFF" w:sz="6" w:space="0"/>
              <w:bottom w:val="outset" w:color="FFFFFF" w:sz="6" w:space="0"/>
              <w:right w:val="outset" w:color="FFFFFF" w:sz="6" w:space="0"/>
            </w:tcBorders>
            <w:noWrap/>
            <w:vAlign w:val="center"/>
          </w:tcPr>
          <w:p w14:paraId="554398FA">
            <w:pPr>
              <w:spacing w:line="440" w:lineRule="exact"/>
              <w:ind w:firstLine="210" w:firstLineChars="10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GB/T 6</w:t>
            </w:r>
            <w:r>
              <w:rPr>
                <w:rFonts w:hint="eastAsia" w:ascii="宋体" w:hAnsi="宋体" w:cs="宋体"/>
                <w:color w:val="auto"/>
                <w:szCs w:val="21"/>
                <w:highlight w:val="none"/>
                <w:lang w:val="en-US" w:eastAsia="zh-CN"/>
              </w:rPr>
              <w:t>53</w:t>
            </w:r>
            <w:r>
              <w:rPr>
                <w:rFonts w:hint="eastAsia" w:ascii="宋体" w:hAnsi="宋体" w:eastAsia="宋体" w:cs="宋体"/>
                <w:color w:val="auto"/>
                <w:szCs w:val="21"/>
                <w:highlight w:val="none"/>
              </w:rPr>
              <w:t>-2011</w:t>
            </w:r>
          </w:p>
        </w:tc>
      </w:tr>
      <w:tr w14:paraId="2B0A602A">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trHeight w:val="235" w:hRule="atLeast"/>
          <w:tblCellSpacing w:w="0" w:type="dxa"/>
          <w:jc w:val="center"/>
        </w:trPr>
        <w:tc>
          <w:tcPr>
            <w:tcW w:w="1708" w:type="dxa"/>
            <w:tcBorders>
              <w:top w:val="outset" w:color="FFFFFF" w:sz="6" w:space="0"/>
              <w:left w:val="outset" w:color="FFFFFF" w:sz="6" w:space="0"/>
              <w:bottom w:val="outset" w:color="FFFFFF" w:sz="6" w:space="0"/>
              <w:right w:val="outset" w:color="FFFFFF" w:sz="6" w:space="0"/>
            </w:tcBorders>
            <w:noWrap/>
            <w:vAlign w:val="center"/>
          </w:tcPr>
          <w:p w14:paraId="11ADC9F7">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p>
        </w:tc>
        <w:tc>
          <w:tcPr>
            <w:tcW w:w="3965" w:type="dxa"/>
            <w:tcBorders>
              <w:top w:val="outset" w:color="FFFFFF" w:sz="6" w:space="0"/>
              <w:left w:val="outset" w:color="FFFFFF" w:sz="6" w:space="0"/>
              <w:bottom w:val="outset" w:color="FFFFFF" w:sz="6" w:space="0"/>
              <w:right w:val="outset" w:color="FFFFFF" w:sz="6" w:space="0"/>
            </w:tcBorders>
            <w:noWrap/>
            <w:vAlign w:val="center"/>
          </w:tcPr>
          <w:p w14:paraId="2691A1FC">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澄清度试验</w:t>
            </w:r>
          </w:p>
        </w:tc>
        <w:tc>
          <w:tcPr>
            <w:tcW w:w="2664" w:type="dxa"/>
            <w:tcBorders>
              <w:top w:val="outset" w:color="FFFFFF" w:sz="6" w:space="0"/>
              <w:left w:val="outset" w:color="FFFFFF" w:sz="6" w:space="0"/>
              <w:bottom w:val="outset" w:color="FFFFFF" w:sz="6" w:space="0"/>
              <w:right w:val="outset" w:color="FFFFFF" w:sz="6" w:space="0"/>
            </w:tcBorders>
            <w:noWrap/>
            <w:vAlign w:val="center"/>
          </w:tcPr>
          <w:p w14:paraId="43216A28">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GB/T 6</w:t>
            </w:r>
            <w:r>
              <w:rPr>
                <w:rFonts w:hint="eastAsia" w:ascii="宋体" w:hAnsi="宋体" w:cs="宋体"/>
                <w:color w:val="auto"/>
                <w:szCs w:val="21"/>
                <w:highlight w:val="none"/>
                <w:lang w:val="en-US" w:eastAsia="zh-CN"/>
              </w:rPr>
              <w:t>53</w:t>
            </w:r>
            <w:r>
              <w:rPr>
                <w:rFonts w:hint="eastAsia" w:ascii="宋体" w:hAnsi="宋体" w:eastAsia="宋体" w:cs="宋体"/>
                <w:color w:val="auto"/>
                <w:szCs w:val="21"/>
                <w:highlight w:val="none"/>
              </w:rPr>
              <w:t>-2011</w:t>
            </w:r>
          </w:p>
        </w:tc>
      </w:tr>
      <w:tr w14:paraId="7DAF1137">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trHeight w:val="235" w:hRule="atLeast"/>
          <w:tblCellSpacing w:w="0" w:type="dxa"/>
          <w:jc w:val="center"/>
        </w:trPr>
        <w:tc>
          <w:tcPr>
            <w:tcW w:w="1708" w:type="dxa"/>
            <w:tcBorders>
              <w:top w:val="outset" w:color="FFFFFF" w:sz="6" w:space="0"/>
              <w:left w:val="outset" w:color="FFFFFF" w:sz="6" w:space="0"/>
              <w:bottom w:val="outset" w:color="FFFFFF" w:sz="6" w:space="0"/>
              <w:right w:val="outset" w:color="FFFFFF" w:sz="6" w:space="0"/>
            </w:tcBorders>
            <w:noWrap/>
            <w:vAlign w:val="center"/>
          </w:tcPr>
          <w:p w14:paraId="6C1E5A27">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4</w:t>
            </w:r>
          </w:p>
        </w:tc>
        <w:tc>
          <w:tcPr>
            <w:tcW w:w="3965" w:type="dxa"/>
            <w:tcBorders>
              <w:top w:val="outset" w:color="FFFFFF" w:sz="6" w:space="0"/>
              <w:left w:val="outset" w:color="FFFFFF" w:sz="6" w:space="0"/>
              <w:bottom w:val="outset" w:color="FFFFFF" w:sz="6" w:space="0"/>
              <w:right w:val="outset" w:color="FFFFFF" w:sz="6" w:space="0"/>
            </w:tcBorders>
            <w:noWrap/>
            <w:vAlign w:val="center"/>
          </w:tcPr>
          <w:p w14:paraId="6666366A">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水不溶物</w:t>
            </w:r>
          </w:p>
        </w:tc>
        <w:tc>
          <w:tcPr>
            <w:tcW w:w="2664" w:type="dxa"/>
            <w:tcBorders>
              <w:top w:val="outset" w:color="FFFFFF" w:sz="6" w:space="0"/>
              <w:left w:val="outset" w:color="FFFFFF" w:sz="6" w:space="0"/>
              <w:bottom w:val="outset" w:color="FFFFFF" w:sz="6" w:space="0"/>
              <w:right w:val="outset" w:color="FFFFFF" w:sz="6" w:space="0"/>
            </w:tcBorders>
            <w:noWrap/>
            <w:vAlign w:val="center"/>
          </w:tcPr>
          <w:p w14:paraId="699ECCA9">
            <w:pPr>
              <w:spacing w:line="440" w:lineRule="exact"/>
              <w:ind w:firstLine="210" w:firstLineChars="10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GB/T 6</w:t>
            </w:r>
            <w:r>
              <w:rPr>
                <w:rFonts w:hint="eastAsia" w:ascii="宋体" w:hAnsi="宋体" w:cs="宋体"/>
                <w:color w:val="auto"/>
                <w:szCs w:val="21"/>
                <w:highlight w:val="none"/>
                <w:lang w:val="en-US" w:eastAsia="zh-CN"/>
              </w:rPr>
              <w:t>53</w:t>
            </w:r>
            <w:r>
              <w:rPr>
                <w:rFonts w:hint="eastAsia" w:ascii="宋体" w:hAnsi="宋体" w:eastAsia="宋体" w:cs="宋体"/>
                <w:color w:val="auto"/>
                <w:szCs w:val="21"/>
                <w:highlight w:val="none"/>
              </w:rPr>
              <w:t>-2011</w:t>
            </w:r>
          </w:p>
        </w:tc>
      </w:tr>
      <w:tr w14:paraId="14C3E773">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trHeight w:val="235" w:hRule="atLeast"/>
          <w:tblCellSpacing w:w="0" w:type="dxa"/>
          <w:jc w:val="center"/>
        </w:trPr>
        <w:tc>
          <w:tcPr>
            <w:tcW w:w="1708" w:type="dxa"/>
            <w:tcBorders>
              <w:top w:val="outset" w:color="FFFFFF" w:sz="6" w:space="0"/>
              <w:left w:val="outset" w:color="FFFFFF" w:sz="6" w:space="0"/>
              <w:bottom w:val="outset" w:color="FFFFFF" w:sz="6" w:space="0"/>
              <w:right w:val="outset" w:color="FFFFFF" w:sz="6" w:space="0"/>
            </w:tcBorders>
            <w:noWrap/>
            <w:vAlign w:val="center"/>
          </w:tcPr>
          <w:p w14:paraId="606ED01A">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5</w:t>
            </w:r>
          </w:p>
        </w:tc>
        <w:tc>
          <w:tcPr>
            <w:tcW w:w="3965" w:type="dxa"/>
            <w:tcBorders>
              <w:top w:val="outset" w:color="FFFFFF" w:sz="6" w:space="0"/>
              <w:left w:val="outset" w:color="FFFFFF" w:sz="6" w:space="0"/>
              <w:bottom w:val="outset" w:color="FFFFFF" w:sz="6" w:space="0"/>
              <w:right w:val="outset" w:color="FFFFFF" w:sz="6" w:space="0"/>
            </w:tcBorders>
            <w:noWrap/>
            <w:vAlign w:val="center"/>
          </w:tcPr>
          <w:p w14:paraId="276702FB">
            <w:pPr>
              <w:spacing w:line="440" w:lineRule="exact"/>
              <w:jc w:val="center"/>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氯化物</w:t>
            </w:r>
            <w:bookmarkStart w:id="0" w:name="_GoBack"/>
            <w:bookmarkEnd w:id="0"/>
          </w:p>
        </w:tc>
        <w:tc>
          <w:tcPr>
            <w:tcW w:w="2664" w:type="dxa"/>
            <w:tcBorders>
              <w:top w:val="outset" w:color="FFFFFF" w:sz="6" w:space="0"/>
              <w:left w:val="outset" w:color="FFFFFF" w:sz="6" w:space="0"/>
              <w:bottom w:val="outset" w:color="FFFFFF" w:sz="6" w:space="0"/>
              <w:right w:val="outset" w:color="FFFFFF" w:sz="6" w:space="0"/>
            </w:tcBorders>
            <w:noWrap/>
            <w:vAlign w:val="center"/>
          </w:tcPr>
          <w:p w14:paraId="1690264A">
            <w:pPr>
              <w:spacing w:line="440" w:lineRule="exact"/>
              <w:ind w:firstLine="210" w:firstLineChars="10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GB/T 6</w:t>
            </w:r>
            <w:r>
              <w:rPr>
                <w:rFonts w:hint="eastAsia" w:ascii="宋体" w:hAnsi="宋体" w:cs="宋体"/>
                <w:color w:val="auto"/>
                <w:szCs w:val="21"/>
                <w:highlight w:val="none"/>
                <w:lang w:val="en-US" w:eastAsia="zh-CN"/>
              </w:rPr>
              <w:t>53</w:t>
            </w:r>
            <w:r>
              <w:rPr>
                <w:rFonts w:hint="eastAsia" w:ascii="宋体" w:hAnsi="宋体" w:eastAsia="宋体" w:cs="宋体"/>
                <w:color w:val="auto"/>
                <w:szCs w:val="21"/>
                <w:highlight w:val="none"/>
              </w:rPr>
              <w:t>-2011</w:t>
            </w:r>
          </w:p>
        </w:tc>
      </w:tr>
      <w:tr w14:paraId="6D2CF1B4">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trHeight w:val="90" w:hRule="atLeast"/>
          <w:tblCellSpacing w:w="0" w:type="dxa"/>
          <w:jc w:val="center"/>
        </w:trPr>
        <w:tc>
          <w:tcPr>
            <w:tcW w:w="1708" w:type="dxa"/>
            <w:tcBorders>
              <w:top w:val="outset" w:color="FFFFFF" w:sz="6" w:space="0"/>
              <w:left w:val="outset" w:color="FFFFFF" w:sz="6" w:space="0"/>
              <w:bottom w:val="outset" w:color="FFFFFF" w:sz="6" w:space="0"/>
              <w:right w:val="outset" w:color="FFFFFF" w:sz="6" w:space="0"/>
            </w:tcBorders>
            <w:noWrap/>
            <w:vAlign w:val="center"/>
          </w:tcPr>
          <w:p w14:paraId="612C86CE">
            <w:pPr>
              <w:spacing w:line="44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6</w:t>
            </w:r>
          </w:p>
        </w:tc>
        <w:tc>
          <w:tcPr>
            <w:tcW w:w="3965" w:type="dxa"/>
            <w:tcBorders>
              <w:top w:val="outset" w:color="FFFFFF" w:sz="6" w:space="0"/>
              <w:left w:val="outset" w:color="FFFFFF" w:sz="6" w:space="0"/>
              <w:bottom w:val="outset" w:color="FFFFFF" w:sz="6" w:space="0"/>
              <w:right w:val="outset" w:color="FFFFFF" w:sz="6" w:space="0"/>
            </w:tcBorders>
            <w:noWrap/>
            <w:vAlign w:val="center"/>
          </w:tcPr>
          <w:p w14:paraId="142C78CE">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钠</w:t>
            </w:r>
          </w:p>
        </w:tc>
        <w:tc>
          <w:tcPr>
            <w:tcW w:w="2664" w:type="dxa"/>
            <w:tcBorders>
              <w:top w:val="outset" w:color="FFFFFF" w:sz="6" w:space="0"/>
              <w:left w:val="outset" w:color="FFFFFF" w:sz="6" w:space="0"/>
              <w:bottom w:val="outset" w:color="FFFFFF" w:sz="6" w:space="0"/>
              <w:right w:val="outset" w:color="FFFFFF" w:sz="6" w:space="0"/>
            </w:tcBorders>
            <w:noWrap/>
            <w:vAlign w:val="center"/>
          </w:tcPr>
          <w:p w14:paraId="5E1D77ED">
            <w:pPr>
              <w:spacing w:line="440" w:lineRule="exact"/>
              <w:ind w:firstLine="210" w:firstLineChars="10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GB/T 6</w:t>
            </w:r>
            <w:r>
              <w:rPr>
                <w:rFonts w:hint="eastAsia" w:ascii="宋体" w:hAnsi="宋体" w:cs="宋体"/>
                <w:color w:val="auto"/>
                <w:szCs w:val="21"/>
                <w:highlight w:val="none"/>
                <w:lang w:val="en-US" w:eastAsia="zh-CN"/>
              </w:rPr>
              <w:t>53</w:t>
            </w:r>
            <w:r>
              <w:rPr>
                <w:rFonts w:hint="eastAsia" w:ascii="宋体" w:hAnsi="宋体" w:eastAsia="宋体" w:cs="宋体"/>
                <w:color w:val="auto"/>
                <w:szCs w:val="21"/>
                <w:highlight w:val="none"/>
              </w:rPr>
              <w:t>-2011</w:t>
            </w:r>
          </w:p>
        </w:tc>
      </w:tr>
      <w:tr w14:paraId="6FAA3385">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trHeight w:val="235" w:hRule="atLeast"/>
          <w:tblCellSpacing w:w="0" w:type="dxa"/>
          <w:jc w:val="center"/>
        </w:trPr>
        <w:tc>
          <w:tcPr>
            <w:tcW w:w="1708" w:type="dxa"/>
            <w:tcBorders>
              <w:top w:val="outset" w:color="FFFFFF" w:sz="6" w:space="0"/>
              <w:left w:val="outset" w:color="FFFFFF" w:sz="6" w:space="0"/>
              <w:bottom w:val="outset" w:color="FFFFFF" w:sz="6" w:space="0"/>
              <w:right w:val="outset" w:color="FFFFFF" w:sz="6" w:space="0"/>
            </w:tcBorders>
            <w:noWrap/>
            <w:vAlign w:val="center"/>
          </w:tcPr>
          <w:p w14:paraId="6D07B3E0">
            <w:pPr>
              <w:spacing w:line="44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7</w:t>
            </w:r>
          </w:p>
        </w:tc>
        <w:tc>
          <w:tcPr>
            <w:tcW w:w="3965" w:type="dxa"/>
            <w:tcBorders>
              <w:top w:val="outset" w:color="FFFFFF" w:sz="6" w:space="0"/>
              <w:left w:val="outset" w:color="FFFFFF" w:sz="6" w:space="0"/>
              <w:bottom w:val="outset" w:color="FFFFFF" w:sz="6" w:space="0"/>
              <w:right w:val="outset" w:color="FFFFFF" w:sz="6" w:space="0"/>
            </w:tcBorders>
            <w:noWrap/>
            <w:vAlign w:val="center"/>
          </w:tcPr>
          <w:p w14:paraId="603C8F2F">
            <w:pPr>
              <w:spacing w:line="440" w:lineRule="exact"/>
              <w:jc w:val="center"/>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钾</w:t>
            </w:r>
          </w:p>
        </w:tc>
        <w:tc>
          <w:tcPr>
            <w:tcW w:w="2664" w:type="dxa"/>
            <w:tcBorders>
              <w:top w:val="outset" w:color="FFFFFF" w:sz="6" w:space="0"/>
              <w:left w:val="outset" w:color="FFFFFF" w:sz="6" w:space="0"/>
              <w:bottom w:val="outset" w:color="FFFFFF" w:sz="6" w:space="0"/>
              <w:right w:val="outset" w:color="FFFFFF" w:sz="6" w:space="0"/>
            </w:tcBorders>
            <w:noWrap/>
            <w:vAlign w:val="center"/>
          </w:tcPr>
          <w:p w14:paraId="7E30661C">
            <w:pPr>
              <w:spacing w:line="440" w:lineRule="exact"/>
              <w:ind w:firstLine="210" w:firstLineChars="10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GB/T 6</w:t>
            </w:r>
            <w:r>
              <w:rPr>
                <w:rFonts w:hint="eastAsia" w:ascii="宋体" w:hAnsi="宋体" w:cs="宋体"/>
                <w:color w:val="auto"/>
                <w:szCs w:val="21"/>
                <w:highlight w:val="none"/>
                <w:lang w:val="en-US" w:eastAsia="zh-CN"/>
              </w:rPr>
              <w:t>53</w:t>
            </w:r>
            <w:r>
              <w:rPr>
                <w:rFonts w:hint="eastAsia" w:ascii="宋体" w:hAnsi="宋体" w:eastAsia="宋体" w:cs="宋体"/>
                <w:color w:val="auto"/>
                <w:szCs w:val="21"/>
                <w:highlight w:val="none"/>
              </w:rPr>
              <w:t>-2011</w:t>
            </w:r>
          </w:p>
        </w:tc>
      </w:tr>
      <w:tr w14:paraId="4078FC7E">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trHeight w:val="235" w:hRule="atLeast"/>
          <w:tblCellSpacing w:w="0" w:type="dxa"/>
          <w:jc w:val="center"/>
        </w:trPr>
        <w:tc>
          <w:tcPr>
            <w:tcW w:w="1708" w:type="dxa"/>
            <w:tcBorders>
              <w:top w:val="outset" w:color="FFFFFF" w:sz="6" w:space="0"/>
              <w:left w:val="outset" w:color="FFFFFF" w:sz="6" w:space="0"/>
              <w:bottom w:val="outset" w:color="FFFFFF" w:sz="6" w:space="0"/>
              <w:right w:val="outset" w:color="FFFFFF" w:sz="6" w:space="0"/>
            </w:tcBorders>
            <w:noWrap/>
            <w:vAlign w:val="center"/>
          </w:tcPr>
          <w:p w14:paraId="12A023BF">
            <w:pPr>
              <w:spacing w:line="440" w:lineRule="exact"/>
              <w:jc w:val="center"/>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8</w:t>
            </w:r>
          </w:p>
        </w:tc>
        <w:tc>
          <w:tcPr>
            <w:tcW w:w="3965" w:type="dxa"/>
            <w:tcBorders>
              <w:top w:val="outset" w:color="FFFFFF" w:sz="6" w:space="0"/>
              <w:left w:val="outset" w:color="FFFFFF" w:sz="6" w:space="0"/>
              <w:bottom w:val="outset" w:color="FFFFFF" w:sz="6" w:space="0"/>
              <w:right w:val="outset" w:color="FFFFFF" w:sz="6" w:space="0"/>
            </w:tcBorders>
            <w:noWrap/>
            <w:vAlign w:val="center"/>
          </w:tcPr>
          <w:p w14:paraId="731F1D3F">
            <w:pPr>
              <w:spacing w:line="440" w:lineRule="exact"/>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钙</w:t>
            </w:r>
          </w:p>
        </w:tc>
        <w:tc>
          <w:tcPr>
            <w:tcW w:w="2664" w:type="dxa"/>
            <w:tcBorders>
              <w:top w:val="outset" w:color="FFFFFF" w:sz="6" w:space="0"/>
              <w:left w:val="outset" w:color="FFFFFF" w:sz="6" w:space="0"/>
              <w:bottom w:val="outset" w:color="FFFFFF" w:sz="6" w:space="0"/>
              <w:right w:val="outset" w:color="FFFFFF" w:sz="6" w:space="0"/>
            </w:tcBorders>
            <w:noWrap/>
            <w:vAlign w:val="center"/>
          </w:tcPr>
          <w:p w14:paraId="4411989D">
            <w:pPr>
              <w:spacing w:line="440" w:lineRule="exact"/>
              <w:ind w:firstLine="210" w:firstLineChars="10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GB/T 6</w:t>
            </w:r>
            <w:r>
              <w:rPr>
                <w:rFonts w:hint="eastAsia" w:ascii="宋体" w:hAnsi="宋体" w:cs="宋体"/>
                <w:color w:val="auto"/>
                <w:szCs w:val="21"/>
                <w:highlight w:val="none"/>
                <w:lang w:val="en-US" w:eastAsia="zh-CN"/>
              </w:rPr>
              <w:t>53</w:t>
            </w:r>
            <w:r>
              <w:rPr>
                <w:rFonts w:hint="eastAsia" w:ascii="宋体" w:hAnsi="宋体" w:eastAsia="宋体" w:cs="宋体"/>
                <w:color w:val="auto"/>
                <w:szCs w:val="21"/>
                <w:highlight w:val="none"/>
              </w:rPr>
              <w:t>-2011</w:t>
            </w:r>
          </w:p>
        </w:tc>
      </w:tr>
      <w:tr w14:paraId="276C1863">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trHeight w:val="235" w:hRule="atLeast"/>
          <w:tblCellSpacing w:w="0" w:type="dxa"/>
          <w:jc w:val="center"/>
        </w:trPr>
        <w:tc>
          <w:tcPr>
            <w:tcW w:w="1708" w:type="dxa"/>
            <w:tcBorders>
              <w:top w:val="outset" w:color="FFFFFF" w:sz="6" w:space="0"/>
              <w:left w:val="outset" w:color="FFFFFF" w:sz="6" w:space="0"/>
              <w:bottom w:val="outset" w:color="FFFFFF" w:sz="6" w:space="0"/>
              <w:right w:val="outset" w:color="FFFFFF" w:sz="6" w:space="0"/>
            </w:tcBorders>
            <w:noWrap/>
            <w:vAlign w:val="center"/>
          </w:tcPr>
          <w:p w14:paraId="7366C5C7">
            <w:pPr>
              <w:spacing w:line="440" w:lineRule="exact"/>
              <w:jc w:val="center"/>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9</w:t>
            </w:r>
          </w:p>
        </w:tc>
        <w:tc>
          <w:tcPr>
            <w:tcW w:w="3965" w:type="dxa"/>
            <w:tcBorders>
              <w:top w:val="outset" w:color="FFFFFF" w:sz="6" w:space="0"/>
              <w:left w:val="outset" w:color="FFFFFF" w:sz="6" w:space="0"/>
              <w:bottom w:val="outset" w:color="FFFFFF" w:sz="6" w:space="0"/>
              <w:right w:val="outset" w:color="FFFFFF" w:sz="6" w:space="0"/>
            </w:tcBorders>
            <w:noWrap/>
            <w:vAlign w:val="center"/>
          </w:tcPr>
          <w:p w14:paraId="31371B48">
            <w:pPr>
              <w:spacing w:line="440" w:lineRule="exact"/>
              <w:jc w:val="center"/>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锶</w:t>
            </w:r>
          </w:p>
        </w:tc>
        <w:tc>
          <w:tcPr>
            <w:tcW w:w="2664" w:type="dxa"/>
            <w:tcBorders>
              <w:top w:val="outset" w:color="FFFFFF" w:sz="6" w:space="0"/>
              <w:left w:val="outset" w:color="FFFFFF" w:sz="6" w:space="0"/>
              <w:bottom w:val="outset" w:color="FFFFFF" w:sz="6" w:space="0"/>
              <w:right w:val="outset" w:color="FFFFFF" w:sz="6" w:space="0"/>
            </w:tcBorders>
            <w:noWrap/>
            <w:vAlign w:val="center"/>
          </w:tcPr>
          <w:p w14:paraId="6067EECA">
            <w:pPr>
              <w:spacing w:line="440" w:lineRule="exact"/>
              <w:ind w:firstLine="210" w:firstLineChars="10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GB/T 6</w:t>
            </w:r>
            <w:r>
              <w:rPr>
                <w:rFonts w:hint="eastAsia" w:ascii="宋体" w:hAnsi="宋体" w:cs="宋体"/>
                <w:color w:val="auto"/>
                <w:szCs w:val="21"/>
                <w:highlight w:val="none"/>
                <w:lang w:val="en-US" w:eastAsia="zh-CN"/>
              </w:rPr>
              <w:t>53</w:t>
            </w:r>
            <w:r>
              <w:rPr>
                <w:rFonts w:hint="eastAsia" w:ascii="宋体" w:hAnsi="宋体" w:eastAsia="宋体" w:cs="宋体"/>
                <w:color w:val="auto"/>
                <w:szCs w:val="21"/>
                <w:highlight w:val="none"/>
              </w:rPr>
              <w:t>-2011</w:t>
            </w:r>
          </w:p>
        </w:tc>
      </w:tr>
      <w:tr w14:paraId="45B95EF8">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trHeight w:val="235" w:hRule="atLeast"/>
          <w:tblCellSpacing w:w="0" w:type="dxa"/>
          <w:jc w:val="center"/>
        </w:trPr>
        <w:tc>
          <w:tcPr>
            <w:tcW w:w="1708" w:type="dxa"/>
            <w:tcBorders>
              <w:top w:val="outset" w:color="FFFFFF" w:sz="6" w:space="0"/>
              <w:left w:val="outset" w:color="FFFFFF" w:sz="6" w:space="0"/>
              <w:bottom w:val="outset" w:color="FFFFFF" w:sz="6" w:space="0"/>
              <w:right w:val="outset" w:color="FFFFFF" w:sz="6" w:space="0"/>
            </w:tcBorders>
            <w:noWrap/>
            <w:vAlign w:val="center"/>
          </w:tcPr>
          <w:p w14:paraId="0FB9B0C3">
            <w:pPr>
              <w:spacing w:line="440" w:lineRule="exact"/>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1</w:t>
            </w:r>
            <w:r>
              <w:rPr>
                <w:rFonts w:hint="eastAsia" w:ascii="宋体" w:hAnsi="宋体" w:cs="宋体"/>
                <w:color w:val="auto"/>
                <w:szCs w:val="21"/>
                <w:highlight w:val="none"/>
                <w:lang w:val="en-US" w:eastAsia="zh-CN"/>
              </w:rPr>
              <w:t>0</w:t>
            </w:r>
          </w:p>
        </w:tc>
        <w:tc>
          <w:tcPr>
            <w:tcW w:w="3965" w:type="dxa"/>
            <w:tcBorders>
              <w:top w:val="outset" w:color="FFFFFF" w:sz="6" w:space="0"/>
              <w:left w:val="outset" w:color="FFFFFF" w:sz="6" w:space="0"/>
              <w:bottom w:val="outset" w:color="FFFFFF" w:sz="6" w:space="0"/>
              <w:right w:val="outset" w:color="FFFFFF" w:sz="6" w:space="0"/>
            </w:tcBorders>
            <w:noWrap/>
            <w:vAlign w:val="center"/>
          </w:tcPr>
          <w:p w14:paraId="0FB4003B">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铁</w:t>
            </w:r>
          </w:p>
        </w:tc>
        <w:tc>
          <w:tcPr>
            <w:tcW w:w="2664" w:type="dxa"/>
            <w:tcBorders>
              <w:top w:val="outset" w:color="FFFFFF" w:sz="6" w:space="0"/>
              <w:left w:val="outset" w:color="FFFFFF" w:sz="6" w:space="0"/>
              <w:bottom w:val="outset" w:color="FFFFFF" w:sz="6" w:space="0"/>
              <w:right w:val="outset" w:color="FFFFFF" w:sz="6" w:space="0"/>
            </w:tcBorders>
            <w:noWrap/>
            <w:vAlign w:val="center"/>
          </w:tcPr>
          <w:p w14:paraId="37386A63">
            <w:pPr>
              <w:spacing w:line="440" w:lineRule="exact"/>
              <w:ind w:firstLine="210" w:firstLineChars="10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GB/T 6</w:t>
            </w:r>
            <w:r>
              <w:rPr>
                <w:rFonts w:hint="eastAsia" w:ascii="宋体" w:hAnsi="宋体" w:cs="宋体"/>
                <w:color w:val="auto"/>
                <w:szCs w:val="21"/>
                <w:highlight w:val="none"/>
                <w:lang w:val="en-US" w:eastAsia="zh-CN"/>
              </w:rPr>
              <w:t>53</w:t>
            </w:r>
            <w:r>
              <w:rPr>
                <w:rFonts w:hint="eastAsia" w:ascii="宋体" w:hAnsi="宋体" w:eastAsia="宋体" w:cs="宋体"/>
                <w:color w:val="auto"/>
                <w:szCs w:val="21"/>
                <w:highlight w:val="none"/>
              </w:rPr>
              <w:t>-2011</w:t>
            </w:r>
          </w:p>
        </w:tc>
      </w:tr>
      <w:tr w14:paraId="6CF7B10E">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trHeight w:val="235" w:hRule="atLeast"/>
          <w:tblCellSpacing w:w="0" w:type="dxa"/>
          <w:jc w:val="center"/>
        </w:trPr>
        <w:tc>
          <w:tcPr>
            <w:tcW w:w="1708" w:type="dxa"/>
            <w:tcBorders>
              <w:top w:val="outset" w:color="FFFFFF" w:sz="6" w:space="0"/>
              <w:left w:val="outset" w:color="FFFFFF" w:sz="6" w:space="0"/>
              <w:bottom w:val="outset" w:color="FFFFFF" w:sz="6" w:space="0"/>
              <w:right w:val="outset" w:color="FFFFFF" w:sz="6" w:space="0"/>
            </w:tcBorders>
            <w:noWrap/>
            <w:vAlign w:val="center"/>
          </w:tcPr>
          <w:p w14:paraId="60CEEB2D">
            <w:pPr>
              <w:spacing w:line="440" w:lineRule="exact"/>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1</w:t>
            </w:r>
            <w:r>
              <w:rPr>
                <w:rFonts w:hint="eastAsia" w:ascii="宋体" w:hAnsi="宋体" w:cs="宋体"/>
                <w:color w:val="auto"/>
                <w:szCs w:val="21"/>
                <w:highlight w:val="none"/>
                <w:lang w:val="en-US" w:eastAsia="zh-CN"/>
              </w:rPr>
              <w:t>1</w:t>
            </w:r>
          </w:p>
        </w:tc>
        <w:tc>
          <w:tcPr>
            <w:tcW w:w="3965" w:type="dxa"/>
            <w:tcBorders>
              <w:top w:val="outset" w:color="FFFFFF" w:sz="6" w:space="0"/>
              <w:left w:val="outset" w:color="FFFFFF" w:sz="6" w:space="0"/>
              <w:bottom w:val="outset" w:color="FFFFFF" w:sz="6" w:space="0"/>
              <w:right w:val="outset" w:color="FFFFFF" w:sz="6" w:space="0"/>
            </w:tcBorders>
            <w:noWrap/>
            <w:vAlign w:val="center"/>
          </w:tcPr>
          <w:p w14:paraId="063E7DC1">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重金属</w:t>
            </w:r>
          </w:p>
        </w:tc>
        <w:tc>
          <w:tcPr>
            <w:tcW w:w="2664" w:type="dxa"/>
            <w:tcBorders>
              <w:top w:val="outset" w:color="FFFFFF" w:sz="6" w:space="0"/>
              <w:left w:val="outset" w:color="FFFFFF" w:sz="6" w:space="0"/>
              <w:bottom w:val="outset" w:color="FFFFFF" w:sz="6" w:space="0"/>
              <w:right w:val="outset" w:color="FFFFFF" w:sz="6" w:space="0"/>
            </w:tcBorders>
            <w:noWrap/>
            <w:vAlign w:val="center"/>
          </w:tcPr>
          <w:p w14:paraId="55DA78F1">
            <w:pPr>
              <w:spacing w:line="440" w:lineRule="exact"/>
              <w:ind w:firstLine="210" w:firstLineChars="10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GB/T 6</w:t>
            </w:r>
            <w:r>
              <w:rPr>
                <w:rFonts w:hint="eastAsia" w:ascii="宋体" w:hAnsi="宋体" w:cs="宋体"/>
                <w:color w:val="auto"/>
                <w:szCs w:val="21"/>
                <w:highlight w:val="none"/>
                <w:lang w:val="en-US" w:eastAsia="zh-CN"/>
              </w:rPr>
              <w:t>53</w:t>
            </w:r>
            <w:r>
              <w:rPr>
                <w:rFonts w:hint="eastAsia" w:ascii="宋体" w:hAnsi="宋体" w:eastAsia="宋体" w:cs="宋体"/>
                <w:color w:val="auto"/>
                <w:szCs w:val="21"/>
                <w:highlight w:val="none"/>
              </w:rPr>
              <w:t>-2011</w:t>
            </w:r>
          </w:p>
        </w:tc>
      </w:tr>
    </w:tbl>
    <w:p w14:paraId="6832D55D">
      <w:pPr>
        <w:spacing w:line="440" w:lineRule="exact"/>
        <w:jc w:val="center"/>
        <w:rPr>
          <w:rFonts w:hint="eastAsia" w:ascii="宋体" w:hAnsi="宋体" w:eastAsia="宋体" w:cs="宋体"/>
          <w:color w:val="auto"/>
          <w:szCs w:val="21"/>
          <w:highlight w:val="none"/>
        </w:rPr>
      </w:pPr>
    </w:p>
    <w:p w14:paraId="58C3EE6B">
      <w:pPr>
        <w:adjustRightInd w:val="0"/>
        <w:snapToGrid w:val="0"/>
        <w:spacing w:line="440" w:lineRule="exact"/>
        <w:ind w:firstLine="420" w:firstLineChars="200"/>
        <w:rPr>
          <w:rFonts w:hint="eastAsia" w:ascii="宋体" w:hAnsi="宋体"/>
          <w:color w:val="000000"/>
          <w:szCs w:val="21"/>
        </w:rPr>
      </w:pPr>
      <w:r>
        <w:rPr>
          <w:rFonts w:hint="eastAsia"/>
          <w:color w:val="000000"/>
          <w:szCs w:val="21"/>
        </w:rPr>
        <w:t>执行企业标准、团体标准、地方标准的产品，检验项目参照上述内容执行。</w:t>
      </w:r>
    </w:p>
    <w:p w14:paraId="6DA0213F">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凡是注日期的文件，其随后所有的修改单（不包括勘误的内容）或修订版不适用于本细则。凡是不注日期的文件，其最新版本适用于本细则。</w:t>
      </w:r>
    </w:p>
    <w:p w14:paraId="698A7C30">
      <w:pPr>
        <w:snapToGrid w:val="0"/>
        <w:spacing w:line="440" w:lineRule="exact"/>
        <w:ind w:firstLine="359" w:firstLineChars="171"/>
        <w:rPr>
          <w:rFonts w:hint="eastAsia" w:ascii="宋体" w:hAnsi="宋体"/>
          <w:color w:val="000000"/>
          <w:szCs w:val="21"/>
        </w:rPr>
      </w:pPr>
    </w:p>
    <w:p w14:paraId="1BAB68CC">
      <w:pPr>
        <w:spacing w:line="360" w:lineRule="auto"/>
        <w:rPr>
          <w:rFonts w:hint="eastAsia" w:ascii="黑体" w:hAnsi="黑体" w:eastAsia="黑体"/>
          <w:color w:val="000000"/>
          <w:szCs w:val="21"/>
        </w:rPr>
      </w:pPr>
      <w:r>
        <w:rPr>
          <w:rFonts w:hint="eastAsia" w:ascii="黑体" w:hAnsi="黑体" w:eastAsia="黑体"/>
          <w:color w:val="000000"/>
          <w:szCs w:val="21"/>
        </w:rPr>
        <w:t>3 判定规则</w:t>
      </w:r>
    </w:p>
    <w:p w14:paraId="16440F96">
      <w:pPr>
        <w:snapToGrid w:val="0"/>
        <w:spacing w:line="440" w:lineRule="exact"/>
        <w:rPr>
          <w:rFonts w:ascii="宋体" w:hAnsi="宋体"/>
          <w:color w:val="000000"/>
          <w:szCs w:val="21"/>
        </w:rPr>
      </w:pPr>
      <w:r>
        <w:rPr>
          <w:rFonts w:hint="eastAsia" w:ascii="宋体" w:hAnsi="宋体"/>
          <w:color w:val="000000"/>
          <w:szCs w:val="21"/>
        </w:rPr>
        <w:t>3.1依据标准</w:t>
      </w:r>
    </w:p>
    <w:p w14:paraId="3E857BF7">
      <w:pPr>
        <w:spacing w:line="440" w:lineRule="exact"/>
        <w:ind w:firstLine="630" w:firstLineChars="3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GB/T 6</w:t>
      </w:r>
      <w:r>
        <w:rPr>
          <w:rFonts w:hint="eastAsia" w:ascii="宋体" w:hAnsi="宋体" w:cs="宋体"/>
          <w:color w:val="auto"/>
          <w:szCs w:val="21"/>
          <w:highlight w:val="none"/>
          <w:lang w:val="en-US" w:eastAsia="zh-CN"/>
        </w:rPr>
        <w:t>53</w:t>
      </w:r>
      <w:r>
        <w:rPr>
          <w:rFonts w:hint="eastAsia" w:ascii="宋体" w:hAnsi="宋体" w:eastAsia="宋体" w:cs="宋体"/>
          <w:color w:val="auto"/>
          <w:szCs w:val="21"/>
          <w:highlight w:val="none"/>
        </w:rPr>
        <w:t>-2011</w:t>
      </w:r>
      <w:r>
        <w:rPr>
          <w:rFonts w:hint="eastAsia" w:ascii="宋体" w:hAnsi="宋体"/>
          <w:color w:val="000000"/>
          <w:szCs w:val="21"/>
          <w:lang w:val="en-US" w:eastAsia="zh-CN"/>
        </w:rPr>
        <w:t xml:space="preserve">化学试剂 </w:t>
      </w:r>
      <w:r>
        <w:rPr>
          <w:rFonts w:hint="eastAsia" w:ascii="宋体" w:hAnsi="宋体" w:cs="宋体"/>
          <w:color w:val="auto"/>
          <w:szCs w:val="21"/>
          <w:highlight w:val="none"/>
          <w:lang w:eastAsia="zh-CN"/>
        </w:rPr>
        <w:t>硝酸钡</w:t>
      </w:r>
    </w:p>
    <w:p w14:paraId="18D51724">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现行有效的企业标准、团体标准、地方标准及产品明示质量要求</w:t>
      </w:r>
    </w:p>
    <w:p w14:paraId="732891E6">
      <w:pPr>
        <w:snapToGrid w:val="0"/>
        <w:spacing w:line="440" w:lineRule="exact"/>
        <w:rPr>
          <w:rFonts w:ascii="宋体" w:hAnsi="宋体"/>
          <w:color w:val="000000"/>
          <w:szCs w:val="21"/>
        </w:rPr>
      </w:pPr>
      <w:r>
        <w:rPr>
          <w:rFonts w:hint="eastAsia" w:ascii="宋体" w:hAnsi="宋体"/>
          <w:color w:val="000000"/>
          <w:szCs w:val="21"/>
        </w:rPr>
        <w:t>3.2判定原则</w:t>
      </w:r>
    </w:p>
    <w:p w14:paraId="0CC0E05D">
      <w:pPr>
        <w:snapToGrid w:val="0"/>
        <w:spacing w:line="440" w:lineRule="exact"/>
        <w:ind w:firstLine="420" w:firstLineChars="200"/>
        <w:rPr>
          <w:rFonts w:ascii="宋体" w:hAnsi="宋体"/>
          <w:color w:val="000000"/>
          <w:szCs w:val="21"/>
        </w:rPr>
      </w:pPr>
      <w:r>
        <w:rPr>
          <w:rFonts w:hint="eastAsia" w:ascii="宋体" w:hAnsi="宋体"/>
          <w:color w:val="000000"/>
          <w:szCs w:val="21"/>
        </w:rPr>
        <w:t>经检验，检验项目全部合格，判定为被抽查产品</w:t>
      </w:r>
      <w:r>
        <w:rPr>
          <w:rFonts w:hint="eastAsia"/>
          <w:color w:val="000000"/>
          <w:szCs w:val="21"/>
        </w:rPr>
        <w:t>所检项目未发现不</w:t>
      </w:r>
      <w:r>
        <w:rPr>
          <w:color w:val="000000"/>
          <w:szCs w:val="21"/>
        </w:rPr>
        <w:t>合格</w:t>
      </w:r>
      <w:r>
        <w:rPr>
          <w:rFonts w:hint="eastAsia" w:ascii="宋体" w:hAnsi="宋体"/>
          <w:color w:val="000000"/>
          <w:szCs w:val="21"/>
        </w:rPr>
        <w:t>；检验项目中任一项或一项以上不合格，判定为被抽查产品不合格。</w:t>
      </w:r>
    </w:p>
    <w:p w14:paraId="6166B55B">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若被检产品明示的质量要求高于本细则中检验项目依据的标准要求时，应按被检产品明示的质量要求判定。</w:t>
      </w:r>
    </w:p>
    <w:p w14:paraId="09369EB6">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若被检产品明示的质量要求低于本细则中检验项目依据的强制性标准要求时，应按照强制性标准要求判定。</w:t>
      </w:r>
    </w:p>
    <w:p w14:paraId="0A10579A">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若被检产品明示的质量要求低于或包含本细则中检验项目依据的推荐性标准要求时，应以被检产品明示的质量要求判定。</w:t>
      </w:r>
    </w:p>
    <w:p w14:paraId="2ED84C13">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若被检产品明示的质量要求缺少本细则中检验项目依据的强制性标准要求时，应按照强制性标准要求判定。</w:t>
      </w:r>
    </w:p>
    <w:p w14:paraId="7CA52512">
      <w:pPr>
        <w:snapToGrid w:val="0"/>
        <w:spacing w:line="440" w:lineRule="exact"/>
        <w:ind w:firstLine="420" w:firstLineChars="200"/>
        <w:rPr>
          <w:rFonts w:ascii="宋体" w:hAnsi="宋体"/>
          <w:color w:val="FF0000"/>
          <w:szCs w:val="21"/>
        </w:rPr>
      </w:pPr>
      <w:r>
        <w:rPr>
          <w:rFonts w:hint="eastAsia" w:ascii="宋体" w:hAnsi="宋体"/>
          <w:color w:val="000000"/>
          <w:szCs w:val="21"/>
        </w:rPr>
        <w:t>若被检产品明示的质量要求缺少本细则中检验项目依据的推荐性标准要求时，该项目不参与判定。</w:t>
      </w:r>
    </w:p>
    <w:p w14:paraId="76BDD862">
      <w:pPr>
        <w:snapToGrid w:val="0"/>
        <w:spacing w:line="440" w:lineRule="exact"/>
        <w:ind w:firstLine="417" w:firstLineChars="199"/>
        <w:rPr>
          <w:rFonts w:hint="eastAsia" w:ascii="宋体" w:hAnsi="宋体"/>
          <w:color w:val="000000"/>
          <w:szCs w:val="21"/>
        </w:rPr>
      </w:pPr>
    </w:p>
    <w:p w14:paraId="5DEE7664"/>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微软雅黑"/>
    <w:panose1 w:val="02010601030101010101"/>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仿宋简体">
    <w:altName w:val="微软雅黑"/>
    <w:panose1 w:val="02000000000000000000"/>
    <w:charset w:val="86"/>
    <w:family w:val="auto"/>
    <w:pitch w:val="default"/>
    <w:sig w:usb0="00000000" w:usb1="00000000" w:usb2="00000012" w:usb3="00000000" w:csb0="00040001" w:csb1="00000000"/>
  </w:font>
  <w:font w:name="KSOFBBF09B1B">
    <w:panose1 w:val="020B0503020204020204"/>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DBB1E8">
    <w:pPr>
      <w:pStyle w:val="3"/>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07DA6FB7">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CA0726">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2</w:t>
    </w:r>
    <w:r>
      <w:fldChar w:fldCharType="end"/>
    </w:r>
  </w:p>
  <w:p w14:paraId="365D14A6">
    <w:pPr>
      <w:pStyle w:val="3"/>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E7582">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661ADE"/>
    <w:rsid w:val="02573F78"/>
    <w:rsid w:val="22641C08"/>
    <w:rsid w:val="44D143FE"/>
    <w:rsid w:val="6B661ADE"/>
    <w:rsid w:val="702D3F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rFonts w:ascii="仿宋_GB2312" w:eastAsia="仿宋_GB2312"/>
      <w:sz w:val="32"/>
    </w:r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721</Words>
  <Characters>909</Characters>
  <Lines>0</Lines>
  <Paragraphs>0</Paragraphs>
  <TotalTime>2</TotalTime>
  <ScaleCrop>false</ScaleCrop>
  <LinksUpToDate>false</LinksUpToDate>
  <CharactersWithSpaces>933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2026-07-08T08:49:00Z</dcterms:created>
  <dc:creator>微笑</dc:creator>
  <cp:lastModifiedBy>微笑</cp:lastModifiedBy>
  <dcterms:modified xsi:type="dcterms:W3CDTF">2026-07-08T09:21:59Z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3FAE2C6003B540C293CBC5D2093E7FFC_11</vt:lpwstr>
  </property>
  <property fmtid="{D5CDD505-2E9C-101B-9397-08002B2CF9AE}" pid="4" name="KSOTemplateDocerSaveRecord">
    <vt:lpwstr>eyJoZGlkIjoiYmJjYmI1OTY0YmQwN2NhMmUwZjhiN2ExMWI3N2JiMzciLCJ1c2VySWQiOiI1MzUxMTA0NzkifQ==</vt:lpwstr>
  </property>
</Properties>
</file>