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E8E9E2">
      <w:pPr>
        <w:widowControl w:val="0"/>
        <w:snapToGrid w:val="0"/>
        <w:spacing w:after="0" w:line="360" w:lineRule="auto"/>
        <w:jc w:val="center"/>
        <w:rPr>
          <w:rFonts w:hint="eastAsia" w:ascii="方正小标宋简体" w:hAnsi="仿宋" w:eastAsia="方正小标宋简体" w:cs="方正仿宋简体"/>
          <w:kern w:val="2"/>
          <w:sz w:val="32"/>
          <w:szCs w:val="32"/>
          <w:lang w:eastAsia="zh-CN"/>
        </w:rPr>
      </w:pPr>
      <w:r>
        <w:rPr>
          <w:rFonts w:hint="eastAsia" w:ascii="方正小标宋简体" w:hAnsi="仿宋" w:eastAsia="方正小标宋简体" w:cs="方正仿宋简体"/>
          <w:kern w:val="2"/>
          <w:sz w:val="32"/>
          <w:szCs w:val="32"/>
          <w:lang w:eastAsia="zh-CN"/>
        </w:rPr>
        <w:t>重庆市摩托车和轻便摩托车减震器产品质量监督抽查实施细则（202</w:t>
      </w:r>
      <w:r>
        <w:rPr>
          <w:rFonts w:hint="eastAsia" w:ascii="方正小标宋简体" w:hAnsi="仿宋" w:eastAsia="方正小标宋简体" w:cs="方正仿宋简体"/>
          <w:kern w:val="2"/>
          <w:sz w:val="32"/>
          <w:szCs w:val="32"/>
          <w:lang w:val="en-US" w:eastAsia="zh-CN"/>
        </w:rPr>
        <w:t>6</w:t>
      </w:r>
      <w:r>
        <w:rPr>
          <w:rFonts w:hint="eastAsia" w:ascii="方正小标宋简体" w:hAnsi="仿宋" w:eastAsia="方正小标宋简体" w:cs="方正仿宋简体"/>
          <w:kern w:val="2"/>
          <w:sz w:val="32"/>
          <w:szCs w:val="32"/>
          <w:lang w:eastAsia="zh-CN"/>
        </w:rPr>
        <w:t>年</w:t>
      </w:r>
      <w:r>
        <w:rPr>
          <w:rFonts w:hint="eastAsia" w:ascii="方正小标宋简体" w:hAnsi="仿宋" w:eastAsia="方正小标宋简体" w:cs="方正仿宋简体"/>
          <w:kern w:val="2"/>
          <w:sz w:val="32"/>
          <w:szCs w:val="32"/>
          <w:lang w:val="en-US" w:eastAsia="zh-CN"/>
        </w:rPr>
        <w:t>版</w:t>
      </w:r>
      <w:r>
        <w:rPr>
          <w:rFonts w:hint="eastAsia" w:ascii="方正小标宋简体" w:hAnsi="仿宋" w:eastAsia="方正小标宋简体" w:cs="方正仿宋简体"/>
          <w:kern w:val="2"/>
          <w:sz w:val="32"/>
          <w:szCs w:val="32"/>
          <w:lang w:eastAsia="zh-CN"/>
        </w:rPr>
        <w:t>）</w:t>
      </w:r>
    </w:p>
    <w:p w14:paraId="38D9B8A3">
      <w:pPr>
        <w:widowControl w:val="0"/>
        <w:snapToGrid w:val="0"/>
        <w:spacing w:after="0" w:line="440" w:lineRule="exact"/>
        <w:jc w:val="both"/>
        <w:rPr>
          <w:rFonts w:hint="eastAsia" w:ascii="黑体" w:hAnsi="宋体" w:eastAsia="黑体" w:cs="Times New Roman"/>
          <w:kern w:val="2"/>
          <w:sz w:val="21"/>
          <w:szCs w:val="21"/>
          <w:lang w:eastAsia="zh-CN"/>
        </w:rPr>
      </w:pPr>
      <w:r>
        <w:rPr>
          <w:rFonts w:hint="eastAsia" w:ascii="黑体" w:hAnsi="宋体" w:eastAsia="黑体" w:cs="Times New Roman"/>
          <w:kern w:val="2"/>
          <w:sz w:val="21"/>
          <w:szCs w:val="21"/>
          <w:lang w:eastAsia="zh-CN"/>
        </w:rPr>
        <w:t>1 抽样方法</w:t>
      </w:r>
    </w:p>
    <w:p w14:paraId="63109400">
      <w:pPr>
        <w:widowControl w:val="0"/>
        <w:snapToGrid w:val="0"/>
        <w:spacing w:after="0" w:line="440" w:lineRule="exact"/>
        <w:ind w:firstLine="420" w:firstLineChars="200"/>
        <w:jc w:val="both"/>
        <w:rPr>
          <w:rFonts w:hint="eastAsia" w:ascii="宋体" w:hAnsi="宋体" w:cs="Times New Roman"/>
          <w:color w:val="000000"/>
          <w:kern w:val="2"/>
          <w:sz w:val="21"/>
          <w:szCs w:val="21"/>
          <w:lang w:eastAsia="zh-CN"/>
        </w:rPr>
      </w:pPr>
      <w:r>
        <w:rPr>
          <w:rFonts w:hint="eastAsia" w:ascii="宋体" w:hAnsi="宋体" w:cs="Times New Roman"/>
          <w:color w:val="000000"/>
          <w:kern w:val="2"/>
          <w:sz w:val="21"/>
          <w:szCs w:val="21"/>
          <w:lang w:eastAsia="zh-CN"/>
        </w:rPr>
        <w:t>以随机抽样的方式在被抽样生产者、销售者的待销产品中抽取。</w:t>
      </w:r>
    </w:p>
    <w:p w14:paraId="17EC4213">
      <w:pPr>
        <w:widowControl w:val="0"/>
        <w:snapToGrid w:val="0"/>
        <w:spacing w:after="0" w:line="440" w:lineRule="exact"/>
        <w:ind w:firstLine="420" w:firstLineChars="200"/>
        <w:jc w:val="both"/>
        <w:rPr>
          <w:rFonts w:hint="eastAsia" w:ascii="宋体" w:hAnsi="宋体" w:cs="Times New Roman"/>
          <w:color w:val="000000"/>
          <w:kern w:val="2"/>
          <w:sz w:val="21"/>
          <w:szCs w:val="21"/>
          <w:lang w:eastAsia="zh-CN"/>
        </w:rPr>
      </w:pPr>
      <w:r>
        <w:rPr>
          <w:rFonts w:hint="eastAsia" w:ascii="宋体" w:hAnsi="宋体" w:cs="Times New Roman"/>
          <w:color w:val="000000"/>
          <w:kern w:val="2"/>
          <w:sz w:val="21"/>
          <w:szCs w:val="21"/>
          <w:lang w:eastAsia="zh-CN"/>
        </w:rPr>
        <w:t>随机数一般可使用随机数表等方法产生。</w:t>
      </w:r>
    </w:p>
    <w:p w14:paraId="2217711F">
      <w:pPr>
        <w:widowControl w:val="0"/>
        <w:snapToGrid w:val="0"/>
        <w:spacing w:after="0" w:line="440" w:lineRule="exact"/>
        <w:ind w:firstLine="420" w:firstLineChars="200"/>
        <w:jc w:val="both"/>
        <w:rPr>
          <w:rFonts w:hint="eastAsia" w:ascii="宋体" w:hAnsi="宋体" w:cs="Times New Roman"/>
          <w:color w:val="000000"/>
          <w:kern w:val="2"/>
          <w:sz w:val="21"/>
          <w:szCs w:val="21"/>
          <w:lang w:eastAsia="zh-CN"/>
        </w:rPr>
      </w:pPr>
      <w:r>
        <w:rPr>
          <w:rFonts w:hint="eastAsia" w:ascii="宋体" w:hAnsi="宋体" w:cs="Times New Roman"/>
          <w:color w:val="000000"/>
          <w:kern w:val="2"/>
          <w:sz w:val="21"/>
          <w:szCs w:val="21"/>
          <w:lang w:eastAsia="zh-CN"/>
        </w:rPr>
        <w:t>每批次</w:t>
      </w:r>
      <w:r>
        <w:rPr>
          <w:rFonts w:hint="eastAsia" w:cs="Times New Roman"/>
          <w:color w:val="000000"/>
          <w:kern w:val="2"/>
          <w:sz w:val="21"/>
          <w:szCs w:val="21"/>
          <w:lang w:val="en-US" w:eastAsia="zh-CN"/>
        </w:rPr>
        <w:t>产</w:t>
      </w:r>
      <w:r>
        <w:rPr>
          <w:rFonts w:hint="eastAsia" w:ascii="宋体" w:hAnsi="宋体" w:cs="Times New Roman"/>
          <w:color w:val="000000"/>
          <w:kern w:val="2"/>
          <w:sz w:val="21"/>
          <w:szCs w:val="21"/>
          <w:lang w:eastAsia="zh-CN"/>
        </w:rPr>
        <w:t>品抽取</w:t>
      </w:r>
      <w:r>
        <w:rPr>
          <w:rFonts w:hint="eastAsia" w:cs="Times New Roman"/>
          <w:color w:val="000000"/>
          <w:kern w:val="2"/>
          <w:sz w:val="21"/>
          <w:szCs w:val="21"/>
          <w:lang w:val="en-US" w:eastAsia="zh-CN"/>
        </w:rPr>
        <w:t>样品6只</w:t>
      </w:r>
      <w:r>
        <w:rPr>
          <w:rFonts w:hint="eastAsia" w:ascii="宋体" w:hAnsi="宋体" w:cs="Times New Roman"/>
          <w:color w:val="000000"/>
          <w:kern w:val="2"/>
          <w:sz w:val="21"/>
          <w:szCs w:val="21"/>
          <w:lang w:eastAsia="zh-CN"/>
        </w:rPr>
        <w:t>，其中</w:t>
      </w:r>
      <w:r>
        <w:rPr>
          <w:rFonts w:hint="eastAsia" w:cs="Times New Roman"/>
          <w:color w:val="000000"/>
          <w:kern w:val="2"/>
          <w:sz w:val="21"/>
          <w:szCs w:val="21"/>
          <w:lang w:val="en-US" w:eastAsia="zh-CN"/>
        </w:rPr>
        <w:t>3只</w:t>
      </w:r>
      <w:r>
        <w:rPr>
          <w:rFonts w:hint="eastAsia" w:ascii="宋体" w:hAnsi="宋体" w:cs="Times New Roman"/>
          <w:color w:val="000000"/>
          <w:kern w:val="2"/>
          <w:sz w:val="21"/>
          <w:szCs w:val="21"/>
          <w:lang w:eastAsia="zh-CN"/>
        </w:rPr>
        <w:t>为检验样品，</w:t>
      </w:r>
      <w:r>
        <w:rPr>
          <w:rFonts w:hint="eastAsia" w:cs="Times New Roman"/>
          <w:color w:val="000000"/>
          <w:kern w:val="2"/>
          <w:sz w:val="21"/>
          <w:szCs w:val="21"/>
          <w:lang w:val="en-US" w:eastAsia="zh-CN"/>
        </w:rPr>
        <w:t>3只</w:t>
      </w:r>
      <w:r>
        <w:rPr>
          <w:rFonts w:hint="eastAsia" w:ascii="宋体" w:hAnsi="宋体" w:cs="Times New Roman"/>
          <w:color w:val="000000"/>
          <w:kern w:val="2"/>
          <w:sz w:val="21"/>
          <w:szCs w:val="21"/>
          <w:lang w:eastAsia="zh-CN"/>
        </w:rPr>
        <w:t>为备用样品。</w:t>
      </w:r>
    </w:p>
    <w:p w14:paraId="7CF8BB6B">
      <w:pPr>
        <w:widowControl w:val="0"/>
        <w:snapToGrid w:val="0"/>
        <w:spacing w:after="0" w:line="440" w:lineRule="exact"/>
        <w:jc w:val="both"/>
        <w:rPr>
          <w:rFonts w:hint="eastAsia" w:ascii="黑体" w:hAnsi="宋体" w:eastAsia="黑体" w:cs="Times New Roman"/>
          <w:kern w:val="2"/>
          <w:sz w:val="21"/>
          <w:szCs w:val="21"/>
          <w:lang w:eastAsia="zh-CN"/>
        </w:rPr>
      </w:pPr>
    </w:p>
    <w:p w14:paraId="57815F49">
      <w:pPr>
        <w:widowControl w:val="0"/>
        <w:snapToGrid w:val="0"/>
        <w:spacing w:after="0" w:line="440" w:lineRule="exact"/>
        <w:jc w:val="both"/>
        <w:rPr>
          <w:rFonts w:hint="eastAsia" w:ascii="黑体" w:hAnsi="宋体" w:eastAsia="黑体" w:cs="Times New Roman"/>
          <w:kern w:val="2"/>
          <w:sz w:val="21"/>
          <w:szCs w:val="21"/>
          <w:lang w:eastAsia="zh-CN"/>
        </w:rPr>
      </w:pPr>
      <w:r>
        <w:rPr>
          <w:rFonts w:hint="eastAsia" w:ascii="黑体" w:hAnsi="宋体" w:eastAsia="黑体" w:cs="Times New Roman"/>
          <w:kern w:val="2"/>
          <w:sz w:val="21"/>
          <w:szCs w:val="21"/>
          <w:lang w:eastAsia="zh-CN"/>
        </w:rPr>
        <w:t>2 检验依据</w:t>
      </w:r>
    </w:p>
    <w:p w14:paraId="5F64D740">
      <w:pPr>
        <w:widowControl w:val="0"/>
        <w:snapToGrid w:val="0"/>
        <w:spacing w:after="0" w:line="440" w:lineRule="exact"/>
        <w:jc w:val="both"/>
        <w:rPr>
          <w:rFonts w:hint="eastAsia" w:ascii="黑体" w:hAnsi="宋体" w:eastAsia="黑体" w:cs="Times New Roman"/>
          <w:kern w:val="2"/>
          <w:sz w:val="21"/>
          <w:szCs w:val="21"/>
          <w:lang w:eastAsia="zh-CN"/>
        </w:rPr>
      </w:pPr>
    </w:p>
    <w:tbl>
      <w:tblPr>
        <w:tblStyle w:val="3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3"/>
        <w:gridCol w:w="3686"/>
        <w:gridCol w:w="3509"/>
      </w:tblGrid>
      <w:tr w14:paraId="1176A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1443" w:type="dxa"/>
            <w:vAlign w:val="center"/>
          </w:tcPr>
          <w:p w14:paraId="69E4A36B">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hint="eastAsia" w:ascii="宋体" w:hAnsi="宋体" w:eastAsia="宋体" w:cs="宋体"/>
                <w:sz w:val="21"/>
                <w:szCs w:val="21"/>
              </w:rPr>
            </w:pPr>
            <w:r>
              <w:rPr>
                <w:rFonts w:hint="eastAsia" w:ascii="宋体" w:hAnsi="宋体" w:eastAsia="宋体" w:cs="宋体"/>
                <w:b/>
                <w:sz w:val="21"/>
                <w:szCs w:val="21"/>
              </w:rPr>
              <w:t>序号</w:t>
            </w:r>
          </w:p>
        </w:tc>
        <w:tc>
          <w:tcPr>
            <w:tcW w:w="3686" w:type="dxa"/>
            <w:vAlign w:val="center"/>
          </w:tcPr>
          <w:p w14:paraId="32EB8058">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hint="eastAsia" w:ascii="宋体" w:hAnsi="宋体" w:eastAsia="宋体" w:cs="宋体"/>
                <w:sz w:val="21"/>
                <w:szCs w:val="21"/>
              </w:rPr>
            </w:pPr>
            <w:r>
              <w:rPr>
                <w:rFonts w:hint="eastAsia" w:ascii="宋体" w:hAnsi="宋体" w:eastAsia="宋体" w:cs="宋体"/>
                <w:b/>
                <w:sz w:val="21"/>
                <w:szCs w:val="21"/>
              </w:rPr>
              <w:t>检验项目</w:t>
            </w:r>
          </w:p>
        </w:tc>
        <w:tc>
          <w:tcPr>
            <w:tcW w:w="3509" w:type="dxa"/>
            <w:vAlign w:val="center"/>
          </w:tcPr>
          <w:p w14:paraId="229D2A65">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hint="eastAsia" w:ascii="宋体" w:hAnsi="宋体" w:eastAsia="宋体" w:cs="宋体"/>
                <w:sz w:val="21"/>
                <w:szCs w:val="21"/>
              </w:rPr>
            </w:pPr>
            <w:r>
              <w:rPr>
                <w:rFonts w:hint="eastAsia" w:ascii="宋体" w:hAnsi="宋体" w:eastAsia="宋体" w:cs="宋体"/>
                <w:b/>
                <w:sz w:val="21"/>
                <w:szCs w:val="21"/>
              </w:rPr>
              <w:t>检验方法</w:t>
            </w:r>
          </w:p>
        </w:tc>
      </w:tr>
      <w:tr w14:paraId="50D66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1443" w:type="dxa"/>
            <w:vAlign w:val="center"/>
          </w:tcPr>
          <w:p w14:paraId="52B86085">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1</w:t>
            </w:r>
          </w:p>
        </w:tc>
        <w:tc>
          <w:tcPr>
            <w:tcW w:w="3686" w:type="dxa"/>
            <w:vAlign w:val="center"/>
          </w:tcPr>
          <w:p w14:paraId="7821C6AA">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hint="eastAsia" w:ascii="宋体" w:hAnsi="宋体" w:eastAsia="宋体" w:cs="宋体"/>
                <w:sz w:val="21"/>
                <w:szCs w:val="21"/>
              </w:rPr>
            </w:pPr>
            <w:r>
              <w:rPr>
                <w:rFonts w:hint="eastAsia" w:ascii="宋体" w:hAnsi="宋体" w:eastAsia="宋体" w:cs="宋体"/>
                <w:spacing w:val="-1"/>
                <w:sz w:val="21"/>
                <w:szCs w:val="21"/>
              </w:rPr>
              <w:t>一般要求</w:t>
            </w:r>
          </w:p>
        </w:tc>
        <w:tc>
          <w:tcPr>
            <w:tcW w:w="3509" w:type="dxa"/>
            <w:vAlign w:val="center"/>
          </w:tcPr>
          <w:p w14:paraId="5EE85ECA">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QC/T 62-2021</w:t>
            </w:r>
          </w:p>
        </w:tc>
      </w:tr>
      <w:tr w14:paraId="0BB40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1443" w:type="dxa"/>
            <w:vAlign w:val="center"/>
          </w:tcPr>
          <w:p w14:paraId="1DD0A165">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2</w:t>
            </w:r>
          </w:p>
        </w:tc>
        <w:tc>
          <w:tcPr>
            <w:tcW w:w="3686" w:type="dxa"/>
            <w:vAlign w:val="center"/>
          </w:tcPr>
          <w:p w14:paraId="059649A6">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hint="eastAsia" w:ascii="宋体" w:hAnsi="宋体" w:eastAsia="宋体" w:cs="宋体"/>
                <w:spacing w:val="-1"/>
                <w:sz w:val="21"/>
                <w:szCs w:val="21"/>
              </w:rPr>
            </w:pPr>
            <w:r>
              <w:rPr>
                <w:rFonts w:hint="eastAsia" w:ascii="宋体" w:hAnsi="宋体" w:eastAsia="宋体" w:cs="宋体"/>
                <w:spacing w:val="-1"/>
                <w:sz w:val="21"/>
                <w:szCs w:val="21"/>
              </w:rPr>
              <w:t>强度</w:t>
            </w:r>
          </w:p>
        </w:tc>
        <w:tc>
          <w:tcPr>
            <w:tcW w:w="3509" w:type="dxa"/>
            <w:vAlign w:val="center"/>
          </w:tcPr>
          <w:p w14:paraId="4140C6CD">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QC/T 62-2021</w:t>
            </w:r>
          </w:p>
        </w:tc>
      </w:tr>
      <w:tr w14:paraId="78BC1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1443" w:type="dxa"/>
            <w:vAlign w:val="center"/>
          </w:tcPr>
          <w:p w14:paraId="6E4B60F5">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hint="eastAsia" w:ascii="宋体" w:hAnsi="宋体" w:eastAsia="宋体" w:cs="宋体"/>
                <w:sz w:val="21"/>
                <w:szCs w:val="21"/>
                <w:lang w:eastAsia="zh-CN"/>
              </w:rPr>
            </w:pPr>
            <w:r>
              <w:rPr>
                <w:rFonts w:hint="eastAsia" w:cs="宋体"/>
                <w:sz w:val="21"/>
                <w:szCs w:val="21"/>
                <w:lang w:val="en-US" w:eastAsia="zh-CN"/>
              </w:rPr>
              <w:t>3</w:t>
            </w:r>
          </w:p>
        </w:tc>
        <w:tc>
          <w:tcPr>
            <w:tcW w:w="3686" w:type="dxa"/>
            <w:vAlign w:val="center"/>
          </w:tcPr>
          <w:p w14:paraId="3DF641C4">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hint="eastAsia" w:ascii="宋体" w:hAnsi="宋体" w:eastAsia="宋体" w:cs="宋体"/>
                <w:spacing w:val="-1"/>
                <w:sz w:val="21"/>
                <w:szCs w:val="21"/>
              </w:rPr>
            </w:pPr>
            <w:r>
              <w:rPr>
                <w:rFonts w:hint="eastAsia" w:ascii="宋体" w:hAnsi="宋体" w:eastAsia="宋体" w:cs="宋体"/>
                <w:spacing w:val="-1"/>
                <w:sz w:val="21"/>
                <w:szCs w:val="21"/>
              </w:rPr>
              <w:t>示功特性</w:t>
            </w:r>
          </w:p>
        </w:tc>
        <w:tc>
          <w:tcPr>
            <w:tcW w:w="3509" w:type="dxa"/>
            <w:vAlign w:val="center"/>
          </w:tcPr>
          <w:p w14:paraId="75E91888">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QC/T 62-2021</w:t>
            </w:r>
          </w:p>
        </w:tc>
      </w:tr>
      <w:tr w14:paraId="36BCE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1443" w:type="dxa"/>
            <w:vAlign w:val="center"/>
          </w:tcPr>
          <w:p w14:paraId="455820A5">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hint="eastAsia" w:ascii="宋体" w:hAnsi="宋体" w:eastAsia="宋体" w:cs="宋体"/>
                <w:sz w:val="21"/>
                <w:szCs w:val="21"/>
                <w:lang w:eastAsia="zh-CN"/>
              </w:rPr>
            </w:pPr>
            <w:r>
              <w:rPr>
                <w:rFonts w:hint="eastAsia" w:cs="宋体"/>
                <w:sz w:val="21"/>
                <w:szCs w:val="21"/>
                <w:lang w:val="en-US" w:eastAsia="zh-CN"/>
              </w:rPr>
              <w:t>4</w:t>
            </w:r>
          </w:p>
        </w:tc>
        <w:tc>
          <w:tcPr>
            <w:tcW w:w="3686" w:type="dxa"/>
            <w:vAlign w:val="center"/>
          </w:tcPr>
          <w:p w14:paraId="7303FDE0">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hint="eastAsia" w:ascii="宋体" w:hAnsi="宋体" w:eastAsia="宋体" w:cs="宋体"/>
                <w:spacing w:val="-1"/>
                <w:sz w:val="21"/>
                <w:szCs w:val="21"/>
              </w:rPr>
            </w:pPr>
            <w:r>
              <w:rPr>
                <w:rFonts w:hint="eastAsia" w:ascii="宋体" w:hAnsi="宋体" w:eastAsia="宋体" w:cs="宋体"/>
                <w:spacing w:val="-1"/>
                <w:sz w:val="21"/>
                <w:szCs w:val="21"/>
              </w:rPr>
              <w:t>温度特性</w:t>
            </w:r>
          </w:p>
        </w:tc>
        <w:tc>
          <w:tcPr>
            <w:tcW w:w="3509" w:type="dxa"/>
            <w:vAlign w:val="center"/>
          </w:tcPr>
          <w:p w14:paraId="017C8BD6">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QC/T 62-2021</w:t>
            </w:r>
          </w:p>
        </w:tc>
      </w:tr>
    </w:tbl>
    <w:p w14:paraId="3997E5A5">
      <w:pPr>
        <w:widowControl w:val="0"/>
        <w:snapToGrid w:val="0"/>
        <w:spacing w:after="0" w:line="440" w:lineRule="exact"/>
        <w:ind w:firstLine="420" w:firstLineChars="200"/>
        <w:jc w:val="both"/>
        <w:rPr>
          <w:rFonts w:hint="eastAsia" w:ascii="宋体" w:hAnsi="宋体" w:cs="Times New Roman"/>
          <w:color w:val="000000"/>
          <w:kern w:val="2"/>
          <w:sz w:val="21"/>
          <w:szCs w:val="21"/>
          <w:lang w:eastAsia="zh-CN"/>
        </w:rPr>
      </w:pPr>
    </w:p>
    <w:p w14:paraId="171C035B">
      <w:pPr>
        <w:widowControl w:val="0"/>
        <w:snapToGrid w:val="0"/>
        <w:spacing w:after="0" w:line="440" w:lineRule="exact"/>
        <w:ind w:firstLine="420" w:firstLineChars="200"/>
        <w:jc w:val="both"/>
        <w:rPr>
          <w:rFonts w:hint="eastAsia" w:ascii="宋体" w:hAnsi="宋体" w:cs="Times New Roman"/>
          <w:color w:val="000000"/>
          <w:kern w:val="2"/>
          <w:sz w:val="21"/>
          <w:szCs w:val="21"/>
          <w:lang w:eastAsia="zh-CN"/>
        </w:rPr>
      </w:pPr>
      <w:r>
        <w:rPr>
          <w:rFonts w:hint="eastAsia" w:ascii="宋体" w:hAnsi="宋体" w:cs="Times New Roman"/>
          <w:color w:val="000000"/>
          <w:kern w:val="2"/>
          <w:sz w:val="21"/>
          <w:szCs w:val="21"/>
          <w:lang w:eastAsia="zh-CN"/>
        </w:rPr>
        <w:t>执行企业标准、团体标准、地方标准的产品，检验项目参照上述内容执行。</w:t>
      </w:r>
    </w:p>
    <w:p w14:paraId="65C5366C">
      <w:pPr>
        <w:widowControl w:val="0"/>
        <w:snapToGrid w:val="0"/>
        <w:spacing w:after="0" w:line="440" w:lineRule="exact"/>
        <w:ind w:firstLine="420" w:firstLineChars="200"/>
        <w:jc w:val="both"/>
        <w:rPr>
          <w:rFonts w:hint="eastAsia" w:ascii="宋体" w:hAnsi="宋体" w:cs="Times New Roman"/>
          <w:color w:val="000000"/>
          <w:kern w:val="2"/>
          <w:sz w:val="21"/>
          <w:szCs w:val="21"/>
          <w:lang w:eastAsia="zh-CN"/>
        </w:rPr>
      </w:pPr>
      <w:r>
        <w:rPr>
          <w:rFonts w:hint="eastAsia" w:ascii="宋体" w:hAnsi="宋体" w:cs="Times New Roman"/>
          <w:color w:val="000000"/>
          <w:kern w:val="2"/>
          <w:sz w:val="21"/>
          <w:szCs w:val="21"/>
          <w:lang w:eastAsia="zh-CN"/>
        </w:rPr>
        <w:t>凡是注日期的文件，其随后所有的修改单（不包括勘误的内容）或修订版不适用于本细则。凡是不注日期的文件，其最新版本适用于本细则。</w:t>
      </w:r>
    </w:p>
    <w:p w14:paraId="69B38457">
      <w:pPr>
        <w:widowControl w:val="0"/>
        <w:snapToGrid w:val="0"/>
        <w:spacing w:after="0" w:line="440" w:lineRule="exact"/>
        <w:ind w:firstLine="420" w:firstLineChars="200"/>
        <w:jc w:val="both"/>
        <w:rPr>
          <w:rFonts w:hint="eastAsia" w:ascii="宋体" w:hAnsi="宋体" w:cs="Times New Roman"/>
          <w:color w:val="000000"/>
          <w:kern w:val="2"/>
          <w:sz w:val="21"/>
          <w:szCs w:val="21"/>
          <w:lang w:eastAsia="zh-CN"/>
        </w:rPr>
      </w:pPr>
    </w:p>
    <w:p w14:paraId="2FBE6CAC">
      <w:pPr>
        <w:pageBreakBefore w:val="0"/>
        <w:widowControl w:val="0"/>
        <w:kinsoku/>
        <w:wordWrap/>
        <w:overflowPunct/>
        <w:topLinePunct w:val="0"/>
        <w:autoSpaceDE/>
        <w:autoSpaceDN/>
        <w:bidi w:val="0"/>
        <w:adjustRightInd/>
        <w:snapToGrid w:val="0"/>
        <w:spacing w:after="0" w:line="440" w:lineRule="exact"/>
        <w:jc w:val="both"/>
        <w:textAlignment w:val="auto"/>
        <w:rPr>
          <w:rFonts w:hint="eastAsia" w:ascii="黑体" w:hAnsi="宋体" w:eastAsia="黑体" w:cs="Times New Roman"/>
          <w:kern w:val="2"/>
          <w:sz w:val="21"/>
          <w:szCs w:val="21"/>
          <w:lang w:eastAsia="zh-CN"/>
        </w:rPr>
      </w:pPr>
      <w:r>
        <w:rPr>
          <w:rFonts w:hint="eastAsia" w:ascii="黑体" w:hAnsi="宋体" w:eastAsia="黑体" w:cs="Times New Roman"/>
          <w:kern w:val="2"/>
          <w:sz w:val="21"/>
          <w:szCs w:val="21"/>
          <w:lang w:eastAsia="zh-CN"/>
        </w:rPr>
        <w:t>3 判定规则</w:t>
      </w:r>
    </w:p>
    <w:p w14:paraId="1801A86E">
      <w:pPr>
        <w:pStyle w:val="4"/>
        <w:pageBreakBefore w:val="0"/>
        <w:kinsoku/>
        <w:wordWrap/>
        <w:overflowPunct/>
        <w:topLinePunct w:val="0"/>
        <w:autoSpaceDE/>
        <w:autoSpaceDN/>
        <w:bidi w:val="0"/>
        <w:adjustRightInd/>
        <w:spacing w:before="0" w:line="440" w:lineRule="exact"/>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3.1 依据标准</w:t>
      </w:r>
    </w:p>
    <w:p w14:paraId="358AB705">
      <w:pPr>
        <w:keepNext w:val="0"/>
        <w:keepLines w:val="0"/>
        <w:pageBreakBefore w:val="0"/>
        <w:widowControl/>
        <w:kinsoku/>
        <w:wordWrap/>
        <w:overflowPunct/>
        <w:topLinePunct w:val="0"/>
        <w:autoSpaceDE/>
        <w:autoSpaceDN/>
        <w:bidi w:val="0"/>
        <w:adjustRightInd/>
        <w:snapToGrid/>
        <w:spacing w:after="0" w:line="440" w:lineRule="exact"/>
        <w:ind w:firstLine="420" w:firstLineChars="200"/>
        <w:textAlignment w:val="auto"/>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QC/T 62-2021  摩托车和轻便摩托车减震器</w:t>
      </w:r>
      <w:bookmarkStart w:id="0" w:name="_GoBack"/>
      <w:bookmarkEnd w:id="0"/>
    </w:p>
    <w:p w14:paraId="726EB485">
      <w:pPr>
        <w:keepNext w:val="0"/>
        <w:keepLines w:val="0"/>
        <w:pageBreakBefore w:val="0"/>
        <w:widowControl/>
        <w:kinsoku/>
        <w:wordWrap/>
        <w:overflowPunct/>
        <w:topLinePunct w:val="0"/>
        <w:autoSpaceDE/>
        <w:autoSpaceDN/>
        <w:bidi w:val="0"/>
        <w:adjustRightInd/>
        <w:snapToGrid/>
        <w:spacing w:after="0" w:line="440" w:lineRule="exact"/>
        <w:ind w:firstLine="420" w:firstLineChars="200"/>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rPr>
        <w:t>现行有效的企业标准、团体标准、地方标准及产品明示质量要求</w:t>
      </w:r>
    </w:p>
    <w:p w14:paraId="42CFB93A">
      <w:pPr>
        <w:pStyle w:val="4"/>
        <w:pageBreakBefore w:val="0"/>
        <w:kinsoku/>
        <w:wordWrap/>
        <w:overflowPunct/>
        <w:topLinePunct w:val="0"/>
        <w:autoSpaceDE/>
        <w:autoSpaceDN/>
        <w:bidi w:val="0"/>
        <w:adjustRightInd/>
        <w:spacing w:before="0" w:line="440" w:lineRule="exact"/>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3.2 判定原则</w:t>
      </w:r>
    </w:p>
    <w:p w14:paraId="7C193809">
      <w:pPr>
        <w:keepNext w:val="0"/>
        <w:keepLines w:val="0"/>
        <w:pageBreakBefore w:val="0"/>
        <w:widowControl/>
        <w:kinsoku/>
        <w:wordWrap/>
        <w:overflowPunct/>
        <w:topLinePunct w:val="0"/>
        <w:autoSpaceDE/>
        <w:autoSpaceDN/>
        <w:bidi w:val="0"/>
        <w:adjustRightInd/>
        <w:snapToGrid/>
        <w:spacing w:after="0" w:line="44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经检验，检验项目全部合格，判定为被抽查产品所检项目未发现不合格；检验项目中任一项或一项以上不合格，判定为被抽查产品不合格。</w:t>
      </w:r>
    </w:p>
    <w:p w14:paraId="6896DD68">
      <w:pPr>
        <w:keepNext w:val="0"/>
        <w:keepLines w:val="0"/>
        <w:pageBreakBefore w:val="0"/>
        <w:widowControl/>
        <w:kinsoku/>
        <w:wordWrap/>
        <w:overflowPunct/>
        <w:topLinePunct w:val="0"/>
        <w:autoSpaceDE/>
        <w:autoSpaceDN/>
        <w:bidi w:val="0"/>
        <w:adjustRightInd/>
        <w:snapToGrid/>
        <w:spacing w:after="0" w:line="44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若被检产品明示的质量要求高于本细则中检验项目依据的标准要求时，应按被检产品明示的质量要求判定。</w:t>
      </w:r>
    </w:p>
    <w:p w14:paraId="09D51484">
      <w:pPr>
        <w:keepNext w:val="0"/>
        <w:keepLines w:val="0"/>
        <w:pageBreakBefore w:val="0"/>
        <w:widowControl/>
        <w:kinsoku/>
        <w:wordWrap/>
        <w:overflowPunct/>
        <w:topLinePunct w:val="0"/>
        <w:autoSpaceDE/>
        <w:autoSpaceDN/>
        <w:bidi w:val="0"/>
        <w:adjustRightInd/>
        <w:snapToGrid/>
        <w:spacing w:after="0" w:line="44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若被检产品明示的质量要求低于本细则中检验项目依据的强制性标准要求时，应按照强制性标准要求判定。</w:t>
      </w:r>
    </w:p>
    <w:p w14:paraId="3183E5F9">
      <w:pPr>
        <w:keepNext w:val="0"/>
        <w:keepLines w:val="0"/>
        <w:pageBreakBefore w:val="0"/>
        <w:widowControl/>
        <w:kinsoku/>
        <w:wordWrap/>
        <w:overflowPunct/>
        <w:topLinePunct w:val="0"/>
        <w:autoSpaceDE/>
        <w:autoSpaceDN/>
        <w:bidi w:val="0"/>
        <w:adjustRightInd/>
        <w:snapToGrid/>
        <w:spacing w:after="0" w:line="44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若被检产品明示的质量要求低于或包含细则中检验项目依据的推荐性标准要求时，应以被检产品明示的质量要求判定，但应在检验报告备注中进行说明。</w:t>
      </w:r>
    </w:p>
    <w:p w14:paraId="47EC75C5">
      <w:pPr>
        <w:keepNext w:val="0"/>
        <w:keepLines w:val="0"/>
        <w:pageBreakBefore w:val="0"/>
        <w:widowControl/>
        <w:kinsoku/>
        <w:wordWrap/>
        <w:overflowPunct/>
        <w:topLinePunct w:val="0"/>
        <w:autoSpaceDE/>
        <w:autoSpaceDN/>
        <w:bidi w:val="0"/>
        <w:adjustRightInd/>
        <w:snapToGrid/>
        <w:spacing w:after="0" w:line="44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若被检产品明示的质量要求缺少本细则中检验项目依据的强制性标准要求时，应按照强制性标准要求判定。</w:t>
      </w:r>
    </w:p>
    <w:p w14:paraId="0F962C14">
      <w:pPr>
        <w:keepNext w:val="0"/>
        <w:keepLines w:val="0"/>
        <w:pageBreakBefore w:val="0"/>
        <w:widowControl/>
        <w:kinsoku/>
        <w:wordWrap/>
        <w:overflowPunct/>
        <w:topLinePunct w:val="0"/>
        <w:autoSpaceDE/>
        <w:autoSpaceDN/>
        <w:bidi w:val="0"/>
        <w:adjustRightInd/>
        <w:snapToGrid/>
        <w:spacing w:after="0" w:line="44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若被检产品明示的质量要求缺少本细则中检验项目依据的推荐性标准要求时，该项目不参与判定，但应在检验报告备注中进行说明。</w:t>
      </w:r>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ＭＳ 明朝">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ＭＳ 明朝">
    <w:altName w:val="宋体"/>
    <w:panose1 w:val="00000000000000000000"/>
    <w:charset w:val="86"/>
    <w:family w:val="auto"/>
    <w:pitch w:val="default"/>
    <w:sig w:usb0="00000000" w:usb1="00000000" w:usb2="00000000" w:usb3="00000000" w:csb0="00000000" w:csb1="00000000"/>
  </w:font>
  <w:font w:name="MS Gothic">
    <w:panose1 w:val="020B0609070205080204"/>
    <w:charset w:val="80"/>
    <w:family w:val="auto"/>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简体">
    <w:panose1 w:val="02010601030101010101"/>
    <w:charset w:val="86"/>
    <w:family w:val="auto"/>
    <w:pitch w:val="default"/>
    <w:sig w:usb0="00000001" w:usb1="080E0000" w:usb2="00000000" w:usb3="00000000" w:csb0="00040000"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 w:val="03733754"/>
    <w:rsid w:val="096802A0"/>
    <w:rsid w:val="0D4707D5"/>
    <w:rsid w:val="1A700D8D"/>
    <w:rsid w:val="2A740F4E"/>
    <w:rsid w:val="32E62B90"/>
    <w:rsid w:val="3B7C0343"/>
    <w:rsid w:val="3FF54FEF"/>
    <w:rsid w:val="42A95270"/>
    <w:rsid w:val="43AB7A1F"/>
    <w:rsid w:val="5E397A80"/>
    <w:rsid w:val="6B454B70"/>
    <w:rsid w:val="71A6391C"/>
    <w:rsid w:val="754E76F9"/>
    <w:rsid w:val="75BD63F4"/>
    <w:rsid w:val="78F814CC"/>
    <w:rsid w:val="7D223C31"/>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qFormat="1" w:uiPriority="99" w:semiHidden="0" w:name="macro"/>
    <w:lsdException w:uiPriority="99" w:name="toa heading"/>
    <w:lsdException w:qFormat="1" w:uiPriority="99" w:semiHidden="0" w:name="List"/>
    <w:lsdException w:qFormat="1" w:uiPriority="99" w:semiHidden="0" w:name="List Bullet"/>
    <w:lsdException w:qFormat="1" w:uiPriority="99" w:semiHidden="0" w:name="List Number"/>
    <w:lsdException w:qFormat="1" w:uiPriority="99" w:semiHidden="0" w:name="List 2"/>
    <w:lsdException w:qFormat="1" w:uiPriority="99" w:semiHidden="0" w:name="List 3"/>
    <w:lsdException w:uiPriority="99" w:name="List 4"/>
    <w:lsdException w:uiPriority="99" w:name="List 5"/>
    <w:lsdException w:qFormat="1" w:uiPriority="99" w:semiHidden="0" w:name="List Bullet 2"/>
    <w:lsdException w:qFormat="1" w:uiPriority="99" w:semiHidden="0" w:name="List Bullet 3"/>
    <w:lsdException w:uiPriority="99" w:name="List Bullet 4"/>
    <w:lsdException w:uiPriority="99" w:name="List Bullet 5"/>
    <w:lsdException w:qFormat="1" w:uiPriority="99" w:semiHidden="0" w:name="List Number 2"/>
    <w:lsdException w:qFormat="1"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qFormat="1" w:uiPriority="99" w:semiHidden="0" w:name="List Continue"/>
    <w:lsdException w:qFormat="1" w:uiPriority="99" w:semiHidden="0" w:name="List Continue 2"/>
    <w:lsdException w:qFormat="1"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qFormat="1"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qFormat/>
    <w:uiPriority w:val="0"/>
    <w:pPr>
      <w:spacing w:after="200" w:line="276" w:lineRule="auto"/>
    </w:pPr>
    <w:rPr>
      <w:rFonts w:ascii="宋体" w:hAnsi="宋体" w:eastAsia="宋体" w:cstheme="minorBidi"/>
      <w:sz w:val="24"/>
      <w:szCs w:val="22"/>
      <w:lang w:val="en-US" w:eastAsia="en-US" w:bidi="ar-SA"/>
    </w:rPr>
  </w:style>
  <w:style w:type="paragraph" w:styleId="3">
    <w:name w:val="heading 1"/>
    <w:basedOn w:val="1"/>
    <w:next w:val="1"/>
    <w:link w:val="138"/>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39"/>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0"/>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0"/>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1"/>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2"/>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3"/>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4"/>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5"/>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2">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styleId="2">
    <w:name w:val="macro"/>
    <w:link w:val="147"/>
    <w:unhideWhenUsed/>
    <w:qFormat/>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qFormat/>
    <w:uiPriority w:val="99"/>
    <w:pPr>
      <w:ind w:left="1080" w:hanging="360"/>
      <w:contextualSpacing/>
    </w:pPr>
  </w:style>
  <w:style w:type="paragraph" w:styleId="13">
    <w:name w:val="List Number 2"/>
    <w:basedOn w:val="1"/>
    <w:unhideWhenUsed/>
    <w:qFormat/>
    <w:uiPriority w:val="99"/>
    <w:pPr>
      <w:numPr>
        <w:ilvl w:val="0"/>
        <w:numId w:val="1"/>
      </w:numPr>
      <w:contextualSpacing/>
    </w:pPr>
  </w:style>
  <w:style w:type="paragraph" w:styleId="14">
    <w:name w:val="List Number"/>
    <w:basedOn w:val="1"/>
    <w:unhideWhenUsed/>
    <w:qFormat/>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qFormat/>
    <w:uiPriority w:val="99"/>
    <w:pPr>
      <w:numPr>
        <w:ilvl w:val="0"/>
        <w:numId w:val="3"/>
      </w:numPr>
      <w:contextualSpacing/>
    </w:pPr>
  </w:style>
  <w:style w:type="paragraph" w:styleId="17">
    <w:name w:val="Body Text 3"/>
    <w:basedOn w:val="1"/>
    <w:link w:val="146"/>
    <w:unhideWhenUsed/>
    <w:qFormat/>
    <w:uiPriority w:val="99"/>
    <w:pPr>
      <w:spacing w:after="120"/>
    </w:pPr>
    <w:rPr>
      <w:sz w:val="16"/>
      <w:szCs w:val="16"/>
    </w:rPr>
  </w:style>
  <w:style w:type="paragraph" w:styleId="18">
    <w:name w:val="List Bullet 3"/>
    <w:basedOn w:val="1"/>
    <w:unhideWhenUsed/>
    <w:qFormat/>
    <w:uiPriority w:val="99"/>
    <w:pPr>
      <w:numPr>
        <w:ilvl w:val="0"/>
        <w:numId w:val="4"/>
      </w:numPr>
      <w:contextualSpacing/>
    </w:pPr>
  </w:style>
  <w:style w:type="paragraph" w:styleId="19">
    <w:name w:val="Body Text"/>
    <w:basedOn w:val="1"/>
    <w:link w:val="144"/>
    <w:unhideWhenUsed/>
    <w:qFormat/>
    <w:uiPriority w:val="99"/>
    <w:pPr>
      <w:spacing w:after="120"/>
    </w:pPr>
  </w:style>
  <w:style w:type="paragraph" w:styleId="20">
    <w:name w:val="List Number 3"/>
    <w:basedOn w:val="1"/>
    <w:unhideWhenUsed/>
    <w:qFormat/>
    <w:uiPriority w:val="99"/>
    <w:pPr>
      <w:numPr>
        <w:ilvl w:val="0"/>
        <w:numId w:val="5"/>
      </w:numPr>
      <w:contextualSpacing/>
    </w:pPr>
  </w:style>
  <w:style w:type="paragraph" w:styleId="21">
    <w:name w:val="List 2"/>
    <w:basedOn w:val="1"/>
    <w:unhideWhenUsed/>
    <w:qFormat/>
    <w:uiPriority w:val="99"/>
    <w:pPr>
      <w:ind w:left="720" w:hanging="360"/>
      <w:contextualSpacing/>
    </w:pPr>
  </w:style>
  <w:style w:type="paragraph" w:styleId="22">
    <w:name w:val="List Continue"/>
    <w:basedOn w:val="1"/>
    <w:unhideWhenUsed/>
    <w:qFormat/>
    <w:uiPriority w:val="99"/>
    <w:pPr>
      <w:spacing w:after="120"/>
      <w:ind w:left="360"/>
      <w:contextualSpacing/>
    </w:pPr>
  </w:style>
  <w:style w:type="paragraph" w:styleId="23">
    <w:name w:val="List Bullet 2"/>
    <w:basedOn w:val="1"/>
    <w:unhideWhenUsed/>
    <w:qFormat/>
    <w:uiPriority w:val="99"/>
    <w:pPr>
      <w:numPr>
        <w:ilvl w:val="0"/>
        <w:numId w:val="6"/>
      </w:numPr>
      <w:contextualSpacing/>
    </w:pPr>
  </w:style>
  <w:style w:type="paragraph" w:styleId="24">
    <w:name w:val="footer"/>
    <w:basedOn w:val="1"/>
    <w:link w:val="136"/>
    <w:unhideWhenUsed/>
    <w:qFormat/>
    <w:uiPriority w:val="99"/>
    <w:pPr>
      <w:tabs>
        <w:tab w:val="center" w:pos="4680"/>
        <w:tab w:val="right" w:pos="9360"/>
      </w:tabs>
      <w:spacing w:after="0" w:line="240" w:lineRule="auto"/>
    </w:pPr>
  </w:style>
  <w:style w:type="paragraph" w:styleId="25">
    <w:name w:val="header"/>
    <w:basedOn w:val="1"/>
    <w:link w:val="135"/>
    <w:unhideWhenUsed/>
    <w:qFormat/>
    <w:uiPriority w:val="99"/>
    <w:pPr>
      <w:tabs>
        <w:tab w:val="center" w:pos="4680"/>
        <w:tab w:val="right" w:pos="9360"/>
      </w:tabs>
      <w:spacing w:after="0" w:line="240" w:lineRule="auto"/>
    </w:pPr>
  </w:style>
  <w:style w:type="paragraph" w:styleId="26">
    <w:name w:val="Subtitle"/>
    <w:basedOn w:val="1"/>
    <w:next w:val="1"/>
    <w:link w:val="142"/>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qFormat/>
    <w:uiPriority w:val="99"/>
    <w:pPr>
      <w:ind w:left="360" w:hanging="360"/>
      <w:contextualSpacing/>
    </w:pPr>
  </w:style>
  <w:style w:type="paragraph" w:styleId="28">
    <w:name w:val="Body Text 2"/>
    <w:basedOn w:val="1"/>
    <w:link w:val="145"/>
    <w:unhideWhenUsed/>
    <w:qFormat/>
    <w:uiPriority w:val="99"/>
    <w:pPr>
      <w:spacing w:after="120" w:line="480" w:lineRule="auto"/>
    </w:pPr>
  </w:style>
  <w:style w:type="paragraph" w:styleId="29">
    <w:name w:val="List Continue 2"/>
    <w:basedOn w:val="1"/>
    <w:unhideWhenUsed/>
    <w:qFormat/>
    <w:uiPriority w:val="99"/>
    <w:pPr>
      <w:spacing w:after="120"/>
      <w:ind w:left="720"/>
      <w:contextualSpacing/>
    </w:pPr>
  </w:style>
  <w:style w:type="paragraph" w:styleId="30">
    <w:name w:val="List Continue 3"/>
    <w:basedOn w:val="1"/>
    <w:unhideWhenUsed/>
    <w:qFormat/>
    <w:uiPriority w:val="99"/>
    <w:pPr>
      <w:spacing w:after="120"/>
      <w:ind w:left="1080"/>
      <w:contextualSpacing/>
    </w:pPr>
  </w:style>
  <w:style w:type="paragraph" w:styleId="31">
    <w:name w:val="Title"/>
    <w:basedOn w:val="1"/>
    <w:next w:val="1"/>
    <w:link w:val="141"/>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3">
    <w:name w:val="Table Grid"/>
    <w:basedOn w:val="32"/>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4">
    <w:name w:val="Light Shading"/>
    <w:basedOn w:val="32"/>
    <w:qFormat/>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5">
    <w:name w:val="Light Shading Accent 1"/>
    <w:basedOn w:val="32"/>
    <w:qFormat/>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6">
    <w:name w:val="Light Shading Accent 2"/>
    <w:basedOn w:val="32"/>
    <w:qFormat/>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7">
    <w:name w:val="Light Shading Accent 3"/>
    <w:basedOn w:val="32"/>
    <w:qFormat/>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8">
    <w:name w:val="Light Shading Accent 4"/>
    <w:basedOn w:val="32"/>
    <w:qFormat/>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9">
    <w:name w:val="Light Shading Accent 5"/>
    <w:basedOn w:val="32"/>
    <w:qFormat/>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0">
    <w:name w:val="Light Shading Accent 6"/>
    <w:basedOn w:val="32"/>
    <w:qFormat/>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1">
    <w:name w:val="Light List"/>
    <w:basedOn w:val="32"/>
    <w:qFormat/>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2">
    <w:name w:val="Light List Accent 1"/>
    <w:basedOn w:val="32"/>
    <w:qFormat/>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3">
    <w:name w:val="Light List Accent 2"/>
    <w:basedOn w:val="32"/>
    <w:qFormat/>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4">
    <w:name w:val="Light List Accent 3"/>
    <w:basedOn w:val="32"/>
    <w:qFormat/>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5">
    <w:name w:val="Light List Accent 4"/>
    <w:basedOn w:val="32"/>
    <w:qFormat/>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6">
    <w:name w:val="Light List Accent 5"/>
    <w:basedOn w:val="32"/>
    <w:qFormat/>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7">
    <w:name w:val="Light List Accent 6"/>
    <w:basedOn w:val="32"/>
    <w:qFormat/>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8">
    <w:name w:val="Light Grid"/>
    <w:basedOn w:val="32"/>
    <w:qFormat/>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49">
    <w:name w:val="Light Grid Accent 1"/>
    <w:basedOn w:val="32"/>
    <w:qFormat/>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0">
    <w:name w:val="Light Grid Accent 2"/>
    <w:basedOn w:val="32"/>
    <w:qFormat/>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1">
    <w:name w:val="Light Grid Accent 3"/>
    <w:basedOn w:val="32"/>
    <w:qFormat/>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2">
    <w:name w:val="Light Grid Accent 4"/>
    <w:basedOn w:val="32"/>
    <w:qFormat/>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3">
    <w:name w:val="Light Grid Accent 5"/>
    <w:basedOn w:val="32"/>
    <w:qFormat/>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4">
    <w:name w:val="Light Grid Accent 6"/>
    <w:basedOn w:val="32"/>
    <w:qFormat/>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5">
    <w:name w:val="Medium Shading 1"/>
    <w:basedOn w:val="32"/>
    <w:qFormat/>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6">
    <w:name w:val="Medium Shading 1 Accent 1"/>
    <w:basedOn w:val="32"/>
    <w:qFormat/>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7">
    <w:name w:val="Medium Shading 1 Accent 2"/>
    <w:basedOn w:val="32"/>
    <w:qFormat/>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8">
    <w:name w:val="Medium Shading 1 Accent 3"/>
    <w:basedOn w:val="32"/>
    <w:qFormat/>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59">
    <w:name w:val="Medium Shading 1 Accent 4"/>
    <w:basedOn w:val="32"/>
    <w:qFormat/>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0">
    <w:name w:val="Medium Shading 1 Accent 5"/>
    <w:basedOn w:val="32"/>
    <w:qFormat/>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1">
    <w:name w:val="Medium Shading 1 Accent 6"/>
    <w:basedOn w:val="32"/>
    <w:qFormat/>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2">
    <w:name w:val="Medium Shading 2"/>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3">
    <w:name w:val="Medium Shading 2 Accent 1"/>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2"/>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3"/>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4"/>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5"/>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6"/>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List 1"/>
    <w:basedOn w:val="32"/>
    <w:qFormat/>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0">
    <w:name w:val="Medium List 1 Accent 1"/>
    <w:basedOn w:val="32"/>
    <w:qFormat/>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1">
    <w:name w:val="Medium List 1 Accent 2"/>
    <w:basedOn w:val="32"/>
    <w:qFormat/>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2">
    <w:name w:val="Medium List 1 Accent 3"/>
    <w:basedOn w:val="32"/>
    <w:qFormat/>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3">
    <w:name w:val="Medium List 1 Accent 4"/>
    <w:basedOn w:val="32"/>
    <w:qFormat/>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4">
    <w:name w:val="Medium List 1 Accent 5"/>
    <w:basedOn w:val="32"/>
    <w:qFormat/>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5">
    <w:name w:val="Medium List 1 Accent 6"/>
    <w:basedOn w:val="32"/>
    <w:qFormat/>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6">
    <w:name w:val="Medium List 2"/>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1"/>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2"/>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3"/>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4"/>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5"/>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6"/>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Grid 1"/>
    <w:basedOn w:val="32"/>
    <w:qFormat/>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4">
    <w:name w:val="Medium Grid 1 Accent 1"/>
    <w:basedOn w:val="32"/>
    <w:qFormat/>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5">
    <w:name w:val="Medium Grid 1 Accent 2"/>
    <w:basedOn w:val="32"/>
    <w:qFormat/>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6">
    <w:name w:val="Medium Grid 1 Accent 3"/>
    <w:basedOn w:val="32"/>
    <w:qFormat/>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7">
    <w:name w:val="Medium Grid 1 Accent 4"/>
    <w:basedOn w:val="32"/>
    <w:qFormat/>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8">
    <w:name w:val="Medium Grid 1 Accent 5"/>
    <w:basedOn w:val="32"/>
    <w:qFormat/>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9">
    <w:name w:val="Medium Grid 1 Accent 6"/>
    <w:basedOn w:val="32"/>
    <w:qFormat/>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0">
    <w:name w:val="Medium Grid 2"/>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1">
    <w:name w:val="Medium Grid 2 Accent 1"/>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2">
    <w:name w:val="Medium Grid 2 Accent 2"/>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3">
    <w:name w:val="Medium Grid 2 Accent 3"/>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4">
    <w:name w:val="Medium Grid 2 Accent 4"/>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5">
    <w:name w:val="Medium Grid 2 Accent 5"/>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6">
    <w:name w:val="Medium Grid 2 Accent 6"/>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7">
    <w:name w:val="Medium Grid 3"/>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8">
    <w:name w:val="Medium Grid 3 Accent 1"/>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99">
    <w:name w:val="Medium Grid 3 Accent 2"/>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0">
    <w:name w:val="Medium Grid 3 Accent 3"/>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1">
    <w:name w:val="Medium Grid 3 Accent 4"/>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2">
    <w:name w:val="Medium Grid 3 Accent 5"/>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3">
    <w:name w:val="Medium Grid 3 Accent 6"/>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4">
    <w:name w:val="Dark List"/>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5">
    <w:name w:val="Dark List Accent 1"/>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6">
    <w:name w:val="Dark List Accent 2"/>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7">
    <w:name w:val="Dark List Accent 3"/>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8">
    <w:name w:val="Dark List Accent 4"/>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09">
    <w:name w:val="Dark List Accent 5"/>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0">
    <w:name w:val="Dark List Accent 6"/>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1">
    <w:name w:val="Colorful Shading"/>
    <w:basedOn w:val="32"/>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2">
    <w:name w:val="Colorful Shading Accent 1"/>
    <w:basedOn w:val="32"/>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2"/>
    <w:basedOn w:val="32"/>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3"/>
    <w:basedOn w:val="32"/>
    <w:qFormat/>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5">
    <w:name w:val="Colorful Shading Accent 4"/>
    <w:basedOn w:val="32"/>
    <w:qFormat/>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6">
    <w:name w:val="Colorful Shading Accent 5"/>
    <w:basedOn w:val="32"/>
    <w:qFormat/>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6"/>
    <w:basedOn w:val="32"/>
    <w:qFormat/>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List"/>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19">
    <w:name w:val="Colorful List Accent 1"/>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0">
    <w:name w:val="Colorful List Accent 2"/>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1">
    <w:name w:val="Colorful List Accent 3"/>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2">
    <w:name w:val="Colorful List Accent 4"/>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3">
    <w:name w:val="Colorful List Accent 5"/>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4">
    <w:name w:val="Colorful List Accent 6"/>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5">
    <w:name w:val="Colorful Grid"/>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6">
    <w:name w:val="Colorful Grid Accent 1"/>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7">
    <w:name w:val="Colorful Grid Accent 2"/>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8">
    <w:name w:val="Colorful Grid Accent 3"/>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29">
    <w:name w:val="Colorful Grid Accent 4"/>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0">
    <w:name w:val="Colorful Grid Accent 5"/>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1">
    <w:name w:val="Colorful Grid Accent 6"/>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3">
    <w:name w:val="Strong"/>
    <w:basedOn w:val="132"/>
    <w:qFormat/>
    <w:uiPriority w:val="22"/>
    <w:rPr>
      <w:b/>
      <w:bCs/>
    </w:rPr>
  </w:style>
  <w:style w:type="character" w:styleId="134">
    <w:name w:val="Emphasis"/>
    <w:basedOn w:val="132"/>
    <w:qFormat/>
    <w:uiPriority w:val="20"/>
    <w:rPr>
      <w:i/>
      <w:iCs/>
    </w:rPr>
  </w:style>
  <w:style w:type="character" w:customStyle="1" w:styleId="135">
    <w:name w:val="Header Char"/>
    <w:basedOn w:val="132"/>
    <w:link w:val="25"/>
    <w:qFormat/>
    <w:uiPriority w:val="99"/>
  </w:style>
  <w:style w:type="character" w:customStyle="1" w:styleId="136">
    <w:name w:val="Footer Char"/>
    <w:basedOn w:val="132"/>
    <w:link w:val="24"/>
    <w:qFormat/>
    <w:uiPriority w:val="99"/>
  </w:style>
  <w:style w:type="paragraph" w:styleId="137">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8">
    <w:name w:val="Heading 1 Char"/>
    <w:basedOn w:val="132"/>
    <w:link w:val="3"/>
    <w:qFormat/>
    <w:uiPriority w:val="9"/>
    <w:rPr>
      <w:rFonts w:asciiTheme="majorHAnsi" w:hAnsiTheme="majorHAnsi" w:eastAsiaTheme="majorEastAsia" w:cstheme="majorBidi"/>
      <w:b/>
      <w:bCs/>
      <w:color w:val="376092" w:themeColor="accent1" w:themeShade="BF"/>
      <w:sz w:val="28"/>
      <w:szCs w:val="28"/>
    </w:rPr>
  </w:style>
  <w:style w:type="character" w:customStyle="1" w:styleId="139">
    <w:name w:val="Heading 2 Char"/>
    <w:basedOn w:val="132"/>
    <w:link w:val="4"/>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0">
    <w:name w:val="Heading 3 Char"/>
    <w:basedOn w:val="132"/>
    <w:link w:val="5"/>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1">
    <w:name w:val="Title Char"/>
    <w:basedOn w:val="132"/>
    <w:link w:val="31"/>
    <w:qFormat/>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2">
    <w:name w:val="Subtitle Char"/>
    <w:basedOn w:val="132"/>
    <w:link w:val="26"/>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3">
    <w:name w:val="List Paragraph"/>
    <w:basedOn w:val="1"/>
    <w:qFormat/>
    <w:uiPriority w:val="34"/>
    <w:pPr>
      <w:ind w:left="720"/>
      <w:contextualSpacing/>
    </w:pPr>
  </w:style>
  <w:style w:type="character" w:customStyle="1" w:styleId="144">
    <w:name w:val="Body Text Char"/>
    <w:basedOn w:val="132"/>
    <w:link w:val="19"/>
    <w:qFormat/>
    <w:uiPriority w:val="99"/>
  </w:style>
  <w:style w:type="character" w:customStyle="1" w:styleId="145">
    <w:name w:val="Body Text 2 Char"/>
    <w:basedOn w:val="132"/>
    <w:link w:val="28"/>
    <w:qFormat/>
    <w:uiPriority w:val="99"/>
  </w:style>
  <w:style w:type="character" w:customStyle="1" w:styleId="146">
    <w:name w:val="Body Text 3 Char"/>
    <w:basedOn w:val="132"/>
    <w:link w:val="17"/>
    <w:qFormat/>
    <w:uiPriority w:val="99"/>
    <w:rPr>
      <w:sz w:val="16"/>
      <w:szCs w:val="16"/>
    </w:rPr>
  </w:style>
  <w:style w:type="character" w:customStyle="1" w:styleId="147">
    <w:name w:val="Macro Text Char"/>
    <w:basedOn w:val="132"/>
    <w:link w:val="2"/>
    <w:qFormat/>
    <w:uiPriority w:val="99"/>
    <w:rPr>
      <w:rFonts w:ascii="Courier" w:hAnsi="Courier"/>
      <w:sz w:val="20"/>
      <w:szCs w:val="20"/>
    </w:rPr>
  </w:style>
  <w:style w:type="paragraph" w:styleId="148">
    <w:name w:val="Quote"/>
    <w:basedOn w:val="1"/>
    <w:next w:val="1"/>
    <w:link w:val="149"/>
    <w:qFormat/>
    <w:uiPriority w:val="29"/>
    <w:rPr>
      <w:i/>
      <w:iCs/>
      <w:color w:val="000000" w:themeColor="text1"/>
      <w14:textFill>
        <w14:solidFill>
          <w14:schemeClr w14:val="tx1"/>
        </w14:solidFill>
      </w14:textFill>
    </w:rPr>
  </w:style>
  <w:style w:type="character" w:customStyle="1" w:styleId="149">
    <w:name w:val="Quote Char"/>
    <w:basedOn w:val="132"/>
    <w:link w:val="148"/>
    <w:qFormat/>
    <w:uiPriority w:val="29"/>
    <w:rPr>
      <w:i/>
      <w:iCs/>
      <w:color w:val="000000" w:themeColor="text1"/>
      <w14:textFill>
        <w14:solidFill>
          <w14:schemeClr w14:val="tx1"/>
        </w14:solidFill>
      </w14:textFill>
    </w:rPr>
  </w:style>
  <w:style w:type="character" w:customStyle="1" w:styleId="150">
    <w:name w:val="Heading 4 Char"/>
    <w:basedOn w:val="132"/>
    <w:link w:val="6"/>
    <w:semiHidden/>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1">
    <w:name w:val="Heading 5 Char"/>
    <w:basedOn w:val="132"/>
    <w:link w:val="7"/>
    <w:semiHidden/>
    <w:qFormat/>
    <w:uiPriority w:val="9"/>
    <w:rPr>
      <w:rFonts w:asciiTheme="majorHAnsi" w:hAnsiTheme="majorHAnsi" w:eastAsiaTheme="majorEastAsia" w:cstheme="majorBidi"/>
      <w:color w:val="254061" w:themeColor="accent1" w:themeShade="80"/>
    </w:rPr>
  </w:style>
  <w:style w:type="character" w:customStyle="1" w:styleId="152">
    <w:name w:val="Heading 6 Char"/>
    <w:basedOn w:val="132"/>
    <w:link w:val="8"/>
    <w:semiHidden/>
    <w:qFormat/>
    <w:uiPriority w:val="9"/>
    <w:rPr>
      <w:rFonts w:asciiTheme="majorHAnsi" w:hAnsiTheme="majorHAnsi" w:eastAsiaTheme="majorEastAsia" w:cstheme="majorBidi"/>
      <w:i/>
      <w:iCs/>
      <w:color w:val="254061" w:themeColor="accent1" w:themeShade="80"/>
    </w:rPr>
  </w:style>
  <w:style w:type="character" w:customStyle="1" w:styleId="153">
    <w:name w:val="Heading 7 Char"/>
    <w:basedOn w:val="132"/>
    <w:link w:val="9"/>
    <w:semiHidden/>
    <w:qFormat/>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4">
    <w:name w:val="Heading 8 Char"/>
    <w:basedOn w:val="132"/>
    <w:link w:val="10"/>
    <w:semiHidden/>
    <w:qFormat/>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5">
    <w:name w:val="Heading 9 Char"/>
    <w:basedOn w:val="132"/>
    <w:link w:val="11"/>
    <w:semiHidden/>
    <w:qFormat/>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6">
    <w:name w:val="Intense Quote"/>
    <w:basedOn w:val="1"/>
    <w:next w:val="1"/>
    <w:link w:val="157"/>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7">
    <w:name w:val="Intense Quote Char"/>
    <w:basedOn w:val="132"/>
    <w:link w:val="156"/>
    <w:qFormat/>
    <w:uiPriority w:val="30"/>
    <w:rPr>
      <w:b/>
      <w:bCs/>
      <w:i/>
      <w:iCs/>
      <w:color w:val="4F81BD" w:themeColor="accent1"/>
      <w14:textFill>
        <w14:solidFill>
          <w14:schemeClr w14:val="accent1"/>
        </w14:solidFill>
      </w14:textFill>
    </w:rPr>
  </w:style>
  <w:style w:type="character" w:customStyle="1" w:styleId="158">
    <w:name w:val="Subtle Emphasis"/>
    <w:basedOn w:val="132"/>
    <w:qFormat/>
    <w:uiPriority w:val="19"/>
    <w:rPr>
      <w:i/>
      <w:iCs/>
      <w:color w:val="808080" w:themeColor="text1" w:themeTint="80"/>
      <w14:textFill>
        <w14:solidFill>
          <w14:schemeClr w14:val="tx1">
            <w14:lumMod w14:val="50000"/>
            <w14:lumOff w14:val="50000"/>
          </w14:schemeClr>
        </w14:solidFill>
      </w14:textFill>
    </w:rPr>
  </w:style>
  <w:style w:type="character" w:customStyle="1" w:styleId="159">
    <w:name w:val="Intense Emphasis"/>
    <w:basedOn w:val="132"/>
    <w:qFormat/>
    <w:uiPriority w:val="21"/>
    <w:rPr>
      <w:b/>
      <w:bCs/>
      <w:i/>
      <w:iCs/>
      <w:color w:val="4F81BD" w:themeColor="accent1"/>
      <w14:textFill>
        <w14:solidFill>
          <w14:schemeClr w14:val="accent1"/>
        </w14:solidFill>
      </w14:textFill>
    </w:rPr>
  </w:style>
  <w:style w:type="character" w:customStyle="1" w:styleId="160">
    <w:name w:val="Subtle Reference"/>
    <w:basedOn w:val="132"/>
    <w:qFormat/>
    <w:uiPriority w:val="31"/>
    <w:rPr>
      <w:smallCaps/>
      <w:color w:val="C0504D" w:themeColor="accent2"/>
      <w:u w:val="single"/>
      <w14:textFill>
        <w14:solidFill>
          <w14:schemeClr w14:val="accent2"/>
        </w14:solidFill>
      </w14:textFill>
    </w:rPr>
  </w:style>
  <w:style w:type="character" w:customStyle="1" w:styleId="161">
    <w:name w:val="Intense Reference"/>
    <w:basedOn w:val="132"/>
    <w:qFormat/>
    <w:uiPriority w:val="32"/>
    <w:rPr>
      <w:b/>
      <w:bCs/>
      <w:smallCaps/>
      <w:color w:val="C0504D" w:themeColor="accent2"/>
      <w:spacing w:val="5"/>
      <w:u w:val="single"/>
      <w14:textFill>
        <w14:solidFill>
          <w14:schemeClr w14:val="accent2"/>
        </w14:solidFill>
      </w14:textFill>
    </w:rPr>
  </w:style>
  <w:style w:type="character" w:customStyle="1" w:styleId="162">
    <w:name w:val="Book Title"/>
    <w:basedOn w:val="132"/>
    <w:qFormat/>
    <w:uiPriority w:val="33"/>
    <w:rPr>
      <w:b/>
      <w:bCs/>
      <w:smallCaps/>
      <w:spacing w:val="5"/>
    </w:rPr>
  </w:style>
  <w:style w:type="paragraph" w:customStyle="1" w:styleId="163">
    <w:name w:val="TOC Heading"/>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Normal.dotm</Template>
  <Pages>2</Pages>
  <Words>963</Words>
  <Characters>1137</Characters>
  <Lines>0</Lines>
  <Paragraphs>0</Paragraphs>
  <TotalTime>1</TotalTime>
  <ScaleCrop>false</ScaleCrop>
  <LinksUpToDate>false</LinksUpToDate>
  <CharactersWithSpaces>1163</CharactersWithSpaces>
  <Application>WPS Office_12.8.2.19315_F1E327BC-269C-435d-A152-05C5408002CA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zc</cp:lastModifiedBy>
  <dcterms:modified xsi:type="dcterms:W3CDTF">2026-07-08T07:09:36Z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eyJoZGlkIjoiZTEyZWM1YWFmOWM0NWUyYjA5ODYxYTkwMzVlODgxNmYiLCJ1c2VySWQiOiIxMDA0NjE5NDMwIn0=</vt:lpwstr>
  </property>
  <property fmtid="{D5CDD505-2E9C-101B-9397-08002B2CF9AE}" pid="3" name="KSOProductBuildVer">
    <vt:lpwstr>2052-12.8.2.19315</vt:lpwstr>
  </property>
  <property fmtid="{D5CDD505-2E9C-101B-9397-08002B2CF9AE}" pid="4" name="ICV">
    <vt:lpwstr>21CCCA0A643E4E25BA94EEB079C713FF_12</vt:lpwstr>
  </property>
</Properties>
</file>