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45CAE">
      <w:pPr>
        <w:adjustRightInd w:val="0"/>
        <w:snapToGrid w:val="0"/>
        <w:spacing w:line="440" w:lineRule="exact"/>
        <w:jc w:val="center"/>
        <w:rPr>
          <w:rFonts w:hint="eastAsia" w:ascii="Times New Roman" w:hAnsi="Times New Roman" w:eastAsia="方正小标宋简体" w:cs="Times New Roman"/>
          <w:i w:val="0"/>
          <w:iCs w:val="0"/>
          <w:color w:val="000000"/>
          <w:sz w:val="32"/>
          <w:szCs w:val="32"/>
          <w:lang w:val="en-US" w:eastAsia="zh-CN"/>
        </w:rPr>
      </w:pPr>
      <w:r>
        <w:rPr>
          <w:rFonts w:hint="eastAsia" w:ascii="Times New Roman" w:hAnsi="Times New Roman" w:eastAsia="方正小标宋简体" w:cs="Times New Roman"/>
          <w:i w:val="0"/>
          <w:iCs w:val="0"/>
          <w:color w:val="000000"/>
          <w:sz w:val="32"/>
          <w:szCs w:val="32"/>
          <w:lang w:val="en-US" w:eastAsia="zh-CN"/>
        </w:rPr>
        <w:t>重庆市混凝土结构防火涂料产品质量监督抽查实施细则</w:t>
      </w:r>
    </w:p>
    <w:p w14:paraId="2E148E90">
      <w:pPr>
        <w:adjustRightInd w:val="0"/>
        <w:snapToGrid w:val="0"/>
        <w:spacing w:line="440" w:lineRule="exact"/>
        <w:jc w:val="center"/>
        <w:rPr>
          <w:rFonts w:hint="eastAsia" w:ascii="Times New Roman" w:hAnsi="Times New Roman" w:eastAsia="方正小标宋简体" w:cs="Times New Roman"/>
          <w:i w:val="0"/>
          <w:iCs w:val="0"/>
          <w:color w:val="000000"/>
          <w:sz w:val="32"/>
          <w:szCs w:val="32"/>
        </w:rPr>
      </w:pPr>
      <w:bookmarkStart w:id="0" w:name="OLE_LINK3"/>
      <w:r>
        <w:rPr>
          <w:rFonts w:hint="eastAsia" w:ascii="Times New Roman" w:hAnsi="Times New Roman" w:eastAsia="方正小标宋简体" w:cs="Times New Roman"/>
          <w:i w:val="0"/>
          <w:iCs w:val="0"/>
          <w:color w:val="000000"/>
          <w:sz w:val="32"/>
          <w:szCs w:val="32"/>
        </w:rPr>
        <w:t>（202</w:t>
      </w:r>
      <w:r>
        <w:rPr>
          <w:rFonts w:hint="eastAsia" w:eastAsia="方正小标宋简体" w:cs="Times New Roman"/>
          <w:i w:val="0"/>
          <w:iCs w:val="0"/>
          <w:color w:val="000000"/>
          <w:sz w:val="32"/>
          <w:szCs w:val="32"/>
          <w:lang w:val="en-US" w:eastAsia="zh-CN"/>
        </w:rPr>
        <w:t>6年</w:t>
      </w:r>
      <w:r>
        <w:rPr>
          <w:rFonts w:hint="eastAsia" w:ascii="Times New Roman" w:hAnsi="Times New Roman" w:eastAsia="方正小标宋简体" w:cs="Times New Roman"/>
          <w:i w:val="0"/>
          <w:iCs w:val="0"/>
          <w:color w:val="000000"/>
          <w:sz w:val="32"/>
          <w:szCs w:val="32"/>
          <w:lang w:val="en-US" w:eastAsia="zh-CN"/>
        </w:rPr>
        <w:t>版</w:t>
      </w:r>
      <w:r>
        <w:rPr>
          <w:rFonts w:hint="eastAsia" w:ascii="Times New Roman" w:hAnsi="Times New Roman" w:eastAsia="方正小标宋简体" w:cs="Times New Roman"/>
          <w:i w:val="0"/>
          <w:iCs w:val="0"/>
          <w:color w:val="000000"/>
          <w:sz w:val="32"/>
          <w:szCs w:val="32"/>
        </w:rPr>
        <w:t>）</w:t>
      </w:r>
      <w:bookmarkEnd w:id="0"/>
    </w:p>
    <w:p w14:paraId="7985F24B">
      <w:pPr>
        <w:snapToGrid w:val="0"/>
        <w:spacing w:line="440" w:lineRule="exact"/>
        <w:rPr>
          <w:rFonts w:eastAsia="黑体"/>
          <w:color w:val="000000"/>
          <w:szCs w:val="21"/>
        </w:rPr>
      </w:pPr>
      <w:r>
        <w:rPr>
          <w:rFonts w:eastAsia="黑体"/>
          <w:color w:val="000000"/>
          <w:szCs w:val="21"/>
        </w:rPr>
        <w:t>1 抽样方法</w:t>
      </w:r>
    </w:p>
    <w:p w14:paraId="2699A960">
      <w:pPr>
        <w:snapToGrid w:val="0"/>
        <w:spacing w:line="440" w:lineRule="exact"/>
        <w:ind w:firstLine="420" w:firstLineChars="200"/>
        <w:rPr>
          <w:rFonts w:hint="eastAsia"/>
          <w:color w:val="000000"/>
          <w:szCs w:val="21"/>
        </w:rPr>
      </w:pPr>
      <w:r>
        <w:rPr>
          <w:rFonts w:hint="eastAsia"/>
          <w:color w:val="000000"/>
          <w:szCs w:val="21"/>
        </w:rPr>
        <w:t>以随机抽样的方式在被抽样生产者、销售者的待销产品中抽取。</w:t>
      </w:r>
    </w:p>
    <w:p w14:paraId="085E3A39">
      <w:pPr>
        <w:snapToGrid w:val="0"/>
        <w:spacing w:line="440" w:lineRule="exact"/>
        <w:ind w:firstLine="420" w:firstLineChars="200"/>
        <w:rPr>
          <w:rFonts w:hint="eastAsia"/>
          <w:color w:val="000000"/>
          <w:szCs w:val="21"/>
        </w:rPr>
      </w:pPr>
      <w:r>
        <w:rPr>
          <w:rFonts w:hint="eastAsia"/>
          <w:color w:val="000000"/>
          <w:szCs w:val="21"/>
        </w:rPr>
        <w:t>随机数一般可使用随机数表等方法产生。</w:t>
      </w:r>
    </w:p>
    <w:p w14:paraId="6E2C4A9A">
      <w:pPr>
        <w:snapToGrid w:val="0"/>
        <w:spacing w:line="440" w:lineRule="exact"/>
        <w:ind w:firstLine="420" w:firstLineChars="200"/>
        <w:rPr>
          <w:rFonts w:hint="eastAsia"/>
          <w:color w:val="000000"/>
          <w:szCs w:val="21"/>
          <w:highlight w:val="none"/>
        </w:rPr>
      </w:pPr>
      <w:r>
        <w:rPr>
          <w:rFonts w:hint="eastAsia"/>
          <w:color w:val="000000"/>
          <w:szCs w:val="21"/>
        </w:rPr>
        <w:t>每</w:t>
      </w:r>
      <w:r>
        <w:rPr>
          <w:rFonts w:hint="eastAsia"/>
          <w:color w:val="000000"/>
          <w:szCs w:val="21"/>
          <w:highlight w:val="none"/>
        </w:rPr>
        <w:t>批次产品抽取样品</w:t>
      </w:r>
      <w:r>
        <w:rPr>
          <w:rFonts w:hint="eastAsia"/>
          <w:color w:val="000000"/>
          <w:szCs w:val="21"/>
          <w:highlight w:val="none"/>
          <w:lang w:val="en-US" w:eastAsia="zh-CN"/>
        </w:rPr>
        <w:t>2袋（每袋不少于20kg）</w:t>
      </w:r>
      <w:r>
        <w:rPr>
          <w:rFonts w:hint="eastAsia"/>
          <w:color w:val="000000"/>
          <w:szCs w:val="21"/>
          <w:highlight w:val="none"/>
        </w:rPr>
        <w:t>，其中</w:t>
      </w:r>
      <w:r>
        <w:rPr>
          <w:rFonts w:hint="eastAsia"/>
          <w:color w:val="000000"/>
          <w:szCs w:val="21"/>
          <w:highlight w:val="none"/>
          <w:lang w:val="en-US" w:eastAsia="zh-CN"/>
        </w:rPr>
        <w:t>1袋</w:t>
      </w:r>
      <w:r>
        <w:rPr>
          <w:rFonts w:hint="eastAsia"/>
          <w:color w:val="000000"/>
          <w:szCs w:val="21"/>
          <w:highlight w:val="none"/>
        </w:rPr>
        <w:t>作为检验样品，</w:t>
      </w:r>
      <w:r>
        <w:rPr>
          <w:rFonts w:hint="eastAsia"/>
          <w:color w:val="000000"/>
          <w:szCs w:val="21"/>
          <w:highlight w:val="none"/>
          <w:lang w:val="en-US" w:eastAsia="zh-CN"/>
        </w:rPr>
        <w:t>1袋</w:t>
      </w:r>
      <w:r>
        <w:rPr>
          <w:rFonts w:hint="eastAsia"/>
          <w:color w:val="000000"/>
          <w:szCs w:val="21"/>
          <w:highlight w:val="none"/>
        </w:rPr>
        <w:t>作为备用样品。</w:t>
      </w:r>
    </w:p>
    <w:p w14:paraId="555803F1">
      <w:pPr>
        <w:snapToGrid w:val="0"/>
        <w:spacing w:line="440" w:lineRule="exact"/>
        <w:ind w:firstLine="420" w:firstLineChars="200"/>
        <w:rPr>
          <w:color w:val="000000"/>
          <w:szCs w:val="21"/>
        </w:rPr>
      </w:pPr>
    </w:p>
    <w:p w14:paraId="09FE2F3B">
      <w:pPr>
        <w:snapToGrid w:val="0"/>
        <w:spacing w:line="440" w:lineRule="exact"/>
        <w:rPr>
          <w:rFonts w:eastAsia="黑体"/>
          <w:color w:val="000000"/>
          <w:szCs w:val="21"/>
        </w:rPr>
      </w:pPr>
      <w:r>
        <w:rPr>
          <w:rFonts w:eastAsia="黑体"/>
          <w:color w:val="000000"/>
          <w:szCs w:val="21"/>
        </w:rPr>
        <w:t>2 检验依据</w:t>
      </w:r>
    </w:p>
    <w:p w14:paraId="08468A3D">
      <w:pPr>
        <w:jc w:val="center"/>
      </w:pPr>
      <w:r>
        <w:rPr>
          <w:rFonts w:hint="eastAsia" w:ascii="Times New Roman" w:hAnsi="Times New Roman" w:eastAsia="宋体" w:cs="Times New Roman"/>
          <w:color w:val="000000"/>
          <w:szCs w:val="21"/>
          <w:lang w:val="en-US" w:eastAsia="zh-CN"/>
        </w:rPr>
        <w:t>表1 混凝土结构防火涂料（</w:t>
      </w:r>
      <w:r>
        <w:rPr>
          <w:rFonts w:hint="default"/>
          <w:color w:val="000000"/>
          <w:szCs w:val="21"/>
          <w:lang w:val="en-US" w:eastAsia="zh-CN"/>
        </w:rPr>
        <w:t>GB 28375-2012</w:t>
      </w:r>
      <w:r>
        <w:rPr>
          <w:rFonts w:hint="eastAsia" w:ascii="Times New Roman" w:hAnsi="Times New Roman" w:eastAsia="宋体" w:cs="Times New Roman"/>
          <w:color w:val="000000"/>
          <w:szCs w:val="21"/>
          <w:lang w:val="en-US" w:eastAsia="zh-CN"/>
        </w:rPr>
        <w:t>）</w:t>
      </w:r>
    </w:p>
    <w:tbl>
      <w:tblPr>
        <w:tblStyle w:val="9"/>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4988"/>
        <w:gridCol w:w="3493"/>
      </w:tblGrid>
      <w:tr w14:paraId="3D8A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71974B81">
            <w:pPr>
              <w:jc w:val="center"/>
              <w:rPr>
                <w:szCs w:val="21"/>
              </w:rPr>
            </w:pPr>
            <w:r>
              <w:rPr>
                <w:szCs w:val="21"/>
              </w:rPr>
              <w:t>序号</w:t>
            </w:r>
          </w:p>
        </w:tc>
        <w:tc>
          <w:tcPr>
            <w:tcW w:w="4988" w:type="dxa"/>
            <w:vAlign w:val="center"/>
          </w:tcPr>
          <w:p w14:paraId="52B090A0">
            <w:pPr>
              <w:jc w:val="center"/>
              <w:rPr>
                <w:color w:val="auto"/>
                <w:szCs w:val="21"/>
              </w:rPr>
            </w:pPr>
            <w:r>
              <w:rPr>
                <w:color w:val="auto"/>
                <w:szCs w:val="21"/>
              </w:rPr>
              <w:t>检验项目</w:t>
            </w:r>
          </w:p>
        </w:tc>
        <w:tc>
          <w:tcPr>
            <w:tcW w:w="3493" w:type="dxa"/>
            <w:vAlign w:val="center"/>
          </w:tcPr>
          <w:p w14:paraId="7B13F714">
            <w:pPr>
              <w:jc w:val="center"/>
              <w:rPr>
                <w:szCs w:val="21"/>
              </w:rPr>
            </w:pPr>
            <w:r>
              <w:rPr>
                <w:szCs w:val="21"/>
              </w:rPr>
              <w:t>检验方法</w:t>
            </w:r>
          </w:p>
        </w:tc>
      </w:tr>
      <w:tr w14:paraId="05AD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42881CEF">
            <w:pPr>
              <w:jc w:val="center"/>
              <w:rPr>
                <w:rFonts w:hint="eastAsia" w:eastAsia="宋体"/>
                <w:szCs w:val="21"/>
                <w:lang w:val="en-US" w:eastAsia="zh-CN"/>
              </w:rPr>
            </w:pPr>
            <w:r>
              <w:rPr>
                <w:rFonts w:hint="eastAsia"/>
                <w:szCs w:val="21"/>
                <w:lang w:val="en-US" w:eastAsia="zh-CN"/>
              </w:rPr>
              <w:t>1</w:t>
            </w:r>
          </w:p>
        </w:tc>
        <w:tc>
          <w:tcPr>
            <w:tcW w:w="4988" w:type="dxa"/>
            <w:vAlign w:val="center"/>
          </w:tcPr>
          <w:p w14:paraId="121B5760">
            <w:pPr>
              <w:jc w:val="center"/>
              <w:rPr>
                <w:color w:val="auto"/>
                <w:szCs w:val="21"/>
              </w:rPr>
            </w:pPr>
            <w:r>
              <w:rPr>
                <w:rFonts w:hint="default"/>
                <w:color w:val="auto"/>
                <w:szCs w:val="21"/>
                <w:lang w:val="en-US" w:eastAsia="zh-CN"/>
              </w:rPr>
              <w:t>干燥时间</w:t>
            </w:r>
          </w:p>
        </w:tc>
        <w:tc>
          <w:tcPr>
            <w:tcW w:w="3493" w:type="dxa"/>
            <w:vAlign w:val="center"/>
          </w:tcPr>
          <w:p w14:paraId="1D4AC1C5">
            <w:pPr>
              <w:jc w:val="center"/>
              <w:rPr>
                <w:szCs w:val="21"/>
              </w:rPr>
            </w:pPr>
            <w:r>
              <w:rPr>
                <w:rFonts w:hint="eastAsia"/>
                <w:color w:val="000000"/>
                <w:szCs w:val="21"/>
              </w:rPr>
              <w:t xml:space="preserve"> GB/T 1728-2020 </w:t>
            </w:r>
          </w:p>
        </w:tc>
      </w:tr>
      <w:tr w14:paraId="0095D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57776DA7">
            <w:pPr>
              <w:jc w:val="center"/>
              <w:rPr>
                <w:rFonts w:hint="eastAsia" w:eastAsia="宋体"/>
                <w:szCs w:val="21"/>
                <w:lang w:val="en-US" w:eastAsia="zh-CN"/>
              </w:rPr>
            </w:pPr>
            <w:r>
              <w:rPr>
                <w:rFonts w:hint="eastAsia"/>
                <w:szCs w:val="21"/>
                <w:lang w:val="en-US" w:eastAsia="zh-CN"/>
              </w:rPr>
              <w:t>2</w:t>
            </w:r>
          </w:p>
        </w:tc>
        <w:tc>
          <w:tcPr>
            <w:tcW w:w="4988" w:type="dxa"/>
            <w:vAlign w:val="center"/>
          </w:tcPr>
          <w:p w14:paraId="5E45FBB2">
            <w:pPr>
              <w:jc w:val="center"/>
              <w:rPr>
                <w:color w:val="auto"/>
                <w:szCs w:val="21"/>
              </w:rPr>
            </w:pPr>
            <w:r>
              <w:rPr>
                <w:rFonts w:hint="default"/>
                <w:color w:val="auto"/>
                <w:szCs w:val="21"/>
                <w:lang w:val="en-US" w:eastAsia="zh-CN"/>
              </w:rPr>
              <w:t>干密度</w:t>
            </w:r>
          </w:p>
        </w:tc>
        <w:tc>
          <w:tcPr>
            <w:tcW w:w="3493" w:type="dxa"/>
            <w:vAlign w:val="center"/>
          </w:tcPr>
          <w:p w14:paraId="30DDE470">
            <w:pPr>
              <w:jc w:val="center"/>
            </w:pPr>
            <w:r>
              <w:rPr>
                <w:rFonts w:hint="default"/>
                <w:color w:val="000000"/>
                <w:szCs w:val="21"/>
                <w:lang w:val="en-US" w:eastAsia="zh-CN"/>
              </w:rPr>
              <w:t>GB 28375-2012</w:t>
            </w:r>
          </w:p>
        </w:tc>
      </w:tr>
      <w:tr w14:paraId="59365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31234DFD">
            <w:pPr>
              <w:jc w:val="center"/>
              <w:rPr>
                <w:rFonts w:hint="eastAsia" w:eastAsia="宋体"/>
                <w:szCs w:val="21"/>
                <w:lang w:val="en-US" w:eastAsia="zh-CN"/>
              </w:rPr>
            </w:pPr>
            <w:r>
              <w:rPr>
                <w:rFonts w:hint="eastAsia"/>
                <w:szCs w:val="21"/>
                <w:lang w:val="en-US" w:eastAsia="zh-CN"/>
              </w:rPr>
              <w:t>3</w:t>
            </w:r>
          </w:p>
        </w:tc>
        <w:tc>
          <w:tcPr>
            <w:tcW w:w="4988" w:type="dxa"/>
            <w:vAlign w:val="center"/>
          </w:tcPr>
          <w:p w14:paraId="06E3F434">
            <w:pPr>
              <w:jc w:val="center"/>
              <w:rPr>
                <w:color w:val="auto"/>
                <w:szCs w:val="21"/>
              </w:rPr>
            </w:pPr>
            <w:r>
              <w:rPr>
                <w:rFonts w:hint="default"/>
                <w:color w:val="auto"/>
                <w:szCs w:val="21"/>
                <w:lang w:val="en-US" w:eastAsia="zh-CN"/>
              </w:rPr>
              <w:t>耐酸性</w:t>
            </w:r>
          </w:p>
        </w:tc>
        <w:tc>
          <w:tcPr>
            <w:tcW w:w="3493" w:type="dxa"/>
            <w:vAlign w:val="center"/>
          </w:tcPr>
          <w:p w14:paraId="6912A4D0">
            <w:pPr>
              <w:jc w:val="center"/>
              <w:rPr>
                <w:rFonts w:hint="default" w:eastAsia="宋体"/>
                <w:szCs w:val="21"/>
                <w:highlight w:val="yellow"/>
                <w:lang w:val="en-US" w:eastAsia="zh-CN"/>
              </w:rPr>
            </w:pPr>
            <w:r>
              <w:rPr>
                <w:rFonts w:hint="default"/>
                <w:color w:val="000000"/>
                <w:szCs w:val="21"/>
                <w:lang w:val="en-US" w:eastAsia="zh-CN"/>
              </w:rPr>
              <w:t>GB 28375-2012</w:t>
            </w:r>
          </w:p>
        </w:tc>
      </w:tr>
      <w:tr w14:paraId="01F47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78BD9814">
            <w:pPr>
              <w:jc w:val="center"/>
              <w:rPr>
                <w:rFonts w:hint="eastAsia" w:eastAsia="宋体"/>
                <w:szCs w:val="21"/>
                <w:lang w:val="en-US" w:eastAsia="zh-CN"/>
              </w:rPr>
            </w:pPr>
            <w:r>
              <w:rPr>
                <w:rFonts w:hint="eastAsia"/>
                <w:szCs w:val="21"/>
                <w:lang w:val="en-US" w:eastAsia="zh-CN"/>
              </w:rPr>
              <w:t>4</w:t>
            </w:r>
          </w:p>
        </w:tc>
        <w:tc>
          <w:tcPr>
            <w:tcW w:w="4988" w:type="dxa"/>
            <w:vAlign w:val="center"/>
          </w:tcPr>
          <w:p w14:paraId="6611406F">
            <w:pPr>
              <w:jc w:val="center"/>
              <w:rPr>
                <w:color w:val="auto"/>
                <w:szCs w:val="21"/>
              </w:rPr>
            </w:pPr>
            <w:r>
              <w:rPr>
                <w:rFonts w:hint="default"/>
                <w:color w:val="auto"/>
                <w:szCs w:val="21"/>
                <w:lang w:val="en-US" w:eastAsia="zh-CN"/>
              </w:rPr>
              <w:t>耐碱性</w:t>
            </w:r>
          </w:p>
        </w:tc>
        <w:tc>
          <w:tcPr>
            <w:tcW w:w="3493" w:type="dxa"/>
            <w:vAlign w:val="center"/>
          </w:tcPr>
          <w:p w14:paraId="5B1B375F">
            <w:pPr>
              <w:jc w:val="center"/>
              <w:rPr>
                <w:szCs w:val="21"/>
                <w:highlight w:val="yellow"/>
              </w:rPr>
            </w:pPr>
            <w:r>
              <w:rPr>
                <w:rFonts w:hint="default"/>
                <w:color w:val="000000"/>
                <w:szCs w:val="21"/>
                <w:lang w:val="en-US" w:eastAsia="zh-CN"/>
              </w:rPr>
              <w:t>GB 28375-2012</w:t>
            </w:r>
          </w:p>
        </w:tc>
      </w:tr>
      <w:tr w14:paraId="2A235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6C61F1ED">
            <w:pPr>
              <w:jc w:val="center"/>
              <w:rPr>
                <w:rFonts w:hint="eastAsia" w:eastAsia="宋体"/>
                <w:szCs w:val="21"/>
                <w:lang w:val="en-US" w:eastAsia="zh-CN"/>
              </w:rPr>
            </w:pPr>
            <w:r>
              <w:rPr>
                <w:rFonts w:hint="eastAsia"/>
                <w:szCs w:val="21"/>
                <w:lang w:val="en-US" w:eastAsia="zh-CN"/>
              </w:rPr>
              <w:t>5</w:t>
            </w:r>
          </w:p>
        </w:tc>
        <w:tc>
          <w:tcPr>
            <w:tcW w:w="4988" w:type="dxa"/>
            <w:vAlign w:val="center"/>
          </w:tcPr>
          <w:p w14:paraId="29A63DEC">
            <w:pPr>
              <w:jc w:val="center"/>
              <w:rPr>
                <w:color w:val="auto"/>
                <w:szCs w:val="21"/>
              </w:rPr>
            </w:pPr>
            <w:r>
              <w:rPr>
                <w:rFonts w:hint="default"/>
                <w:color w:val="auto"/>
                <w:szCs w:val="21"/>
                <w:lang w:val="en-US" w:eastAsia="zh-CN"/>
              </w:rPr>
              <w:t>产烟毒性</w:t>
            </w:r>
          </w:p>
        </w:tc>
        <w:tc>
          <w:tcPr>
            <w:tcW w:w="3493" w:type="dxa"/>
            <w:vAlign w:val="center"/>
          </w:tcPr>
          <w:p w14:paraId="18B7F28A">
            <w:pPr>
              <w:jc w:val="center"/>
              <w:rPr>
                <w:szCs w:val="21"/>
              </w:rPr>
            </w:pPr>
            <w:r>
              <w:rPr>
                <w:rFonts w:hint="eastAsia"/>
                <w:szCs w:val="21"/>
              </w:rPr>
              <w:t>GB/T 20285-2006</w:t>
            </w:r>
          </w:p>
        </w:tc>
      </w:tr>
    </w:tbl>
    <w:p w14:paraId="71A1FF71">
      <w:pPr>
        <w:jc w:val="center"/>
        <w:rPr>
          <w:rFonts w:hint="eastAsia" w:ascii="Times New Roman" w:hAnsi="Times New Roman" w:eastAsia="宋体" w:cs="Times New Roman"/>
          <w:color w:val="000000"/>
          <w:szCs w:val="21"/>
          <w:lang w:val="en-US" w:eastAsia="zh-CN"/>
        </w:rPr>
      </w:pPr>
    </w:p>
    <w:p w14:paraId="1FE6E28F">
      <w:pPr>
        <w:jc w:val="center"/>
        <w:rPr>
          <w:rFonts w:eastAsia="黑体"/>
          <w:color w:val="000000"/>
          <w:szCs w:val="21"/>
        </w:rPr>
      </w:pPr>
      <w:r>
        <w:rPr>
          <w:rFonts w:hint="eastAsia" w:ascii="Times New Roman" w:hAnsi="Times New Roman" w:eastAsia="宋体" w:cs="Times New Roman"/>
          <w:color w:val="000000"/>
          <w:szCs w:val="21"/>
          <w:lang w:val="en-US" w:eastAsia="zh-CN"/>
        </w:rPr>
        <w:t xml:space="preserve">表2 </w:t>
      </w:r>
      <w:r>
        <w:rPr>
          <w:rFonts w:hint="eastAsia" w:ascii="Times New Roman" w:hAnsi="Times New Roman" w:eastAsia="宋体" w:cs="Times New Roman"/>
          <w:color w:val="000000"/>
          <w:szCs w:val="21"/>
          <w:lang w:val="en-US" w:eastAsia="zh-CN"/>
        </w:rPr>
        <w:t>混凝土结构防火涂料</w:t>
      </w:r>
      <w:r>
        <w:rPr>
          <w:rFonts w:hint="eastAsia" w:ascii="Times New Roman" w:hAnsi="Times New Roman" w:eastAsia="宋体" w:cs="Times New Roman"/>
          <w:color w:val="000000"/>
          <w:szCs w:val="21"/>
          <w:lang w:val="en-US" w:eastAsia="zh-CN"/>
        </w:rPr>
        <w:t>（</w:t>
      </w:r>
      <w:r>
        <w:rPr>
          <w:rFonts w:hint="default"/>
          <w:color w:val="000000"/>
          <w:szCs w:val="21"/>
          <w:lang w:val="en-US" w:eastAsia="zh-CN"/>
        </w:rPr>
        <w:t>GB 28375-20</w:t>
      </w:r>
      <w:r>
        <w:rPr>
          <w:rFonts w:hint="eastAsia"/>
          <w:color w:val="000000"/>
          <w:szCs w:val="21"/>
          <w:lang w:val="en-US" w:eastAsia="zh-CN"/>
        </w:rPr>
        <w:t>25</w:t>
      </w:r>
      <w:bookmarkStart w:id="4" w:name="_GoBack"/>
      <w:bookmarkEnd w:id="4"/>
      <w:r>
        <w:rPr>
          <w:rFonts w:hint="eastAsia" w:ascii="Times New Roman" w:hAnsi="Times New Roman" w:eastAsia="宋体" w:cs="Times New Roman"/>
          <w:color w:val="000000"/>
          <w:szCs w:val="21"/>
          <w:lang w:val="en-US" w:eastAsia="zh-CN"/>
        </w:rPr>
        <w:t>）</w:t>
      </w:r>
    </w:p>
    <w:tbl>
      <w:tblPr>
        <w:tblStyle w:val="9"/>
        <w:tblW w:w="9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3"/>
        <w:gridCol w:w="4988"/>
        <w:gridCol w:w="3493"/>
      </w:tblGrid>
      <w:tr w14:paraId="6A01A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blHeader/>
          <w:jc w:val="center"/>
        </w:trPr>
        <w:tc>
          <w:tcPr>
            <w:tcW w:w="693" w:type="dxa"/>
            <w:vAlign w:val="center"/>
          </w:tcPr>
          <w:p w14:paraId="70D37C88">
            <w:pPr>
              <w:jc w:val="center"/>
              <w:rPr>
                <w:szCs w:val="21"/>
              </w:rPr>
            </w:pPr>
            <w:r>
              <w:rPr>
                <w:szCs w:val="21"/>
              </w:rPr>
              <w:t>序号</w:t>
            </w:r>
          </w:p>
        </w:tc>
        <w:tc>
          <w:tcPr>
            <w:tcW w:w="4988" w:type="dxa"/>
            <w:vAlign w:val="center"/>
          </w:tcPr>
          <w:p w14:paraId="4D526400">
            <w:pPr>
              <w:jc w:val="center"/>
              <w:rPr>
                <w:color w:val="auto"/>
                <w:szCs w:val="21"/>
              </w:rPr>
            </w:pPr>
            <w:r>
              <w:rPr>
                <w:color w:val="auto"/>
                <w:szCs w:val="21"/>
              </w:rPr>
              <w:t>检验项目</w:t>
            </w:r>
          </w:p>
        </w:tc>
        <w:tc>
          <w:tcPr>
            <w:tcW w:w="3493" w:type="dxa"/>
            <w:vAlign w:val="center"/>
          </w:tcPr>
          <w:p w14:paraId="55E6D56A">
            <w:pPr>
              <w:jc w:val="center"/>
              <w:rPr>
                <w:szCs w:val="21"/>
              </w:rPr>
            </w:pPr>
            <w:r>
              <w:rPr>
                <w:szCs w:val="21"/>
              </w:rPr>
              <w:t>检验方法</w:t>
            </w:r>
          </w:p>
        </w:tc>
      </w:tr>
      <w:tr w14:paraId="7668F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3C9175E8">
            <w:pPr>
              <w:jc w:val="center"/>
              <w:rPr>
                <w:rFonts w:hint="eastAsia" w:eastAsia="宋体"/>
                <w:szCs w:val="21"/>
                <w:lang w:val="en-US" w:eastAsia="zh-CN"/>
              </w:rPr>
            </w:pPr>
            <w:r>
              <w:rPr>
                <w:rFonts w:hint="eastAsia"/>
                <w:szCs w:val="21"/>
                <w:lang w:val="en-US" w:eastAsia="zh-CN"/>
              </w:rPr>
              <w:t>1</w:t>
            </w:r>
          </w:p>
        </w:tc>
        <w:tc>
          <w:tcPr>
            <w:tcW w:w="4988" w:type="dxa"/>
            <w:vAlign w:val="center"/>
          </w:tcPr>
          <w:p w14:paraId="1E6B5FCD">
            <w:pPr>
              <w:jc w:val="center"/>
              <w:rPr>
                <w:color w:val="auto"/>
                <w:szCs w:val="21"/>
              </w:rPr>
            </w:pPr>
            <w:r>
              <w:rPr>
                <w:rFonts w:hint="default"/>
                <w:color w:val="auto"/>
                <w:szCs w:val="21"/>
                <w:lang w:val="en-US" w:eastAsia="zh-CN"/>
              </w:rPr>
              <w:t>干燥时间</w:t>
            </w:r>
          </w:p>
        </w:tc>
        <w:tc>
          <w:tcPr>
            <w:tcW w:w="3493" w:type="dxa"/>
            <w:vAlign w:val="center"/>
          </w:tcPr>
          <w:p w14:paraId="71D2825E">
            <w:pPr>
              <w:jc w:val="center"/>
              <w:rPr>
                <w:szCs w:val="21"/>
              </w:rPr>
            </w:pPr>
            <w:r>
              <w:rPr>
                <w:rFonts w:hint="eastAsia"/>
                <w:color w:val="000000"/>
                <w:szCs w:val="21"/>
              </w:rPr>
              <w:t xml:space="preserve"> GB/T 1728-2020 </w:t>
            </w:r>
          </w:p>
        </w:tc>
      </w:tr>
      <w:tr w14:paraId="25B58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56FA5B53">
            <w:pPr>
              <w:jc w:val="center"/>
              <w:rPr>
                <w:rFonts w:hint="eastAsia" w:eastAsia="宋体"/>
                <w:szCs w:val="21"/>
                <w:lang w:val="en-US" w:eastAsia="zh-CN"/>
              </w:rPr>
            </w:pPr>
            <w:r>
              <w:rPr>
                <w:rFonts w:hint="eastAsia"/>
                <w:szCs w:val="21"/>
                <w:lang w:val="en-US" w:eastAsia="zh-CN"/>
              </w:rPr>
              <w:t>2</w:t>
            </w:r>
          </w:p>
        </w:tc>
        <w:tc>
          <w:tcPr>
            <w:tcW w:w="4988" w:type="dxa"/>
            <w:vAlign w:val="center"/>
          </w:tcPr>
          <w:p w14:paraId="37FDD9B4">
            <w:pPr>
              <w:jc w:val="center"/>
              <w:rPr>
                <w:color w:val="auto"/>
                <w:szCs w:val="21"/>
              </w:rPr>
            </w:pPr>
            <w:r>
              <w:rPr>
                <w:rFonts w:hint="default"/>
                <w:color w:val="auto"/>
                <w:szCs w:val="21"/>
                <w:lang w:val="en-US" w:eastAsia="zh-CN"/>
              </w:rPr>
              <w:t>干密度</w:t>
            </w:r>
          </w:p>
        </w:tc>
        <w:tc>
          <w:tcPr>
            <w:tcW w:w="3493" w:type="dxa"/>
            <w:vAlign w:val="center"/>
          </w:tcPr>
          <w:p w14:paraId="55E178E2">
            <w:pPr>
              <w:jc w:val="center"/>
            </w:pPr>
            <w:r>
              <w:rPr>
                <w:rFonts w:hint="eastAsia"/>
                <w:color w:val="000000"/>
                <w:szCs w:val="21"/>
              </w:rPr>
              <w:t>GB 28375-2025</w:t>
            </w:r>
            <w:r>
              <w:rPr>
                <w:rFonts w:hint="eastAsia"/>
                <w:color w:val="000000"/>
                <w:szCs w:val="21"/>
                <w:lang w:val="en-US" w:eastAsia="zh-CN"/>
              </w:rPr>
              <w:t xml:space="preserve"> </w:t>
            </w:r>
          </w:p>
        </w:tc>
      </w:tr>
      <w:tr w14:paraId="6EDD0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22AB337F">
            <w:pPr>
              <w:jc w:val="center"/>
              <w:rPr>
                <w:rFonts w:hint="eastAsia" w:eastAsia="宋体"/>
                <w:szCs w:val="21"/>
                <w:lang w:val="en-US" w:eastAsia="zh-CN"/>
              </w:rPr>
            </w:pPr>
            <w:r>
              <w:rPr>
                <w:rFonts w:hint="eastAsia"/>
                <w:szCs w:val="21"/>
                <w:lang w:val="en-US" w:eastAsia="zh-CN"/>
              </w:rPr>
              <w:t>3</w:t>
            </w:r>
          </w:p>
        </w:tc>
        <w:tc>
          <w:tcPr>
            <w:tcW w:w="4988" w:type="dxa"/>
            <w:vAlign w:val="center"/>
          </w:tcPr>
          <w:p w14:paraId="75AC8EC0">
            <w:pPr>
              <w:jc w:val="center"/>
              <w:rPr>
                <w:color w:val="auto"/>
                <w:szCs w:val="21"/>
              </w:rPr>
            </w:pPr>
            <w:r>
              <w:rPr>
                <w:rFonts w:hint="default"/>
                <w:color w:val="auto"/>
                <w:szCs w:val="21"/>
                <w:lang w:val="en-US" w:eastAsia="zh-CN"/>
              </w:rPr>
              <w:t>耐酸性</w:t>
            </w:r>
          </w:p>
        </w:tc>
        <w:tc>
          <w:tcPr>
            <w:tcW w:w="3493" w:type="dxa"/>
            <w:vAlign w:val="center"/>
          </w:tcPr>
          <w:p w14:paraId="73FC8BD7">
            <w:pPr>
              <w:jc w:val="center"/>
              <w:rPr>
                <w:rFonts w:hint="default" w:eastAsia="宋体"/>
                <w:szCs w:val="21"/>
                <w:highlight w:val="yellow"/>
                <w:lang w:val="en-US" w:eastAsia="zh-CN"/>
              </w:rPr>
            </w:pPr>
            <w:r>
              <w:rPr>
                <w:rFonts w:hint="eastAsia"/>
                <w:color w:val="000000"/>
                <w:szCs w:val="21"/>
              </w:rPr>
              <w:t>GB 28375-2025</w:t>
            </w:r>
            <w:r>
              <w:rPr>
                <w:rFonts w:hint="eastAsia"/>
                <w:color w:val="000000"/>
                <w:szCs w:val="21"/>
                <w:lang w:val="en-US" w:eastAsia="zh-CN"/>
              </w:rPr>
              <w:t xml:space="preserve"> </w:t>
            </w:r>
          </w:p>
        </w:tc>
      </w:tr>
      <w:tr w14:paraId="499C1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67EA047A">
            <w:pPr>
              <w:jc w:val="center"/>
              <w:rPr>
                <w:rFonts w:hint="eastAsia" w:eastAsia="宋体"/>
                <w:szCs w:val="21"/>
                <w:lang w:val="en-US" w:eastAsia="zh-CN"/>
              </w:rPr>
            </w:pPr>
            <w:r>
              <w:rPr>
                <w:rFonts w:hint="eastAsia"/>
                <w:szCs w:val="21"/>
                <w:lang w:val="en-US" w:eastAsia="zh-CN"/>
              </w:rPr>
              <w:t>4</w:t>
            </w:r>
          </w:p>
        </w:tc>
        <w:tc>
          <w:tcPr>
            <w:tcW w:w="4988" w:type="dxa"/>
            <w:vAlign w:val="center"/>
          </w:tcPr>
          <w:p w14:paraId="57C6D78E">
            <w:pPr>
              <w:jc w:val="center"/>
              <w:rPr>
                <w:color w:val="auto"/>
                <w:szCs w:val="21"/>
              </w:rPr>
            </w:pPr>
            <w:r>
              <w:rPr>
                <w:rFonts w:hint="default"/>
                <w:color w:val="auto"/>
                <w:szCs w:val="21"/>
                <w:lang w:val="en-US" w:eastAsia="zh-CN"/>
              </w:rPr>
              <w:t>耐碱性</w:t>
            </w:r>
          </w:p>
        </w:tc>
        <w:tc>
          <w:tcPr>
            <w:tcW w:w="3493" w:type="dxa"/>
            <w:vAlign w:val="center"/>
          </w:tcPr>
          <w:p w14:paraId="2D68BD3F">
            <w:pPr>
              <w:jc w:val="center"/>
              <w:rPr>
                <w:szCs w:val="21"/>
                <w:highlight w:val="yellow"/>
              </w:rPr>
            </w:pPr>
            <w:r>
              <w:rPr>
                <w:rFonts w:hint="eastAsia"/>
                <w:color w:val="000000"/>
                <w:szCs w:val="21"/>
              </w:rPr>
              <w:t>GB 28375-2025</w:t>
            </w:r>
            <w:r>
              <w:rPr>
                <w:rFonts w:hint="eastAsia"/>
                <w:color w:val="000000"/>
                <w:szCs w:val="21"/>
                <w:lang w:val="en-US" w:eastAsia="zh-CN"/>
              </w:rPr>
              <w:t xml:space="preserve"> </w:t>
            </w:r>
          </w:p>
        </w:tc>
      </w:tr>
      <w:tr w14:paraId="5CB07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693" w:type="dxa"/>
            <w:vAlign w:val="center"/>
          </w:tcPr>
          <w:p w14:paraId="53002DCA">
            <w:pPr>
              <w:jc w:val="center"/>
              <w:rPr>
                <w:rFonts w:hint="eastAsia" w:eastAsia="宋体"/>
                <w:szCs w:val="21"/>
                <w:lang w:val="en-US" w:eastAsia="zh-CN"/>
              </w:rPr>
            </w:pPr>
            <w:r>
              <w:rPr>
                <w:rFonts w:hint="eastAsia"/>
                <w:szCs w:val="21"/>
                <w:lang w:val="en-US" w:eastAsia="zh-CN"/>
              </w:rPr>
              <w:t>5</w:t>
            </w:r>
          </w:p>
        </w:tc>
        <w:tc>
          <w:tcPr>
            <w:tcW w:w="4988" w:type="dxa"/>
            <w:vAlign w:val="center"/>
          </w:tcPr>
          <w:p w14:paraId="69B7217F">
            <w:pPr>
              <w:jc w:val="center"/>
              <w:rPr>
                <w:color w:val="auto"/>
                <w:szCs w:val="21"/>
              </w:rPr>
            </w:pPr>
            <w:r>
              <w:rPr>
                <w:rFonts w:hint="default"/>
                <w:color w:val="auto"/>
                <w:szCs w:val="21"/>
                <w:lang w:val="en-US" w:eastAsia="zh-CN"/>
              </w:rPr>
              <w:t>产烟毒性</w:t>
            </w:r>
          </w:p>
        </w:tc>
        <w:tc>
          <w:tcPr>
            <w:tcW w:w="3493" w:type="dxa"/>
            <w:vAlign w:val="center"/>
          </w:tcPr>
          <w:p w14:paraId="06E5DA99">
            <w:pPr>
              <w:jc w:val="center"/>
              <w:rPr>
                <w:szCs w:val="21"/>
              </w:rPr>
            </w:pPr>
            <w:r>
              <w:rPr>
                <w:rFonts w:hint="eastAsia"/>
                <w:szCs w:val="21"/>
              </w:rPr>
              <w:t>GB/T 20285-2006</w:t>
            </w:r>
          </w:p>
        </w:tc>
      </w:tr>
    </w:tbl>
    <w:p w14:paraId="0A3FEB48">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1A082DE1">
      <w:pPr>
        <w:snapToGrid w:val="0"/>
        <w:spacing w:line="440" w:lineRule="exact"/>
        <w:ind w:firstLine="359" w:firstLineChars="171"/>
        <w:rPr>
          <w:rFonts w:ascii="宋体" w:hAnsi="宋体"/>
          <w:szCs w:val="21"/>
        </w:rPr>
      </w:pPr>
      <w:r>
        <w:rPr>
          <w:rFonts w:hint="eastAsia" w:ascii="宋体" w:hAnsi="宋体"/>
          <w:szCs w:val="21"/>
        </w:rPr>
        <w:t>凡是注日期的文件，其随后所有的修改单（不包括勘误的内容）或修订版不适用于本细则。凡是不注日期的文件，其最新版本适用于本细则。</w:t>
      </w:r>
    </w:p>
    <w:p w14:paraId="2C9CCA2A">
      <w:pPr>
        <w:adjustRightInd w:val="0"/>
        <w:snapToGrid w:val="0"/>
        <w:spacing w:line="440" w:lineRule="exact"/>
        <w:ind w:firstLine="420" w:firstLineChars="200"/>
        <w:rPr>
          <w:color w:val="000000"/>
          <w:szCs w:val="21"/>
        </w:rPr>
      </w:pPr>
    </w:p>
    <w:p w14:paraId="53DBE986">
      <w:pPr>
        <w:spacing w:before="156" w:beforeLines="50" w:line="440" w:lineRule="exact"/>
        <w:rPr>
          <w:rFonts w:eastAsia="黑体"/>
          <w:color w:val="000000"/>
          <w:szCs w:val="21"/>
        </w:rPr>
      </w:pPr>
      <w:r>
        <w:rPr>
          <w:rFonts w:eastAsia="黑体"/>
          <w:color w:val="000000"/>
          <w:szCs w:val="21"/>
        </w:rPr>
        <w:t>3 判定规则</w:t>
      </w:r>
    </w:p>
    <w:p w14:paraId="1A71AEAB">
      <w:pPr>
        <w:snapToGrid w:val="0"/>
        <w:spacing w:line="440" w:lineRule="exact"/>
        <w:rPr>
          <w:color w:val="000000"/>
          <w:szCs w:val="21"/>
        </w:rPr>
      </w:pPr>
      <w:r>
        <w:rPr>
          <w:color w:val="000000"/>
          <w:szCs w:val="21"/>
        </w:rPr>
        <w:t>3.1依据标准</w:t>
      </w:r>
    </w:p>
    <w:p w14:paraId="768F9636">
      <w:pPr>
        <w:snapToGrid w:val="0"/>
        <w:spacing w:line="440" w:lineRule="exact"/>
        <w:ind w:firstLine="420" w:firstLineChars="200"/>
      </w:pPr>
      <w:r>
        <w:rPr>
          <w:rFonts w:hint="eastAsia"/>
          <w:highlight w:val="none"/>
        </w:rPr>
        <w:t>GB 28375-20</w:t>
      </w:r>
      <w:r>
        <w:rPr>
          <w:rFonts w:hint="eastAsia"/>
          <w:highlight w:val="none"/>
          <w:lang w:val="en-US" w:eastAsia="zh-CN"/>
        </w:rPr>
        <w:t>12</w:t>
      </w:r>
      <w:r>
        <w:rPr>
          <w:rFonts w:hint="eastAsia"/>
          <w:color w:val="000000"/>
          <w:szCs w:val="21"/>
          <w:highlight w:val="none"/>
          <w:lang w:val="en-US" w:eastAsia="zh-CN"/>
        </w:rPr>
        <w:t xml:space="preserve"> </w:t>
      </w:r>
      <w:r>
        <w:rPr>
          <w:rFonts w:hint="default"/>
          <w:color w:val="000000"/>
          <w:szCs w:val="21"/>
          <w:highlight w:val="none"/>
        </w:rPr>
        <w:t xml:space="preserve">混凝土结构防火涂料 </w:t>
      </w:r>
    </w:p>
    <w:p w14:paraId="30EF622A">
      <w:pPr>
        <w:snapToGrid w:val="0"/>
        <w:spacing w:line="440" w:lineRule="exact"/>
        <w:ind w:firstLine="420" w:firstLineChars="200"/>
        <w:rPr>
          <w:rFonts w:hint="eastAsia"/>
          <w:color w:val="000000"/>
          <w:szCs w:val="21"/>
          <w:highlight w:val="none"/>
          <w:lang w:val="en-US" w:eastAsia="zh-CN"/>
        </w:rPr>
      </w:pPr>
      <w:r>
        <w:rPr>
          <w:rFonts w:hint="eastAsia"/>
          <w:highlight w:val="none"/>
        </w:rPr>
        <w:t>GB 28375-2025</w:t>
      </w:r>
      <w:r>
        <w:rPr>
          <w:rFonts w:hint="eastAsia"/>
          <w:color w:val="000000"/>
          <w:szCs w:val="21"/>
          <w:highlight w:val="none"/>
          <w:lang w:val="en-US" w:eastAsia="zh-CN"/>
        </w:rPr>
        <w:t xml:space="preserve"> </w:t>
      </w:r>
      <w:r>
        <w:rPr>
          <w:rFonts w:hint="default"/>
          <w:color w:val="000000"/>
          <w:szCs w:val="21"/>
          <w:highlight w:val="none"/>
        </w:rPr>
        <w:t xml:space="preserve">混凝土结构防火涂料 </w:t>
      </w:r>
    </w:p>
    <w:p w14:paraId="64BD25AC">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78EEE1EE">
      <w:pPr>
        <w:snapToGrid w:val="0"/>
        <w:spacing w:line="440" w:lineRule="exact"/>
        <w:rPr>
          <w:color w:val="000000"/>
          <w:szCs w:val="21"/>
        </w:rPr>
      </w:pPr>
      <w:r>
        <w:rPr>
          <w:color w:val="000000"/>
          <w:szCs w:val="21"/>
        </w:rPr>
        <w:t>3.2判定原则</w:t>
      </w:r>
    </w:p>
    <w:p w14:paraId="6EC31843">
      <w:pPr>
        <w:snapToGrid w:val="0"/>
        <w:spacing w:line="440" w:lineRule="exact"/>
        <w:ind w:firstLine="420" w:firstLineChars="200"/>
        <w:rPr>
          <w:rFonts w:ascii="宋体" w:hAnsi="宋体"/>
          <w:szCs w:val="21"/>
        </w:rPr>
      </w:pPr>
      <w:bookmarkStart w:id="1" w:name="OLE_LINK6"/>
      <w:bookmarkStart w:id="2" w:name="OLE_LINK5"/>
      <w:bookmarkStart w:id="3" w:name="OLE_LINK2"/>
      <w:r>
        <w:rPr>
          <w:rFonts w:hint="eastAsia" w:ascii="宋体" w:hAnsi="宋体"/>
          <w:szCs w:val="21"/>
        </w:rPr>
        <w:t>经检验，检验项目全部合格，判定为被抽查产品所检项目未发现不合格；检验项目中任一项或一项以上不合格，判定为被抽查产品不合格。</w:t>
      </w:r>
    </w:p>
    <w:p w14:paraId="575D3C5F">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14:paraId="270A7447">
      <w:pPr>
        <w:snapToGrid w:val="0"/>
        <w:spacing w:line="440" w:lineRule="exact"/>
        <w:ind w:firstLine="417" w:firstLineChars="199"/>
        <w:rPr>
          <w:rFonts w:hint="eastAsia" w:ascii="宋体" w:hAnsi="宋体"/>
          <w:szCs w:val="21"/>
        </w:rPr>
      </w:pPr>
      <w:r>
        <w:rPr>
          <w:rFonts w:hint="eastAsia" w:ascii="宋体" w:hAnsi="宋体"/>
          <w:szCs w:val="21"/>
        </w:rPr>
        <w:t>若被检产品明示的质量要求低于本细则中检验项目依据的强制性标准要求时，应按照强制性标准要求判定。</w:t>
      </w:r>
    </w:p>
    <w:p w14:paraId="27304537">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p>
    <w:p w14:paraId="1B761C9B">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bookmarkEnd w:id="1"/>
    <w:bookmarkEnd w:id="2"/>
    <w:bookmarkEnd w:id="3"/>
    <w:p w14:paraId="70A18D5E">
      <w:pPr>
        <w:snapToGrid w:val="0"/>
        <w:spacing w:line="440" w:lineRule="exact"/>
        <w:ind w:firstLine="417" w:firstLineChars="199"/>
        <w:rPr>
          <w:rFonts w:hint="default" w:ascii="宋体" w:hAnsi="宋体"/>
          <w:szCs w:val="21"/>
        </w:rPr>
      </w:pPr>
      <w:r>
        <w:rPr>
          <w:rFonts w:hint="default" w:ascii="宋体" w:hAnsi="宋体"/>
          <w:szCs w:val="21"/>
        </w:rPr>
        <w:t>若被检产品明示的质量要求缺少本细则中检验项目依据的推荐性标准要求时，该项目不参与判定。</w:t>
      </w:r>
    </w:p>
    <w:p w14:paraId="4181CC53">
      <w:pPr>
        <w:snapToGrid w:val="0"/>
        <w:spacing w:line="440" w:lineRule="exact"/>
        <w:ind w:firstLine="417" w:firstLineChars="199"/>
        <w:rPr>
          <w:color w:val="000000"/>
          <w:szCs w:val="21"/>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C1A1A">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4AED02D6">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DF13A">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C1C65B1">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A8E2D">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2ZTIxMWU5OGIwY2U5MDI3ODdiMDM4ZDc3ZThlOTMifQ=="/>
  </w:docVars>
  <w:rsids>
    <w:rsidRoot w:val="00172A27"/>
    <w:rsid w:val="00012EEB"/>
    <w:rsid w:val="00030F98"/>
    <w:rsid w:val="0003286E"/>
    <w:rsid w:val="00051A44"/>
    <w:rsid w:val="00052092"/>
    <w:rsid w:val="00055C43"/>
    <w:rsid w:val="00063F78"/>
    <w:rsid w:val="000770C5"/>
    <w:rsid w:val="00081CBD"/>
    <w:rsid w:val="0008480D"/>
    <w:rsid w:val="0009216E"/>
    <w:rsid w:val="000976DE"/>
    <w:rsid w:val="000A0A61"/>
    <w:rsid w:val="000B7E87"/>
    <w:rsid w:val="000C27EF"/>
    <w:rsid w:val="000E2DE0"/>
    <w:rsid w:val="000F14E9"/>
    <w:rsid w:val="00125916"/>
    <w:rsid w:val="00133E98"/>
    <w:rsid w:val="001352E7"/>
    <w:rsid w:val="00145AE7"/>
    <w:rsid w:val="001565C3"/>
    <w:rsid w:val="00172A27"/>
    <w:rsid w:val="001809DD"/>
    <w:rsid w:val="00197642"/>
    <w:rsid w:val="001A51E1"/>
    <w:rsid w:val="001F3D40"/>
    <w:rsid w:val="00205BC7"/>
    <w:rsid w:val="00247E11"/>
    <w:rsid w:val="002501F8"/>
    <w:rsid w:val="00253624"/>
    <w:rsid w:val="002627EB"/>
    <w:rsid w:val="00273AE5"/>
    <w:rsid w:val="00275517"/>
    <w:rsid w:val="00292DAD"/>
    <w:rsid w:val="002A25C4"/>
    <w:rsid w:val="002D7F8A"/>
    <w:rsid w:val="002E0D1D"/>
    <w:rsid w:val="002E4610"/>
    <w:rsid w:val="00312D60"/>
    <w:rsid w:val="003203A3"/>
    <w:rsid w:val="00373484"/>
    <w:rsid w:val="003831DC"/>
    <w:rsid w:val="00392BF9"/>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60D8A"/>
    <w:rsid w:val="00467E74"/>
    <w:rsid w:val="00474E04"/>
    <w:rsid w:val="00483AC6"/>
    <w:rsid w:val="004A0936"/>
    <w:rsid w:val="004D0C5A"/>
    <w:rsid w:val="004D31EC"/>
    <w:rsid w:val="004E02D3"/>
    <w:rsid w:val="004E1396"/>
    <w:rsid w:val="004E7C02"/>
    <w:rsid w:val="004F261B"/>
    <w:rsid w:val="005328AC"/>
    <w:rsid w:val="00551B06"/>
    <w:rsid w:val="005623DE"/>
    <w:rsid w:val="00563EBC"/>
    <w:rsid w:val="005868F9"/>
    <w:rsid w:val="00586CB0"/>
    <w:rsid w:val="00593498"/>
    <w:rsid w:val="005A1399"/>
    <w:rsid w:val="005A34AC"/>
    <w:rsid w:val="005B5C73"/>
    <w:rsid w:val="005B64D3"/>
    <w:rsid w:val="005D0F42"/>
    <w:rsid w:val="005F4CC6"/>
    <w:rsid w:val="00634C4F"/>
    <w:rsid w:val="006440C7"/>
    <w:rsid w:val="00661CE9"/>
    <w:rsid w:val="006734CA"/>
    <w:rsid w:val="00673C07"/>
    <w:rsid w:val="0068509C"/>
    <w:rsid w:val="006A3613"/>
    <w:rsid w:val="006A5215"/>
    <w:rsid w:val="006C7C2B"/>
    <w:rsid w:val="006F0971"/>
    <w:rsid w:val="0072334C"/>
    <w:rsid w:val="0074501E"/>
    <w:rsid w:val="007752EB"/>
    <w:rsid w:val="007761A5"/>
    <w:rsid w:val="00786F2C"/>
    <w:rsid w:val="007A5C0E"/>
    <w:rsid w:val="007B75EE"/>
    <w:rsid w:val="007C3667"/>
    <w:rsid w:val="007F583F"/>
    <w:rsid w:val="008139C8"/>
    <w:rsid w:val="008166B9"/>
    <w:rsid w:val="008200E6"/>
    <w:rsid w:val="0082012D"/>
    <w:rsid w:val="0084012D"/>
    <w:rsid w:val="0086159D"/>
    <w:rsid w:val="0087041A"/>
    <w:rsid w:val="00871617"/>
    <w:rsid w:val="008726BF"/>
    <w:rsid w:val="00895BEA"/>
    <w:rsid w:val="008A3497"/>
    <w:rsid w:val="008A61A4"/>
    <w:rsid w:val="008B1BD3"/>
    <w:rsid w:val="008C50E2"/>
    <w:rsid w:val="008E39B1"/>
    <w:rsid w:val="008F6434"/>
    <w:rsid w:val="00916926"/>
    <w:rsid w:val="00916BE5"/>
    <w:rsid w:val="00917A54"/>
    <w:rsid w:val="00920DA2"/>
    <w:rsid w:val="00926C29"/>
    <w:rsid w:val="00930572"/>
    <w:rsid w:val="00936B2A"/>
    <w:rsid w:val="00944A63"/>
    <w:rsid w:val="00957D96"/>
    <w:rsid w:val="00967C26"/>
    <w:rsid w:val="009865FB"/>
    <w:rsid w:val="009C6AE2"/>
    <w:rsid w:val="009E01DE"/>
    <w:rsid w:val="009F7375"/>
    <w:rsid w:val="00A1287B"/>
    <w:rsid w:val="00A25C52"/>
    <w:rsid w:val="00A26C6B"/>
    <w:rsid w:val="00A371F4"/>
    <w:rsid w:val="00A42847"/>
    <w:rsid w:val="00A43553"/>
    <w:rsid w:val="00A62E74"/>
    <w:rsid w:val="00A760C9"/>
    <w:rsid w:val="00A76D9F"/>
    <w:rsid w:val="00A80009"/>
    <w:rsid w:val="00A83893"/>
    <w:rsid w:val="00A902CC"/>
    <w:rsid w:val="00AA128C"/>
    <w:rsid w:val="00B3329E"/>
    <w:rsid w:val="00B5743B"/>
    <w:rsid w:val="00BA20EF"/>
    <w:rsid w:val="00BB6067"/>
    <w:rsid w:val="00BC52DB"/>
    <w:rsid w:val="00BF24FC"/>
    <w:rsid w:val="00BF5D64"/>
    <w:rsid w:val="00BF76DB"/>
    <w:rsid w:val="00C26074"/>
    <w:rsid w:val="00C34757"/>
    <w:rsid w:val="00C44CD6"/>
    <w:rsid w:val="00C626EC"/>
    <w:rsid w:val="00C63F45"/>
    <w:rsid w:val="00C83B0A"/>
    <w:rsid w:val="00C924E8"/>
    <w:rsid w:val="00CB6FC9"/>
    <w:rsid w:val="00CC137A"/>
    <w:rsid w:val="00CC1547"/>
    <w:rsid w:val="00CC195A"/>
    <w:rsid w:val="00CD1ECA"/>
    <w:rsid w:val="00CD37A8"/>
    <w:rsid w:val="00CE1E0C"/>
    <w:rsid w:val="00CE277E"/>
    <w:rsid w:val="00D120FA"/>
    <w:rsid w:val="00D1237C"/>
    <w:rsid w:val="00D50D7D"/>
    <w:rsid w:val="00D56867"/>
    <w:rsid w:val="00D7436E"/>
    <w:rsid w:val="00D82AE9"/>
    <w:rsid w:val="00D915F1"/>
    <w:rsid w:val="00DE2075"/>
    <w:rsid w:val="00E02A7F"/>
    <w:rsid w:val="00E07880"/>
    <w:rsid w:val="00E53438"/>
    <w:rsid w:val="00E62B1F"/>
    <w:rsid w:val="00E82621"/>
    <w:rsid w:val="00E95A55"/>
    <w:rsid w:val="00EA3D96"/>
    <w:rsid w:val="00ED4450"/>
    <w:rsid w:val="00ED5419"/>
    <w:rsid w:val="00ED6985"/>
    <w:rsid w:val="00F1455F"/>
    <w:rsid w:val="00F16AAE"/>
    <w:rsid w:val="00F332B6"/>
    <w:rsid w:val="00F5372E"/>
    <w:rsid w:val="00F5395B"/>
    <w:rsid w:val="00F57D43"/>
    <w:rsid w:val="00F77C9A"/>
    <w:rsid w:val="00F86832"/>
    <w:rsid w:val="00FA47C4"/>
    <w:rsid w:val="00FA4CC5"/>
    <w:rsid w:val="00FB576C"/>
    <w:rsid w:val="00FD2AA6"/>
    <w:rsid w:val="00FE14EF"/>
    <w:rsid w:val="00FE7E8A"/>
    <w:rsid w:val="00FF5DCC"/>
    <w:rsid w:val="03D40F34"/>
    <w:rsid w:val="04C70D83"/>
    <w:rsid w:val="09234C9E"/>
    <w:rsid w:val="0BF3562B"/>
    <w:rsid w:val="11473DDB"/>
    <w:rsid w:val="155B2503"/>
    <w:rsid w:val="16AA5042"/>
    <w:rsid w:val="1A784B4A"/>
    <w:rsid w:val="1AEC2B66"/>
    <w:rsid w:val="1B9113EA"/>
    <w:rsid w:val="1DF771D8"/>
    <w:rsid w:val="1E133B57"/>
    <w:rsid w:val="1EEE7608"/>
    <w:rsid w:val="25FE0304"/>
    <w:rsid w:val="362E3EC3"/>
    <w:rsid w:val="394D1D72"/>
    <w:rsid w:val="3BC768BF"/>
    <w:rsid w:val="3C186DE5"/>
    <w:rsid w:val="3E8E2096"/>
    <w:rsid w:val="559B7E84"/>
    <w:rsid w:val="575527A0"/>
    <w:rsid w:val="59D747C8"/>
    <w:rsid w:val="59E81116"/>
    <w:rsid w:val="60155BF2"/>
    <w:rsid w:val="617E46E6"/>
    <w:rsid w:val="627836B5"/>
    <w:rsid w:val="629611FF"/>
    <w:rsid w:val="636B2161"/>
    <w:rsid w:val="665E1984"/>
    <w:rsid w:val="692F036A"/>
    <w:rsid w:val="6EE757A4"/>
    <w:rsid w:val="6FE07B46"/>
    <w:rsid w:val="70E23464"/>
    <w:rsid w:val="72F12845"/>
    <w:rsid w:val="75FB6071"/>
    <w:rsid w:val="7A1E5CAC"/>
    <w:rsid w:val="7B0B018A"/>
    <w:rsid w:val="7C782283"/>
    <w:rsid w:val="7CAE06C1"/>
    <w:rsid w:val="7DF633B3"/>
    <w:rsid w:val="7EDB396C"/>
    <w:rsid w:val="7EEB5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Indent"/>
    <w:basedOn w:val="1"/>
    <w:qFormat/>
    <w:uiPriority w:val="0"/>
    <w:pPr>
      <w:spacing w:line="700" w:lineRule="exact"/>
      <w:ind w:left="960"/>
    </w:pPr>
    <w:rPr>
      <w:sz w:val="44"/>
    </w:rPr>
  </w:style>
  <w:style w:type="paragraph" w:styleId="5">
    <w:name w:val="Balloon Text"/>
    <w:basedOn w:val="1"/>
    <w:link w:val="14"/>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4"/>
    <w:qFormat/>
    <w:uiPriority w:val="0"/>
    <w:pPr>
      <w:spacing w:after="120" w:afterLines="0" w:afterAutospacing="0" w:line="240" w:lineRule="auto"/>
      <w:ind w:left="420" w:leftChars="200" w:firstLine="420" w:firstLineChars="200"/>
    </w:pPr>
    <w:rPr>
      <w:sz w:val="21"/>
    </w:rPr>
  </w:style>
  <w:style w:type="character" w:styleId="11">
    <w:name w:val="page number"/>
    <w:basedOn w:val="10"/>
    <w:qFormat/>
    <w:uiPriority w:val="0"/>
  </w:style>
  <w:style w:type="character" w:customStyle="1" w:styleId="12">
    <w:name w:val="页眉 字符"/>
    <w:link w:val="7"/>
    <w:semiHidden/>
    <w:qFormat/>
    <w:uiPriority w:val="99"/>
    <w:rPr>
      <w:kern w:val="2"/>
      <w:sz w:val="18"/>
      <w:szCs w:val="18"/>
    </w:rPr>
  </w:style>
  <w:style w:type="character" w:customStyle="1" w:styleId="13">
    <w:name w:val="页脚 字符"/>
    <w:link w:val="6"/>
    <w:qFormat/>
    <w:uiPriority w:val="99"/>
    <w:rPr>
      <w:kern w:val="2"/>
      <w:sz w:val="18"/>
      <w:szCs w:val="18"/>
    </w:rPr>
  </w:style>
  <w:style w:type="character" w:customStyle="1" w:styleId="14">
    <w:name w:val="批注框文本 字符"/>
    <w:link w:val="5"/>
    <w:semiHidden/>
    <w:qFormat/>
    <w:uiPriority w:val="99"/>
    <w:rPr>
      <w:kern w:val="2"/>
      <w:sz w:val="18"/>
      <w:szCs w:val="18"/>
    </w:rPr>
  </w:style>
  <w:style w:type="paragraph" w:customStyle="1" w:styleId="15">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6">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622</Words>
  <Characters>695</Characters>
  <Lines>12</Lines>
  <Paragraphs>3</Paragraphs>
  <TotalTime>0</TotalTime>
  <ScaleCrop>false</ScaleCrop>
  <LinksUpToDate>false</LinksUpToDate>
  <CharactersWithSpaces>711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2024-03-25T07:31:00Z</dcterms:created>
  <dc:creator>赛旺检测</dc:creator>
  <cp:lastModifiedBy>冉少</cp:lastModifiedBy>
  <cp:lastPrinted>2019-12-26T06:50:00Z</cp:lastPrinted>
  <dcterms:modified xsi:type="dcterms:W3CDTF">2026-07-07T13:22:36Z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F26B3F4E102D43ADB8BBC5C7CFD19484_13</vt:lpwstr>
  </property>
  <property fmtid="{D5CDD505-2E9C-101B-9397-08002B2CF9AE}" pid="4" name="KSOTemplateDocerSaveRecord">
    <vt:lpwstr>eyJoZGlkIjoiMTQ2YjliM2Y3NTIwYTMzNDRiYzRkM2I2YjY5NzQ1YWIiLCJ1c2VySWQiOiI2NDUwNTU2NjUifQ==</vt:lpwstr>
  </property>
</Properties>
</file>