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6700FD">
      <w:pPr>
        <w:adjustRightInd w:val="0"/>
        <w:snapToGrid w:val="0"/>
        <w:spacing w:line="440" w:lineRule="exact"/>
        <w:jc w:val="center"/>
        <w:rPr>
          <w:rFonts w:hint="eastAsia" w:eastAsia="方正小标宋简体"/>
          <w:sz w:val="32"/>
          <w:szCs w:val="32"/>
          <w:highlight w:val="none"/>
        </w:rPr>
      </w:pPr>
      <w:bookmarkStart w:id="0" w:name="OLE_LINK9"/>
      <w:r>
        <w:rPr>
          <w:rFonts w:hint="eastAsia" w:eastAsia="方正小标宋简体"/>
          <w:sz w:val="32"/>
          <w:szCs w:val="32"/>
          <w:highlight w:val="none"/>
        </w:rPr>
        <w:t>重庆市玻璃棉制品产品质量监督抽查实施细则</w:t>
      </w:r>
    </w:p>
    <w:p w14:paraId="69F42477">
      <w:pPr>
        <w:adjustRightInd w:val="0"/>
        <w:snapToGrid w:val="0"/>
        <w:spacing w:line="440" w:lineRule="exact"/>
        <w:jc w:val="center"/>
        <w:rPr>
          <w:rFonts w:hint="eastAsia" w:ascii="宋体" w:hAnsi="宋体" w:cs="宋体"/>
          <w:b/>
          <w:bCs/>
          <w:color w:val="000000"/>
          <w:sz w:val="32"/>
          <w:szCs w:val="32"/>
          <w:highlight w:val="none"/>
        </w:rPr>
      </w:pPr>
      <w:r>
        <w:rPr>
          <w:rFonts w:hint="eastAsia" w:eastAsia="方正小标宋简体"/>
          <w:sz w:val="32"/>
          <w:szCs w:val="32"/>
          <w:highlight w:val="none"/>
        </w:rPr>
        <w:t>（2026年版）</w:t>
      </w:r>
    </w:p>
    <w:bookmarkEnd w:id="0"/>
    <w:p w14:paraId="3D3544F5">
      <w:pPr>
        <w:snapToGrid w:val="0"/>
        <w:spacing w:line="440" w:lineRule="exact"/>
        <w:rPr>
          <w:rFonts w:eastAsia="黑体"/>
          <w:szCs w:val="21"/>
          <w:highlight w:val="none"/>
        </w:rPr>
      </w:pPr>
      <w:r>
        <w:rPr>
          <w:rFonts w:eastAsia="黑体"/>
          <w:szCs w:val="21"/>
          <w:highlight w:val="none"/>
        </w:rPr>
        <w:t>1 抽样方法</w:t>
      </w:r>
    </w:p>
    <w:p w14:paraId="6AD46F55">
      <w:pPr>
        <w:snapToGrid w:val="0"/>
        <w:spacing w:line="440" w:lineRule="exact"/>
        <w:ind w:firstLine="420" w:firstLineChars="200"/>
        <w:rPr>
          <w:szCs w:val="21"/>
          <w:highlight w:val="none"/>
        </w:rPr>
      </w:pPr>
      <w:r>
        <w:rPr>
          <w:rFonts w:hint="eastAsia"/>
          <w:szCs w:val="21"/>
          <w:highlight w:val="none"/>
        </w:rPr>
        <w:t>以随机抽样的方式在被抽样生产者、销售者的待销产品中抽取。</w:t>
      </w:r>
    </w:p>
    <w:p w14:paraId="52F0ACD0">
      <w:pPr>
        <w:snapToGrid w:val="0"/>
        <w:spacing w:line="440" w:lineRule="exact"/>
        <w:ind w:firstLine="420" w:firstLineChars="200"/>
        <w:rPr>
          <w:szCs w:val="21"/>
          <w:highlight w:val="none"/>
        </w:rPr>
      </w:pPr>
      <w:r>
        <w:rPr>
          <w:rFonts w:hint="eastAsia"/>
          <w:szCs w:val="21"/>
          <w:highlight w:val="none"/>
        </w:rPr>
        <w:t>随机数一般可使用随机数表等方法产生。</w:t>
      </w:r>
    </w:p>
    <w:p w14:paraId="14617D4C">
      <w:pPr>
        <w:snapToGrid w:val="0"/>
        <w:spacing w:line="440" w:lineRule="exact"/>
        <w:ind w:firstLine="420" w:firstLineChars="200"/>
        <w:rPr>
          <w:szCs w:val="21"/>
          <w:highlight w:val="none"/>
        </w:rPr>
      </w:pPr>
      <w:r>
        <w:rPr>
          <w:szCs w:val="21"/>
          <w:highlight w:val="none"/>
        </w:rPr>
        <w:t>对燃烧性</w:t>
      </w:r>
      <w:r>
        <w:rPr>
          <w:szCs w:val="21"/>
          <w:highlight w:val="none"/>
        </w:rPr>
        <w:t>能明示为</w:t>
      </w:r>
      <w:r>
        <w:rPr>
          <w:rFonts w:hint="eastAsia"/>
          <w:szCs w:val="21"/>
          <w:highlight w:val="none"/>
        </w:rPr>
        <w:t>B</w:t>
      </w:r>
      <w:r>
        <w:rPr>
          <w:rFonts w:hint="eastAsia"/>
          <w:szCs w:val="21"/>
          <w:highlight w:val="none"/>
          <w:vertAlign w:val="subscript"/>
        </w:rPr>
        <w:t>1</w:t>
      </w:r>
      <w:r>
        <w:rPr>
          <w:rFonts w:hint="eastAsia"/>
          <w:szCs w:val="21"/>
          <w:highlight w:val="none"/>
        </w:rPr>
        <w:t>级、</w:t>
      </w:r>
      <w:r>
        <w:rPr>
          <w:szCs w:val="21"/>
          <w:highlight w:val="none"/>
        </w:rPr>
        <w:t>A</w:t>
      </w:r>
      <w:r>
        <w:rPr>
          <w:rFonts w:hint="eastAsia"/>
          <w:szCs w:val="21"/>
          <w:highlight w:val="none"/>
        </w:rPr>
        <w:t>（</w:t>
      </w:r>
      <w:r>
        <w:rPr>
          <w:szCs w:val="21"/>
          <w:highlight w:val="none"/>
        </w:rPr>
        <w:t>A2</w:t>
      </w:r>
      <w:r>
        <w:rPr>
          <w:rFonts w:hint="eastAsia"/>
          <w:szCs w:val="21"/>
          <w:highlight w:val="none"/>
        </w:rPr>
        <w:t>）</w:t>
      </w:r>
      <w:r>
        <w:rPr>
          <w:szCs w:val="21"/>
          <w:highlight w:val="none"/>
        </w:rPr>
        <w:t>级产品取样时，在同一批次产品中抽取样品不少于</w:t>
      </w:r>
      <w:r>
        <w:rPr>
          <w:rFonts w:hint="eastAsia"/>
          <w:szCs w:val="21"/>
          <w:highlight w:val="none"/>
        </w:rPr>
        <w:t>2</w:t>
      </w:r>
      <w:r>
        <w:rPr>
          <w:szCs w:val="21"/>
          <w:highlight w:val="none"/>
        </w:rPr>
        <w:t>0</w:t>
      </w:r>
      <w:bookmarkStart w:id="1" w:name="OLE_LINK2"/>
      <w:r>
        <w:rPr>
          <w:szCs w:val="21"/>
          <w:highlight w:val="none"/>
        </w:rPr>
        <w:t>m</w:t>
      </w:r>
      <w:r>
        <w:rPr>
          <w:szCs w:val="21"/>
          <w:highlight w:val="none"/>
          <w:vertAlign w:val="superscript"/>
        </w:rPr>
        <w:t>2</w:t>
      </w:r>
      <w:bookmarkEnd w:id="1"/>
      <w:r>
        <w:rPr>
          <w:szCs w:val="21"/>
          <w:highlight w:val="none"/>
        </w:rPr>
        <w:t>，</w:t>
      </w:r>
      <w:bookmarkStart w:id="2" w:name="OLE_LINK3"/>
      <w:r>
        <w:rPr>
          <w:rFonts w:hint="eastAsia"/>
          <w:szCs w:val="21"/>
          <w:highlight w:val="none"/>
        </w:rPr>
        <w:t>其中至少10</w:t>
      </w:r>
      <w:r>
        <w:rPr>
          <w:szCs w:val="21"/>
          <w:highlight w:val="none"/>
        </w:rPr>
        <w:t>m</w:t>
      </w:r>
      <w:r>
        <w:rPr>
          <w:szCs w:val="21"/>
          <w:highlight w:val="none"/>
          <w:vertAlign w:val="superscript"/>
        </w:rPr>
        <w:t>2</w:t>
      </w:r>
      <w:r>
        <w:rPr>
          <w:rFonts w:hint="eastAsia"/>
          <w:szCs w:val="21"/>
          <w:highlight w:val="none"/>
        </w:rPr>
        <w:t>作为检验样品，10</w:t>
      </w:r>
      <w:r>
        <w:rPr>
          <w:szCs w:val="21"/>
          <w:highlight w:val="none"/>
        </w:rPr>
        <w:t>m</w:t>
      </w:r>
      <w:r>
        <w:rPr>
          <w:szCs w:val="21"/>
          <w:highlight w:val="none"/>
          <w:vertAlign w:val="superscript"/>
        </w:rPr>
        <w:t>2</w:t>
      </w:r>
      <w:r>
        <w:rPr>
          <w:rFonts w:hint="eastAsia"/>
          <w:szCs w:val="21"/>
          <w:highlight w:val="none"/>
        </w:rPr>
        <w:t>作为备用样品。</w:t>
      </w:r>
    </w:p>
    <w:bookmarkEnd w:id="2"/>
    <w:p w14:paraId="1D1279D8">
      <w:pPr>
        <w:snapToGrid w:val="0"/>
        <w:spacing w:line="440" w:lineRule="exact"/>
        <w:ind w:firstLine="420" w:firstLineChars="200"/>
        <w:rPr>
          <w:szCs w:val="21"/>
          <w:highlight w:val="none"/>
        </w:rPr>
      </w:pPr>
      <w:r>
        <w:rPr>
          <w:szCs w:val="21"/>
          <w:highlight w:val="none"/>
        </w:rPr>
        <w:t>对燃烧性能明示为A</w:t>
      </w:r>
      <w:r>
        <w:rPr>
          <w:rFonts w:hint="eastAsia"/>
          <w:szCs w:val="21"/>
          <w:highlight w:val="none"/>
        </w:rPr>
        <w:t>（</w:t>
      </w:r>
      <w:r>
        <w:rPr>
          <w:szCs w:val="21"/>
          <w:highlight w:val="none"/>
        </w:rPr>
        <w:t>A1</w:t>
      </w:r>
      <w:r>
        <w:rPr>
          <w:rFonts w:hint="eastAsia"/>
          <w:szCs w:val="21"/>
          <w:highlight w:val="none"/>
        </w:rPr>
        <w:t>）</w:t>
      </w:r>
      <w:r>
        <w:rPr>
          <w:szCs w:val="21"/>
          <w:highlight w:val="none"/>
        </w:rPr>
        <w:t>级产品取样时，在同一批次产品中抽取样品不少于6m</w:t>
      </w:r>
      <w:r>
        <w:rPr>
          <w:szCs w:val="21"/>
          <w:highlight w:val="none"/>
          <w:vertAlign w:val="superscript"/>
        </w:rPr>
        <w:t>2</w:t>
      </w:r>
      <w:r>
        <w:rPr>
          <w:szCs w:val="21"/>
          <w:highlight w:val="none"/>
        </w:rPr>
        <w:t>，</w:t>
      </w:r>
      <w:r>
        <w:rPr>
          <w:rFonts w:hint="eastAsia"/>
          <w:szCs w:val="21"/>
          <w:highlight w:val="none"/>
        </w:rPr>
        <w:t>其中至少3</w:t>
      </w:r>
      <w:r>
        <w:rPr>
          <w:szCs w:val="21"/>
          <w:highlight w:val="none"/>
        </w:rPr>
        <w:t>m</w:t>
      </w:r>
      <w:r>
        <w:rPr>
          <w:szCs w:val="21"/>
          <w:highlight w:val="none"/>
          <w:vertAlign w:val="superscript"/>
        </w:rPr>
        <w:t>2</w:t>
      </w:r>
      <w:r>
        <w:rPr>
          <w:rFonts w:hint="eastAsia"/>
          <w:szCs w:val="21"/>
          <w:highlight w:val="none"/>
        </w:rPr>
        <w:t>作为检验样品，3</w:t>
      </w:r>
      <w:bookmarkStart w:id="3" w:name="OLE_LINK4"/>
      <w:r>
        <w:rPr>
          <w:szCs w:val="21"/>
          <w:highlight w:val="none"/>
        </w:rPr>
        <w:t>m</w:t>
      </w:r>
      <w:r>
        <w:rPr>
          <w:szCs w:val="21"/>
          <w:highlight w:val="none"/>
          <w:vertAlign w:val="superscript"/>
        </w:rPr>
        <w:t>2</w:t>
      </w:r>
      <w:bookmarkEnd w:id="3"/>
      <w:r>
        <w:rPr>
          <w:rFonts w:hint="eastAsia"/>
          <w:szCs w:val="21"/>
          <w:highlight w:val="none"/>
        </w:rPr>
        <w:t>作为备用样品。</w:t>
      </w:r>
    </w:p>
    <w:p w14:paraId="63DD74FF">
      <w:pPr>
        <w:snapToGrid w:val="0"/>
        <w:spacing w:line="440" w:lineRule="exact"/>
        <w:ind w:firstLine="420" w:firstLineChars="200"/>
        <w:rPr>
          <w:szCs w:val="21"/>
          <w:highlight w:val="none"/>
        </w:rPr>
      </w:pPr>
    </w:p>
    <w:p w14:paraId="65BA1D9E">
      <w:pPr>
        <w:snapToGrid w:val="0"/>
        <w:spacing w:line="440" w:lineRule="exact"/>
        <w:rPr>
          <w:rFonts w:eastAsia="黑体"/>
          <w:szCs w:val="21"/>
          <w:highlight w:val="none"/>
        </w:rPr>
      </w:pPr>
      <w:r>
        <w:rPr>
          <w:rFonts w:eastAsia="黑体"/>
          <w:szCs w:val="21"/>
          <w:highlight w:val="none"/>
        </w:rPr>
        <w:t>2 检验依据</w:t>
      </w:r>
    </w:p>
    <w:p w14:paraId="03FAECF6">
      <w:pPr>
        <w:snapToGrid w:val="0"/>
        <w:spacing w:line="440" w:lineRule="exact"/>
        <w:rPr>
          <w:rFonts w:eastAsia="黑体"/>
          <w:szCs w:val="21"/>
          <w:highlight w:val="none"/>
        </w:rPr>
      </w:pPr>
    </w:p>
    <w:tbl>
      <w:tblPr>
        <w:tblStyle w:val="9"/>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4988"/>
        <w:gridCol w:w="3493"/>
      </w:tblGrid>
      <w:tr w14:paraId="41ED5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40EF2342">
            <w:pPr>
              <w:jc w:val="center"/>
              <w:rPr>
                <w:szCs w:val="21"/>
                <w:highlight w:val="none"/>
              </w:rPr>
            </w:pPr>
            <w:r>
              <w:rPr>
                <w:szCs w:val="21"/>
                <w:highlight w:val="none"/>
              </w:rPr>
              <w:t>序号</w:t>
            </w:r>
          </w:p>
        </w:tc>
        <w:tc>
          <w:tcPr>
            <w:tcW w:w="4988" w:type="dxa"/>
            <w:vAlign w:val="center"/>
          </w:tcPr>
          <w:p w14:paraId="5957C8EF">
            <w:pPr>
              <w:jc w:val="center"/>
              <w:rPr>
                <w:szCs w:val="21"/>
                <w:highlight w:val="none"/>
              </w:rPr>
            </w:pPr>
            <w:r>
              <w:rPr>
                <w:szCs w:val="21"/>
                <w:highlight w:val="none"/>
              </w:rPr>
              <w:t>检验项目</w:t>
            </w:r>
          </w:p>
        </w:tc>
        <w:tc>
          <w:tcPr>
            <w:tcW w:w="3493" w:type="dxa"/>
            <w:vAlign w:val="center"/>
          </w:tcPr>
          <w:p w14:paraId="73474708">
            <w:pPr>
              <w:jc w:val="center"/>
              <w:rPr>
                <w:szCs w:val="21"/>
                <w:highlight w:val="none"/>
              </w:rPr>
            </w:pPr>
            <w:r>
              <w:rPr>
                <w:szCs w:val="21"/>
                <w:highlight w:val="none"/>
              </w:rPr>
              <w:t>检验方法</w:t>
            </w:r>
          </w:p>
        </w:tc>
      </w:tr>
      <w:tr w14:paraId="2CFE9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541AF722">
            <w:pPr>
              <w:jc w:val="center"/>
              <w:rPr>
                <w:szCs w:val="21"/>
                <w:highlight w:val="none"/>
              </w:rPr>
            </w:pPr>
            <w:r>
              <w:rPr>
                <w:rFonts w:hint="eastAsia"/>
                <w:szCs w:val="21"/>
                <w:highlight w:val="none"/>
              </w:rPr>
              <w:t>1</w:t>
            </w:r>
          </w:p>
        </w:tc>
        <w:tc>
          <w:tcPr>
            <w:tcW w:w="4988" w:type="dxa"/>
            <w:vAlign w:val="center"/>
          </w:tcPr>
          <w:p w14:paraId="181253E1">
            <w:pPr>
              <w:jc w:val="center"/>
              <w:rPr>
                <w:szCs w:val="21"/>
                <w:highlight w:val="none"/>
              </w:rPr>
            </w:pPr>
            <w:r>
              <w:rPr>
                <w:szCs w:val="21"/>
                <w:highlight w:val="none"/>
              </w:rPr>
              <w:t>尺寸及密度</w:t>
            </w:r>
            <w:r>
              <w:rPr>
                <w:rFonts w:hint="eastAsia"/>
                <w:szCs w:val="21"/>
                <w:highlight w:val="none"/>
              </w:rPr>
              <w:t>允许偏差</w:t>
            </w:r>
          </w:p>
        </w:tc>
        <w:tc>
          <w:tcPr>
            <w:tcW w:w="3493" w:type="dxa"/>
            <w:vAlign w:val="center"/>
          </w:tcPr>
          <w:p w14:paraId="2499F760">
            <w:pPr>
              <w:jc w:val="center"/>
              <w:rPr>
                <w:szCs w:val="21"/>
                <w:highlight w:val="none"/>
              </w:rPr>
            </w:pPr>
            <w:bookmarkStart w:id="4" w:name="OLE_LINK1"/>
            <w:r>
              <w:rPr>
                <w:rFonts w:hint="eastAsia"/>
                <w:szCs w:val="21"/>
                <w:highlight w:val="none"/>
              </w:rPr>
              <w:t xml:space="preserve">GB/T 5480-2017 </w:t>
            </w:r>
            <w:bookmarkEnd w:id="4"/>
          </w:p>
        </w:tc>
      </w:tr>
      <w:tr w14:paraId="77C63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3DE95CE3">
            <w:pPr>
              <w:jc w:val="center"/>
              <w:rPr>
                <w:szCs w:val="21"/>
                <w:highlight w:val="none"/>
              </w:rPr>
            </w:pPr>
            <w:r>
              <w:rPr>
                <w:rFonts w:hint="eastAsia"/>
                <w:szCs w:val="21"/>
                <w:highlight w:val="none"/>
              </w:rPr>
              <w:t>2</w:t>
            </w:r>
          </w:p>
        </w:tc>
        <w:tc>
          <w:tcPr>
            <w:tcW w:w="4988" w:type="dxa"/>
            <w:vAlign w:val="center"/>
          </w:tcPr>
          <w:p w14:paraId="738EF352">
            <w:pPr>
              <w:jc w:val="center"/>
              <w:rPr>
                <w:szCs w:val="21"/>
                <w:highlight w:val="none"/>
              </w:rPr>
            </w:pPr>
            <w:r>
              <w:rPr>
                <w:szCs w:val="21"/>
                <w:highlight w:val="none"/>
              </w:rPr>
              <w:t>压缩强度</w:t>
            </w:r>
          </w:p>
        </w:tc>
        <w:tc>
          <w:tcPr>
            <w:tcW w:w="3493" w:type="dxa"/>
            <w:vAlign w:val="center"/>
          </w:tcPr>
          <w:p w14:paraId="0781CAED">
            <w:pPr>
              <w:jc w:val="center"/>
              <w:rPr>
                <w:szCs w:val="21"/>
                <w:highlight w:val="none"/>
              </w:rPr>
            </w:pPr>
            <w:r>
              <w:rPr>
                <w:rFonts w:hint="eastAsia"/>
                <w:szCs w:val="21"/>
                <w:highlight w:val="none"/>
              </w:rPr>
              <w:t xml:space="preserve">GB/T 13480-2014 </w:t>
            </w:r>
          </w:p>
        </w:tc>
      </w:tr>
      <w:tr w14:paraId="00CCA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7E3BD1E2">
            <w:pPr>
              <w:jc w:val="center"/>
              <w:rPr>
                <w:szCs w:val="21"/>
                <w:highlight w:val="none"/>
              </w:rPr>
            </w:pPr>
            <w:r>
              <w:rPr>
                <w:rFonts w:hint="eastAsia"/>
                <w:szCs w:val="21"/>
                <w:highlight w:val="none"/>
              </w:rPr>
              <w:t>3</w:t>
            </w:r>
          </w:p>
        </w:tc>
        <w:tc>
          <w:tcPr>
            <w:tcW w:w="4988" w:type="dxa"/>
            <w:vAlign w:val="center"/>
          </w:tcPr>
          <w:p w14:paraId="6FD58398">
            <w:pPr>
              <w:jc w:val="center"/>
              <w:rPr>
                <w:szCs w:val="21"/>
                <w:highlight w:val="none"/>
              </w:rPr>
            </w:pPr>
            <w:r>
              <w:rPr>
                <w:szCs w:val="21"/>
                <w:highlight w:val="none"/>
              </w:rPr>
              <w:t>含水率</w:t>
            </w:r>
          </w:p>
        </w:tc>
        <w:tc>
          <w:tcPr>
            <w:tcW w:w="3493" w:type="dxa"/>
            <w:vAlign w:val="center"/>
          </w:tcPr>
          <w:p w14:paraId="2E62DABA">
            <w:pPr>
              <w:jc w:val="center"/>
              <w:rPr>
                <w:szCs w:val="21"/>
                <w:highlight w:val="none"/>
              </w:rPr>
            </w:pPr>
            <w:r>
              <w:rPr>
                <w:szCs w:val="21"/>
                <w:highlight w:val="none"/>
              </w:rPr>
              <w:t>GB/T 20313-2006</w:t>
            </w:r>
          </w:p>
        </w:tc>
      </w:tr>
      <w:tr w14:paraId="34061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48E9322E">
            <w:pPr>
              <w:jc w:val="center"/>
              <w:rPr>
                <w:szCs w:val="21"/>
                <w:highlight w:val="none"/>
              </w:rPr>
            </w:pPr>
            <w:r>
              <w:rPr>
                <w:rFonts w:hint="eastAsia"/>
                <w:szCs w:val="21"/>
                <w:highlight w:val="none"/>
              </w:rPr>
              <w:t>4</w:t>
            </w:r>
          </w:p>
        </w:tc>
        <w:tc>
          <w:tcPr>
            <w:tcW w:w="4988" w:type="dxa"/>
            <w:vAlign w:val="center"/>
          </w:tcPr>
          <w:p w14:paraId="0EF65501">
            <w:pPr>
              <w:jc w:val="center"/>
              <w:rPr>
                <w:szCs w:val="21"/>
                <w:highlight w:val="none"/>
              </w:rPr>
            </w:pPr>
            <w:r>
              <w:rPr>
                <w:szCs w:val="21"/>
                <w:highlight w:val="none"/>
              </w:rPr>
              <w:t>渣球含量</w:t>
            </w:r>
          </w:p>
        </w:tc>
        <w:tc>
          <w:tcPr>
            <w:tcW w:w="3493" w:type="dxa"/>
            <w:vAlign w:val="center"/>
          </w:tcPr>
          <w:p w14:paraId="01E855C0">
            <w:pPr>
              <w:jc w:val="center"/>
              <w:rPr>
                <w:szCs w:val="21"/>
                <w:highlight w:val="none"/>
              </w:rPr>
            </w:pPr>
            <w:r>
              <w:rPr>
                <w:rFonts w:hint="eastAsia"/>
                <w:szCs w:val="21"/>
                <w:highlight w:val="none"/>
              </w:rPr>
              <w:t xml:space="preserve">GB/T 5480-2017 </w:t>
            </w:r>
          </w:p>
        </w:tc>
      </w:tr>
      <w:tr w14:paraId="35059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5D7F2EC0">
            <w:pPr>
              <w:jc w:val="center"/>
              <w:rPr>
                <w:szCs w:val="21"/>
                <w:highlight w:val="none"/>
              </w:rPr>
            </w:pPr>
            <w:r>
              <w:rPr>
                <w:rFonts w:hint="eastAsia"/>
                <w:szCs w:val="21"/>
                <w:highlight w:val="none"/>
              </w:rPr>
              <w:t>5</w:t>
            </w:r>
          </w:p>
        </w:tc>
        <w:tc>
          <w:tcPr>
            <w:tcW w:w="4988" w:type="dxa"/>
            <w:vAlign w:val="center"/>
          </w:tcPr>
          <w:p w14:paraId="68523894">
            <w:pPr>
              <w:jc w:val="center"/>
              <w:rPr>
                <w:szCs w:val="21"/>
                <w:highlight w:val="none"/>
              </w:rPr>
            </w:pPr>
            <w:r>
              <w:rPr>
                <w:szCs w:val="21"/>
                <w:highlight w:val="none"/>
              </w:rPr>
              <w:t>导热系数</w:t>
            </w:r>
          </w:p>
        </w:tc>
        <w:tc>
          <w:tcPr>
            <w:tcW w:w="3493" w:type="dxa"/>
            <w:vAlign w:val="center"/>
          </w:tcPr>
          <w:p w14:paraId="570E0C95">
            <w:pPr>
              <w:jc w:val="center"/>
              <w:rPr>
                <w:szCs w:val="21"/>
                <w:highlight w:val="none"/>
              </w:rPr>
            </w:pPr>
            <w:r>
              <w:rPr>
                <w:rFonts w:hint="eastAsia"/>
                <w:szCs w:val="21"/>
                <w:highlight w:val="none"/>
              </w:rPr>
              <w:t>GB/T 10294-2008</w:t>
            </w:r>
          </w:p>
        </w:tc>
      </w:tr>
      <w:tr w14:paraId="32022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2EC84CE2">
            <w:pPr>
              <w:jc w:val="center"/>
              <w:rPr>
                <w:szCs w:val="21"/>
                <w:highlight w:val="none"/>
              </w:rPr>
            </w:pPr>
            <w:r>
              <w:rPr>
                <w:rFonts w:hint="eastAsia"/>
                <w:szCs w:val="21"/>
                <w:highlight w:val="none"/>
              </w:rPr>
              <w:t>6</w:t>
            </w:r>
          </w:p>
        </w:tc>
        <w:tc>
          <w:tcPr>
            <w:tcW w:w="4988" w:type="dxa"/>
            <w:vAlign w:val="center"/>
          </w:tcPr>
          <w:p w14:paraId="621740AF">
            <w:pPr>
              <w:jc w:val="center"/>
              <w:rPr>
                <w:szCs w:val="21"/>
                <w:highlight w:val="none"/>
              </w:rPr>
            </w:pPr>
            <w:r>
              <w:rPr>
                <w:szCs w:val="21"/>
                <w:highlight w:val="none"/>
              </w:rPr>
              <w:t>燃烧性能</w:t>
            </w:r>
          </w:p>
        </w:tc>
        <w:tc>
          <w:tcPr>
            <w:tcW w:w="3493" w:type="dxa"/>
            <w:vAlign w:val="center"/>
          </w:tcPr>
          <w:p w14:paraId="311804CF">
            <w:pPr>
              <w:jc w:val="center"/>
              <w:rPr>
                <w:szCs w:val="21"/>
                <w:highlight w:val="none"/>
              </w:rPr>
            </w:pPr>
            <w:r>
              <w:rPr>
                <w:rFonts w:hint="eastAsia"/>
                <w:szCs w:val="21"/>
                <w:highlight w:val="none"/>
              </w:rPr>
              <w:t>GB 8624-2012</w:t>
            </w:r>
          </w:p>
        </w:tc>
      </w:tr>
    </w:tbl>
    <w:p w14:paraId="191F5E23">
      <w:pPr>
        <w:adjustRightInd w:val="0"/>
        <w:snapToGrid w:val="0"/>
        <w:spacing w:line="440" w:lineRule="exact"/>
        <w:ind w:firstLine="420" w:firstLineChars="200"/>
        <w:rPr>
          <w:szCs w:val="21"/>
          <w:highlight w:val="none"/>
        </w:rPr>
      </w:pPr>
      <w:r>
        <w:rPr>
          <w:szCs w:val="21"/>
          <w:highlight w:val="none"/>
        </w:rPr>
        <w:t>执行企业标准、团体标准、地方标准的产品，检验项目参照上述内容执行。</w:t>
      </w:r>
    </w:p>
    <w:p w14:paraId="02DA5C88">
      <w:pPr>
        <w:snapToGrid w:val="0"/>
        <w:spacing w:line="440" w:lineRule="exact"/>
        <w:ind w:firstLine="359" w:firstLineChars="171"/>
        <w:rPr>
          <w:rFonts w:hint="eastAsia" w:ascii="宋体" w:hAnsi="宋体"/>
          <w:szCs w:val="21"/>
          <w:highlight w:val="none"/>
        </w:rPr>
      </w:pPr>
      <w:r>
        <w:rPr>
          <w:rFonts w:hint="eastAsia" w:ascii="宋体" w:hAnsi="宋体"/>
          <w:szCs w:val="21"/>
          <w:highlight w:val="none"/>
        </w:rPr>
        <w:t>凡是注日期的文件，其随后所有的修改单（不包括勘误的内容）或修订版不适用于本细则。凡是不注日期的文件，其最新版本适用于本细则。</w:t>
      </w:r>
    </w:p>
    <w:p w14:paraId="2C1A355D">
      <w:pPr>
        <w:adjustRightInd w:val="0"/>
        <w:snapToGrid w:val="0"/>
        <w:spacing w:line="440" w:lineRule="exact"/>
        <w:ind w:firstLine="420" w:firstLineChars="200"/>
        <w:rPr>
          <w:szCs w:val="21"/>
          <w:highlight w:val="none"/>
        </w:rPr>
      </w:pPr>
    </w:p>
    <w:p w14:paraId="744C9D9D">
      <w:pPr>
        <w:spacing w:before="156" w:beforeLines="50" w:line="440" w:lineRule="exact"/>
        <w:rPr>
          <w:rFonts w:eastAsia="黑体"/>
          <w:szCs w:val="21"/>
          <w:highlight w:val="none"/>
        </w:rPr>
      </w:pPr>
      <w:r>
        <w:rPr>
          <w:rFonts w:eastAsia="黑体"/>
          <w:szCs w:val="21"/>
          <w:highlight w:val="none"/>
        </w:rPr>
        <w:t>3 判定规则</w:t>
      </w:r>
    </w:p>
    <w:p w14:paraId="53E10F0C">
      <w:pPr>
        <w:snapToGrid w:val="0"/>
        <w:spacing w:line="440" w:lineRule="exact"/>
        <w:rPr>
          <w:szCs w:val="21"/>
          <w:highlight w:val="none"/>
        </w:rPr>
      </w:pPr>
      <w:r>
        <w:rPr>
          <w:szCs w:val="21"/>
          <w:highlight w:val="none"/>
        </w:rPr>
        <w:t>3.1依据标准</w:t>
      </w:r>
    </w:p>
    <w:p w14:paraId="7E9D07C6">
      <w:pPr>
        <w:snapToGrid w:val="0"/>
        <w:spacing w:line="440" w:lineRule="exact"/>
        <w:ind w:firstLine="420" w:firstLineChars="200"/>
        <w:rPr>
          <w:szCs w:val="21"/>
          <w:highlight w:val="none"/>
        </w:rPr>
      </w:pPr>
      <w:r>
        <w:rPr>
          <w:rFonts w:hint="eastAsia"/>
          <w:szCs w:val="21"/>
          <w:highlight w:val="none"/>
        </w:rPr>
        <w:t>GB/T 13350-2017绝热用玻璃棉及其制品 及第1号修改单（国家标准公告（2021年第11号））</w:t>
      </w:r>
    </w:p>
    <w:p w14:paraId="0A5C19A6">
      <w:pPr>
        <w:pStyle w:val="2"/>
        <w:ind w:left="0" w:leftChars="0"/>
        <w:rPr>
          <w:rFonts w:hint="eastAsia"/>
          <w:highlight w:val="none"/>
        </w:rPr>
      </w:pPr>
      <w:r>
        <w:rPr>
          <w:rFonts w:hint="eastAsia"/>
          <w:highlight w:val="none"/>
        </w:rPr>
        <w:t>GB/T 17795-2019建筑绝热用玻璃棉制品</w:t>
      </w:r>
    </w:p>
    <w:p w14:paraId="66A5277E">
      <w:pPr>
        <w:pStyle w:val="2"/>
        <w:ind w:left="0" w:leftChars="0"/>
        <w:rPr>
          <w:szCs w:val="21"/>
          <w:highlight w:val="none"/>
        </w:rPr>
      </w:pPr>
      <w:bookmarkStart w:id="9" w:name="_GoBack"/>
      <w:bookmarkEnd w:id="9"/>
      <w:r>
        <w:rPr>
          <w:szCs w:val="21"/>
          <w:highlight w:val="none"/>
        </w:rPr>
        <w:t>现行有效的企业标准、团体标准、地方标准及产品明示质量要求</w:t>
      </w:r>
    </w:p>
    <w:p w14:paraId="4B88E807">
      <w:pPr>
        <w:snapToGrid w:val="0"/>
        <w:spacing w:line="440" w:lineRule="exact"/>
        <w:rPr>
          <w:szCs w:val="21"/>
          <w:highlight w:val="none"/>
        </w:rPr>
      </w:pPr>
      <w:r>
        <w:rPr>
          <w:szCs w:val="21"/>
          <w:highlight w:val="none"/>
        </w:rPr>
        <w:t>3.2判定原则</w:t>
      </w:r>
    </w:p>
    <w:p w14:paraId="187A82EB">
      <w:pPr>
        <w:snapToGrid w:val="0"/>
        <w:spacing w:line="440" w:lineRule="exact"/>
        <w:ind w:firstLine="420" w:firstLineChars="200"/>
        <w:rPr>
          <w:rFonts w:hint="eastAsia" w:ascii="宋体" w:hAnsi="宋体"/>
          <w:szCs w:val="21"/>
          <w:highlight w:val="none"/>
        </w:rPr>
      </w:pPr>
      <w:bookmarkStart w:id="5" w:name="OLE_LINK7"/>
      <w:bookmarkStart w:id="6" w:name="OLE_LINK8"/>
      <w:bookmarkStart w:id="7" w:name="OLE_LINK6"/>
      <w:bookmarkStart w:id="8" w:name="OLE_LINK5"/>
      <w:r>
        <w:rPr>
          <w:rFonts w:hint="eastAsia" w:ascii="宋体" w:hAnsi="宋体"/>
          <w:szCs w:val="21"/>
          <w:highlight w:val="none"/>
        </w:rPr>
        <w:t>经检验，检验项目全部合格，判定为被抽查产品所检项目未发现不合格；检验项目中任一项或一项以上不合格，判定为被抽查产品不合格。</w:t>
      </w:r>
    </w:p>
    <w:p w14:paraId="0B7FDC87">
      <w:pPr>
        <w:snapToGrid w:val="0"/>
        <w:spacing w:line="440" w:lineRule="exact"/>
        <w:ind w:firstLine="417" w:firstLineChars="199"/>
        <w:rPr>
          <w:rFonts w:hint="eastAsia" w:ascii="宋体" w:hAnsi="宋体"/>
          <w:szCs w:val="21"/>
          <w:highlight w:val="none"/>
        </w:rPr>
      </w:pPr>
      <w:r>
        <w:rPr>
          <w:rFonts w:hint="eastAsia" w:ascii="宋体" w:hAnsi="宋体"/>
          <w:szCs w:val="21"/>
          <w:highlight w:val="none"/>
        </w:rPr>
        <w:t>若被检产品明示的质量要求高于本细则中检验项目依据的标准要求时，应按被检产品明示的质量要求判定。</w:t>
      </w:r>
    </w:p>
    <w:p w14:paraId="68EAF90F">
      <w:pPr>
        <w:snapToGrid w:val="0"/>
        <w:spacing w:line="440" w:lineRule="exact"/>
        <w:ind w:firstLine="417" w:firstLineChars="199"/>
        <w:rPr>
          <w:rFonts w:hint="eastAsia" w:ascii="宋体" w:hAnsi="宋体"/>
          <w:szCs w:val="21"/>
          <w:highlight w:val="none"/>
        </w:rPr>
      </w:pPr>
      <w:r>
        <w:rPr>
          <w:rFonts w:hint="eastAsia" w:ascii="宋体" w:hAnsi="宋体"/>
          <w:szCs w:val="21"/>
          <w:highlight w:val="none"/>
        </w:rPr>
        <w:t>若被检产品明示的质量要求低于本细则中检验项目依据的强制性标准要求时，应按照强制性标准要求判定。</w:t>
      </w:r>
    </w:p>
    <w:p w14:paraId="3A9D92BA">
      <w:pPr>
        <w:snapToGrid w:val="0"/>
        <w:spacing w:line="440" w:lineRule="exact"/>
        <w:ind w:firstLine="417" w:firstLineChars="199"/>
        <w:rPr>
          <w:rFonts w:hint="eastAsia" w:ascii="宋体" w:hAnsi="宋体"/>
          <w:szCs w:val="21"/>
          <w:highlight w:val="none"/>
        </w:rPr>
      </w:pPr>
      <w:r>
        <w:rPr>
          <w:rFonts w:hint="eastAsia" w:ascii="宋体" w:hAnsi="宋体"/>
          <w:szCs w:val="21"/>
          <w:highlight w:val="none"/>
        </w:rPr>
        <w:t>若被检产品明示的质量要求低于或包含细则中检验项目依据的推荐性标准要求时，应以被检产品明示的质量要求判定。</w:t>
      </w:r>
    </w:p>
    <w:p w14:paraId="26C4BAB9">
      <w:pPr>
        <w:snapToGrid w:val="0"/>
        <w:spacing w:line="440" w:lineRule="exact"/>
        <w:ind w:firstLine="417" w:firstLineChars="199"/>
        <w:rPr>
          <w:rFonts w:hint="eastAsia" w:ascii="宋体" w:hAnsi="宋体"/>
          <w:szCs w:val="21"/>
          <w:highlight w:val="none"/>
        </w:rPr>
      </w:pPr>
      <w:r>
        <w:rPr>
          <w:rFonts w:hint="eastAsia" w:ascii="宋体" w:hAnsi="宋体"/>
          <w:szCs w:val="21"/>
          <w:highlight w:val="none"/>
        </w:rPr>
        <w:t>若被检产品明示的质量要求缺少本细则中检验项目依据的强制性标准要求时，应按照强制性标准要求判定。</w:t>
      </w:r>
    </w:p>
    <w:bookmarkEnd w:id="5"/>
    <w:bookmarkEnd w:id="6"/>
    <w:bookmarkEnd w:id="7"/>
    <w:bookmarkEnd w:id="8"/>
    <w:p w14:paraId="48D4B580">
      <w:pPr>
        <w:snapToGrid w:val="0"/>
        <w:spacing w:line="440" w:lineRule="exact"/>
        <w:ind w:firstLine="417" w:firstLineChars="199"/>
        <w:rPr>
          <w:rFonts w:hint="eastAsia" w:ascii="宋体" w:hAnsi="宋体"/>
          <w:szCs w:val="21"/>
          <w:highlight w:val="none"/>
        </w:rPr>
      </w:pPr>
      <w:r>
        <w:rPr>
          <w:rFonts w:ascii="宋体" w:hAnsi="宋体"/>
          <w:szCs w:val="21"/>
          <w:highlight w:val="none"/>
        </w:rPr>
        <w:t>若被检产品明示的质量要求缺少本细则中检验项目依据的推荐性标准要求时，该项目不参与判定。</w:t>
      </w:r>
    </w:p>
    <w:p w14:paraId="102DB273">
      <w:pPr>
        <w:snapToGrid w:val="0"/>
        <w:spacing w:line="440" w:lineRule="exact"/>
        <w:ind w:firstLine="417" w:firstLineChars="199"/>
        <w:rPr>
          <w:szCs w:val="21"/>
          <w:highlight w:val="none"/>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9DF6D">
    <w:pPr>
      <w:pStyle w:val="7"/>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741C1D94">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C7F2D">
    <w:pPr>
      <w:pStyle w:val="7"/>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357BBB">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A90CC">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2ZTIxMWU5OGIwY2U5MDI3ODdiMDM4ZDc3ZThlOTMifQ=="/>
  </w:docVars>
  <w:rsids>
    <w:rsidRoot w:val="00172A27"/>
    <w:rsid w:val="000059C1"/>
    <w:rsid w:val="00012EEB"/>
    <w:rsid w:val="00030F98"/>
    <w:rsid w:val="0003286E"/>
    <w:rsid w:val="00051A44"/>
    <w:rsid w:val="00052092"/>
    <w:rsid w:val="00055C43"/>
    <w:rsid w:val="00063F78"/>
    <w:rsid w:val="000770C5"/>
    <w:rsid w:val="00081CBD"/>
    <w:rsid w:val="0008480D"/>
    <w:rsid w:val="0009216E"/>
    <w:rsid w:val="000976DE"/>
    <w:rsid w:val="000A0A61"/>
    <w:rsid w:val="000B7E87"/>
    <w:rsid w:val="000C27EF"/>
    <w:rsid w:val="000E2DE0"/>
    <w:rsid w:val="000F14E9"/>
    <w:rsid w:val="00125916"/>
    <w:rsid w:val="00133E98"/>
    <w:rsid w:val="001352E7"/>
    <w:rsid w:val="00145AE7"/>
    <w:rsid w:val="001565C3"/>
    <w:rsid w:val="00172A27"/>
    <w:rsid w:val="001809DD"/>
    <w:rsid w:val="00197642"/>
    <w:rsid w:val="001A51E1"/>
    <w:rsid w:val="001F3D40"/>
    <w:rsid w:val="00205BC7"/>
    <w:rsid w:val="0021580E"/>
    <w:rsid w:val="00247E11"/>
    <w:rsid w:val="002501F8"/>
    <w:rsid w:val="00253624"/>
    <w:rsid w:val="002627EB"/>
    <w:rsid w:val="00273AE5"/>
    <w:rsid w:val="00275517"/>
    <w:rsid w:val="00292DAD"/>
    <w:rsid w:val="002A25C4"/>
    <w:rsid w:val="002D7F8A"/>
    <w:rsid w:val="002E0D1D"/>
    <w:rsid w:val="002E4610"/>
    <w:rsid w:val="00312D60"/>
    <w:rsid w:val="003203A3"/>
    <w:rsid w:val="00373484"/>
    <w:rsid w:val="003831DC"/>
    <w:rsid w:val="00392BF9"/>
    <w:rsid w:val="003B33A1"/>
    <w:rsid w:val="003B65A7"/>
    <w:rsid w:val="003C08F8"/>
    <w:rsid w:val="003C3479"/>
    <w:rsid w:val="003C388C"/>
    <w:rsid w:val="003C4EF1"/>
    <w:rsid w:val="003D62CE"/>
    <w:rsid w:val="003D6DF1"/>
    <w:rsid w:val="003E011E"/>
    <w:rsid w:val="003E61BF"/>
    <w:rsid w:val="003E6431"/>
    <w:rsid w:val="003F7F34"/>
    <w:rsid w:val="00400560"/>
    <w:rsid w:val="00445E86"/>
    <w:rsid w:val="0045059C"/>
    <w:rsid w:val="00460D8A"/>
    <w:rsid w:val="00467E74"/>
    <w:rsid w:val="00474E04"/>
    <w:rsid w:val="00483AC6"/>
    <w:rsid w:val="004A0936"/>
    <w:rsid w:val="004D0C5A"/>
    <w:rsid w:val="004D31EC"/>
    <w:rsid w:val="004E02D3"/>
    <w:rsid w:val="004E1396"/>
    <w:rsid w:val="004E7C02"/>
    <w:rsid w:val="004F261B"/>
    <w:rsid w:val="005328AC"/>
    <w:rsid w:val="00551B06"/>
    <w:rsid w:val="005623DE"/>
    <w:rsid w:val="00563EBC"/>
    <w:rsid w:val="005868F9"/>
    <w:rsid w:val="00586CB0"/>
    <w:rsid w:val="00593498"/>
    <w:rsid w:val="005A1399"/>
    <w:rsid w:val="005A34AC"/>
    <w:rsid w:val="005B5C73"/>
    <w:rsid w:val="005B64D3"/>
    <w:rsid w:val="005D0F42"/>
    <w:rsid w:val="005F4CC6"/>
    <w:rsid w:val="00634C4F"/>
    <w:rsid w:val="006440C7"/>
    <w:rsid w:val="0065766C"/>
    <w:rsid w:val="00661CE9"/>
    <w:rsid w:val="006734CA"/>
    <w:rsid w:val="00673C07"/>
    <w:rsid w:val="0068509C"/>
    <w:rsid w:val="006A3613"/>
    <w:rsid w:val="006A5215"/>
    <w:rsid w:val="006C7C2B"/>
    <w:rsid w:val="006F0971"/>
    <w:rsid w:val="0072334C"/>
    <w:rsid w:val="0074501E"/>
    <w:rsid w:val="007752EB"/>
    <w:rsid w:val="007761A5"/>
    <w:rsid w:val="00786F2C"/>
    <w:rsid w:val="007A5C0E"/>
    <w:rsid w:val="007B75EE"/>
    <w:rsid w:val="007C3667"/>
    <w:rsid w:val="007F583F"/>
    <w:rsid w:val="008139C8"/>
    <w:rsid w:val="008166B9"/>
    <w:rsid w:val="008200E6"/>
    <w:rsid w:val="0082012D"/>
    <w:rsid w:val="0084012D"/>
    <w:rsid w:val="0086159D"/>
    <w:rsid w:val="0087041A"/>
    <w:rsid w:val="00871617"/>
    <w:rsid w:val="008726BF"/>
    <w:rsid w:val="00895BEA"/>
    <w:rsid w:val="008A3497"/>
    <w:rsid w:val="008A61A4"/>
    <w:rsid w:val="008B1BD3"/>
    <w:rsid w:val="008C50E2"/>
    <w:rsid w:val="008E39B1"/>
    <w:rsid w:val="008F1EEA"/>
    <w:rsid w:val="008F6434"/>
    <w:rsid w:val="00916926"/>
    <w:rsid w:val="00916BE5"/>
    <w:rsid w:val="00917A54"/>
    <w:rsid w:val="00920DA2"/>
    <w:rsid w:val="00926C29"/>
    <w:rsid w:val="00930572"/>
    <w:rsid w:val="00936B2A"/>
    <w:rsid w:val="00944A63"/>
    <w:rsid w:val="00957D96"/>
    <w:rsid w:val="00967C26"/>
    <w:rsid w:val="009865FB"/>
    <w:rsid w:val="009C6AE2"/>
    <w:rsid w:val="009E01DE"/>
    <w:rsid w:val="009F7375"/>
    <w:rsid w:val="00A1287B"/>
    <w:rsid w:val="00A25C52"/>
    <w:rsid w:val="00A26C6B"/>
    <w:rsid w:val="00A371F4"/>
    <w:rsid w:val="00A42847"/>
    <w:rsid w:val="00A43553"/>
    <w:rsid w:val="00A62E74"/>
    <w:rsid w:val="00A72000"/>
    <w:rsid w:val="00A760C9"/>
    <w:rsid w:val="00A76D9F"/>
    <w:rsid w:val="00A80009"/>
    <w:rsid w:val="00A83893"/>
    <w:rsid w:val="00A902CC"/>
    <w:rsid w:val="00AA128C"/>
    <w:rsid w:val="00B3329E"/>
    <w:rsid w:val="00B5743B"/>
    <w:rsid w:val="00BA20EF"/>
    <w:rsid w:val="00BB6067"/>
    <w:rsid w:val="00BC52DB"/>
    <w:rsid w:val="00BF24FC"/>
    <w:rsid w:val="00BF5D64"/>
    <w:rsid w:val="00BF76DB"/>
    <w:rsid w:val="00C26074"/>
    <w:rsid w:val="00C34757"/>
    <w:rsid w:val="00C44CD6"/>
    <w:rsid w:val="00C626EC"/>
    <w:rsid w:val="00C63F45"/>
    <w:rsid w:val="00C83B0A"/>
    <w:rsid w:val="00C924E8"/>
    <w:rsid w:val="00CB6FC9"/>
    <w:rsid w:val="00CC137A"/>
    <w:rsid w:val="00CC1547"/>
    <w:rsid w:val="00CC195A"/>
    <w:rsid w:val="00CD1ECA"/>
    <w:rsid w:val="00CD37A8"/>
    <w:rsid w:val="00CE1E0C"/>
    <w:rsid w:val="00CE277E"/>
    <w:rsid w:val="00D120FA"/>
    <w:rsid w:val="00D1237C"/>
    <w:rsid w:val="00D50D7D"/>
    <w:rsid w:val="00D56867"/>
    <w:rsid w:val="00D7436E"/>
    <w:rsid w:val="00D82AE9"/>
    <w:rsid w:val="00D87895"/>
    <w:rsid w:val="00D915F1"/>
    <w:rsid w:val="00DE2075"/>
    <w:rsid w:val="00E02A7F"/>
    <w:rsid w:val="00E07880"/>
    <w:rsid w:val="00E53438"/>
    <w:rsid w:val="00E62B1F"/>
    <w:rsid w:val="00E82621"/>
    <w:rsid w:val="00E85BE5"/>
    <w:rsid w:val="00E95A55"/>
    <w:rsid w:val="00EA3D96"/>
    <w:rsid w:val="00ED1F99"/>
    <w:rsid w:val="00ED4450"/>
    <w:rsid w:val="00ED5419"/>
    <w:rsid w:val="00ED6985"/>
    <w:rsid w:val="00F1455F"/>
    <w:rsid w:val="00F16AAE"/>
    <w:rsid w:val="00F332B6"/>
    <w:rsid w:val="00F5372E"/>
    <w:rsid w:val="00F5395B"/>
    <w:rsid w:val="00F57D43"/>
    <w:rsid w:val="00F77C9A"/>
    <w:rsid w:val="00F86832"/>
    <w:rsid w:val="00FA47C4"/>
    <w:rsid w:val="00FA4CC5"/>
    <w:rsid w:val="00FB576C"/>
    <w:rsid w:val="00FD2AA6"/>
    <w:rsid w:val="00FE14EF"/>
    <w:rsid w:val="00FE7E8A"/>
    <w:rsid w:val="00FF5DCC"/>
    <w:rsid w:val="03D40F34"/>
    <w:rsid w:val="04C70D83"/>
    <w:rsid w:val="05BC4554"/>
    <w:rsid w:val="09234C9E"/>
    <w:rsid w:val="0BF3562B"/>
    <w:rsid w:val="11473DDB"/>
    <w:rsid w:val="145B38D3"/>
    <w:rsid w:val="15C94096"/>
    <w:rsid w:val="16AA5042"/>
    <w:rsid w:val="1A784B4A"/>
    <w:rsid w:val="1B9113EA"/>
    <w:rsid w:val="1E133B57"/>
    <w:rsid w:val="20364066"/>
    <w:rsid w:val="25FE0304"/>
    <w:rsid w:val="277C06BD"/>
    <w:rsid w:val="32151917"/>
    <w:rsid w:val="33A87367"/>
    <w:rsid w:val="36142A2B"/>
    <w:rsid w:val="394D1D72"/>
    <w:rsid w:val="39DE493B"/>
    <w:rsid w:val="3BC768BF"/>
    <w:rsid w:val="3C186DE5"/>
    <w:rsid w:val="3E8E2096"/>
    <w:rsid w:val="468B17DD"/>
    <w:rsid w:val="4C5624BD"/>
    <w:rsid w:val="51BC33A4"/>
    <w:rsid w:val="526B36B2"/>
    <w:rsid w:val="52D343BD"/>
    <w:rsid w:val="544232C3"/>
    <w:rsid w:val="575527A0"/>
    <w:rsid w:val="58242BB1"/>
    <w:rsid w:val="59E81116"/>
    <w:rsid w:val="5A706581"/>
    <w:rsid w:val="60155BF2"/>
    <w:rsid w:val="617E46E6"/>
    <w:rsid w:val="627836B5"/>
    <w:rsid w:val="629611FF"/>
    <w:rsid w:val="636B2161"/>
    <w:rsid w:val="659E5744"/>
    <w:rsid w:val="665E1984"/>
    <w:rsid w:val="6CAA5709"/>
    <w:rsid w:val="6DD37121"/>
    <w:rsid w:val="6F947289"/>
    <w:rsid w:val="6FE07B46"/>
    <w:rsid w:val="75FB6071"/>
    <w:rsid w:val="7A1E5CAC"/>
    <w:rsid w:val="7B0B018A"/>
    <w:rsid w:val="7C782283"/>
    <w:rsid w:val="7CAE06C1"/>
    <w:rsid w:val="7EDB396C"/>
    <w:rsid w:val="7EEB53F1"/>
    <w:rsid w:val="7F161295"/>
    <w:rsid w:val="7FFF9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9"/>
    <w:pPr>
      <w:spacing w:beforeAutospacing="1" w:afterAutospacing="1"/>
      <w:jc w:val="left"/>
      <w:outlineLvl w:val="2"/>
    </w:pPr>
    <w:rPr>
      <w:rFonts w:hint="eastAsia" w:ascii="宋体" w:hAnsi="宋体"/>
      <w:b/>
      <w:bCs/>
      <w:kern w:val="0"/>
      <w:sz w:val="27"/>
      <w:szCs w:val="27"/>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line="240" w:lineRule="auto"/>
      <w:ind w:left="420" w:leftChars="200" w:firstLine="420" w:firstLineChars="200"/>
    </w:pPr>
    <w:rPr>
      <w:sz w:val="21"/>
    </w:rPr>
  </w:style>
  <w:style w:type="paragraph" w:styleId="3">
    <w:name w:val="Body Text Indent"/>
    <w:basedOn w:val="1"/>
    <w:qFormat/>
    <w:uiPriority w:val="0"/>
    <w:pPr>
      <w:spacing w:line="700" w:lineRule="exact"/>
      <w:ind w:left="960"/>
    </w:pPr>
    <w:rPr>
      <w:sz w:val="44"/>
    </w:rPr>
  </w:style>
  <w:style w:type="paragraph" w:styleId="5">
    <w:name w:val="annotation text"/>
    <w:basedOn w:val="1"/>
    <w:unhideWhenUsed/>
    <w:qFormat/>
    <w:uiPriority w:val="99"/>
    <w:pPr>
      <w:jc w:val="left"/>
    </w:pPr>
  </w:style>
  <w:style w:type="paragraph" w:styleId="6">
    <w:name w:val="Balloon Text"/>
    <w:basedOn w:val="1"/>
    <w:link w:val="14"/>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customStyle="1" w:styleId="12">
    <w:name w:val="页眉 字符"/>
    <w:link w:val="8"/>
    <w:semiHidden/>
    <w:qFormat/>
    <w:uiPriority w:val="99"/>
    <w:rPr>
      <w:kern w:val="2"/>
      <w:sz w:val="18"/>
      <w:szCs w:val="18"/>
    </w:rPr>
  </w:style>
  <w:style w:type="character" w:customStyle="1" w:styleId="13">
    <w:name w:val="页脚 字符"/>
    <w:link w:val="7"/>
    <w:qFormat/>
    <w:uiPriority w:val="99"/>
    <w:rPr>
      <w:kern w:val="2"/>
      <w:sz w:val="18"/>
      <w:szCs w:val="18"/>
    </w:rPr>
  </w:style>
  <w:style w:type="character" w:customStyle="1" w:styleId="14">
    <w:name w:val="批注框文本 字符"/>
    <w:link w:val="6"/>
    <w:semiHidden/>
    <w:qFormat/>
    <w:uiPriority w:val="99"/>
    <w:rPr>
      <w:kern w:val="2"/>
      <w:sz w:val="18"/>
      <w:szCs w:val="18"/>
    </w:rPr>
  </w:style>
  <w:style w:type="paragraph" w:customStyle="1" w:styleId="15">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6">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733</Words>
  <Characters>853</Characters>
  <Lines>6</Lines>
  <Paragraphs>1</Paragraphs>
  <TotalTime>31</TotalTime>
  <ScaleCrop>false</ScaleCrop>
  <LinksUpToDate>false</LinksUpToDate>
  <CharactersWithSpaces>868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2024-03-25T15:31:00Z</dcterms:created>
  <dc:creator>赛旺检测</dc:creator>
  <cp:lastModifiedBy>冉少</cp:lastModifiedBy>
  <cp:lastPrinted>2019-12-26T14:50:00Z</cp:lastPrinted>
  <dcterms:modified xsi:type="dcterms:W3CDTF">2026-07-07T14:41:02Z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1CC4BD61A8F741988FEEC45E1618B58C</vt:lpwstr>
  </property>
  <property fmtid="{D5CDD505-2E9C-101B-9397-08002B2CF9AE}" pid="4" name="KSOTemplateDocerSaveRecord">
    <vt:lpwstr>eyJoZGlkIjoiMTQ2YjliM2Y3NTIwYTMzNDRiYzRkM2I2YjY5NzQ1YWIiLCJ1c2VySWQiOiI2NDUwNTU2NjUifQ==</vt:lpwstr>
  </property>
</Properties>
</file>