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1D17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32"/>
          <w:szCs w:val="32"/>
          <w:highlight w:val="none"/>
        </w:rPr>
      </w:pPr>
      <w:r>
        <w:rPr>
          <w:rFonts w:hint="eastAsia" w:eastAsia="方正小标宋简体" w:cs="方正小标宋简体"/>
          <w:color w:val="auto"/>
          <w:sz w:val="32"/>
          <w:szCs w:val="32"/>
          <w:highlight w:val="none"/>
          <w:lang w:val="en-US" w:eastAsia="zh-CN"/>
        </w:rPr>
        <w:t>重庆市电灭蚊器具（电灭蚊拍、电灭蚊灯等）</w:t>
      </w:r>
      <w:r>
        <w:rPr>
          <w:rFonts w:hint="eastAsia" w:ascii="Times New Roman" w:hAnsi="Times New Roman" w:eastAsia="方正小标宋简体" w:cs="方正小标宋简体"/>
          <w:color w:val="auto"/>
          <w:sz w:val="32"/>
          <w:szCs w:val="32"/>
          <w:highlight w:val="none"/>
        </w:rPr>
        <w:t>产品质量</w:t>
      </w:r>
    </w:p>
    <w:p w14:paraId="4C8F039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32"/>
          <w:szCs w:val="32"/>
          <w:highlight w:val="none"/>
        </w:rPr>
      </w:pPr>
      <w:r>
        <w:rPr>
          <w:rFonts w:hint="eastAsia" w:ascii="Times New Roman" w:hAnsi="Times New Roman" w:eastAsia="方正小标宋简体" w:cs="方正小标宋简体"/>
          <w:color w:val="auto"/>
          <w:sz w:val="32"/>
          <w:szCs w:val="32"/>
          <w:highlight w:val="none"/>
        </w:rPr>
        <w:t>监督抽查实施细则</w:t>
      </w:r>
    </w:p>
    <w:p w14:paraId="39C96FB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32"/>
          <w:highlight w:val="none"/>
        </w:rPr>
      </w:pPr>
      <w:r>
        <w:rPr>
          <w:rFonts w:hint="eastAsia" w:ascii="Times New Roman" w:hAnsi="Times New Roman" w:eastAsia="楷体_GB2312" w:cs="楷体_GB2312"/>
          <w:color w:val="auto"/>
          <w:sz w:val="32"/>
          <w:szCs w:val="32"/>
          <w:highlight w:val="none"/>
        </w:rPr>
        <w:t>（202</w:t>
      </w:r>
      <w:r>
        <w:rPr>
          <w:rFonts w:hint="eastAsia" w:ascii="Times New Roman" w:hAnsi="Times New Roman" w:eastAsia="楷体_GB2312" w:cs="楷体_GB2312"/>
          <w:color w:val="auto"/>
          <w:sz w:val="32"/>
          <w:szCs w:val="32"/>
          <w:highlight w:val="none"/>
          <w:lang w:val="en-US" w:eastAsia="zh-CN"/>
        </w:rPr>
        <w:t>6</w:t>
      </w:r>
      <w:r>
        <w:rPr>
          <w:rFonts w:hint="eastAsia" w:ascii="Times New Roman" w:hAnsi="Times New Roman" w:eastAsia="楷体_GB2312" w:cs="楷体_GB2312"/>
          <w:color w:val="auto"/>
          <w:sz w:val="32"/>
          <w:szCs w:val="32"/>
          <w:highlight w:val="none"/>
        </w:rPr>
        <w:t>年版）</w:t>
      </w:r>
    </w:p>
    <w:p w14:paraId="371A01BA">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7EDFF07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36"/>
          <w:highlight w:val="none"/>
        </w:rPr>
      </w:pPr>
      <w:r>
        <w:rPr>
          <w:rFonts w:hint="default" w:ascii="Times New Roman" w:hAnsi="Times New Roman" w:eastAsia="宋体" w:cs="Times New Roman"/>
          <w:color w:val="auto"/>
          <w:sz w:val="28"/>
          <w:szCs w:val="36"/>
          <w:highlight w:val="none"/>
        </w:rPr>
        <w:t>1 抽样方法</w:t>
      </w:r>
    </w:p>
    <w:p w14:paraId="29BE57C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t>以随机抽样的方式在被抽查</w:t>
      </w:r>
      <w:r>
        <w:rPr>
          <w:rFonts w:hint="default" w:ascii="Times New Roman" w:hAnsi="Times New Roman" w:eastAsia="宋体" w:cs="Times New Roman"/>
          <w:color w:val="auto"/>
          <w:sz w:val="28"/>
          <w:szCs w:val="28"/>
          <w:highlight w:val="none"/>
          <w:lang w:eastAsia="zh-CN"/>
        </w:rPr>
        <w:t>经营</w:t>
      </w:r>
      <w:r>
        <w:rPr>
          <w:rFonts w:hint="default" w:ascii="Times New Roman" w:hAnsi="Times New Roman" w:eastAsia="宋体" w:cs="Times New Roman"/>
          <w:color w:val="auto"/>
          <w:sz w:val="28"/>
          <w:szCs w:val="28"/>
          <w:highlight w:val="none"/>
        </w:rPr>
        <w:t>主体的待销产品中抽取。</w:t>
      </w:r>
    </w:p>
    <w:p w14:paraId="1D2D4C0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t>随机数一般可使用随机数表等方法产生。</w:t>
      </w:r>
    </w:p>
    <w:p w14:paraId="16F387F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t>每批次产品抽取样品3台，其中2台作为检验样品、1台作为备用样品。</w:t>
      </w:r>
    </w:p>
    <w:p w14:paraId="4BC3F5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36"/>
          <w:highlight w:val="none"/>
        </w:rPr>
      </w:pPr>
      <w:r>
        <w:rPr>
          <w:rFonts w:hint="default" w:ascii="Times New Roman" w:hAnsi="Times New Roman" w:eastAsia="宋体" w:cs="Times New Roman"/>
          <w:color w:val="auto"/>
          <w:sz w:val="28"/>
          <w:szCs w:val="36"/>
          <w:highlight w:val="none"/>
        </w:rPr>
        <w:t>2 检验依据</w:t>
      </w:r>
    </w:p>
    <w:p w14:paraId="403FD13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t>灭蚊器、灭蚊灯、驱蚊器产品</w:t>
      </w:r>
    </w:p>
    <w:tbl>
      <w:tblPr>
        <w:tblStyle w:val="3"/>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767E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1456AF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序号</w:t>
            </w:r>
          </w:p>
        </w:tc>
        <w:tc>
          <w:tcPr>
            <w:tcW w:w="4126" w:type="dxa"/>
            <w:tcBorders>
              <w:top w:val="single" w:color="auto" w:sz="4" w:space="0"/>
              <w:left w:val="single" w:color="auto" w:sz="4" w:space="0"/>
              <w:bottom w:val="single" w:color="auto" w:sz="4" w:space="0"/>
              <w:right w:val="single" w:color="auto" w:sz="4" w:space="0"/>
            </w:tcBorders>
            <w:noWrap w:val="0"/>
            <w:vAlign w:val="center"/>
          </w:tcPr>
          <w:p w14:paraId="33E5EC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检验项目</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435C77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检验方法</w:t>
            </w:r>
          </w:p>
        </w:tc>
      </w:tr>
      <w:tr w14:paraId="5023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68715FC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7D6C58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标志和说明</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0A8C69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7DF6ED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2D7C99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3F7EEB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40885B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5777F7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1A3F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7EC4508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shd w:val="clear"/>
            <w:noWrap w:val="0"/>
            <w:vAlign w:val="center"/>
          </w:tcPr>
          <w:p w14:paraId="4E13A4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4"/>
                <w:szCs w:val="24"/>
                <w:highlight w:val="none"/>
              </w:rPr>
              <w:t>对触及带电部件的防护</w:t>
            </w:r>
          </w:p>
        </w:tc>
        <w:tc>
          <w:tcPr>
            <w:tcW w:w="4087" w:type="dxa"/>
            <w:tcBorders>
              <w:top w:val="single" w:color="auto" w:sz="4" w:space="0"/>
              <w:left w:val="single" w:color="auto" w:sz="4" w:space="0"/>
              <w:bottom w:val="single" w:color="auto" w:sz="4" w:space="0"/>
              <w:right w:val="single" w:color="auto" w:sz="4" w:space="0"/>
            </w:tcBorders>
            <w:shd w:val="clear"/>
            <w:noWrap w:val="0"/>
            <w:vAlign w:val="center"/>
          </w:tcPr>
          <w:p w14:paraId="2A55CB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0A484E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2BA991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34B067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79AE62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24B4AA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4"/>
                <w:szCs w:val="24"/>
                <w:highlight w:val="none"/>
              </w:rPr>
              <w:t>GB/T 4706.81—2024</w:t>
            </w:r>
          </w:p>
        </w:tc>
      </w:tr>
      <w:tr w14:paraId="7C59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210C891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01DCDF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输入功率和电流</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7F6D2D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065E3F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68BAB1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20B07F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023CE0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2A0871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0318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210F5D0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173F5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4"/>
                <w:szCs w:val="24"/>
                <w:highlight w:val="none"/>
                <w:lang w:val="en-US" w:eastAsia="zh-CN"/>
              </w:rPr>
            </w:pPr>
            <w:r>
              <w:rPr>
                <w:rFonts w:hint="eastAsia" w:eastAsia="宋体" w:cs="Times New Roman"/>
                <w:color w:val="auto"/>
                <w:sz w:val="24"/>
                <w:szCs w:val="24"/>
                <w:highlight w:val="none"/>
                <w:lang w:val="en-US" w:eastAsia="zh-CN"/>
              </w:rPr>
              <w:t>发热</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2E2577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0CBCF5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4DD1E9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4F977F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74C179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20158D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bookmarkStart w:id="0" w:name="_GoBack"/>
            <w:bookmarkEnd w:id="0"/>
          </w:p>
        </w:tc>
      </w:tr>
      <w:tr w14:paraId="16CC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2464747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39F3D9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工作温度下的泄漏电流和电气强度</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5C74D6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217979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50F43F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6F713F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56A6B1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67B467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1B7D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23E023E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6A4072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耐潮湿</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30E46D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60034D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519A75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609DD4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3C1A9B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2FEE66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4906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303E271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4642A7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泄漏电流和电气强度</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660B41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396136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794BDC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37E684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17BDC1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5C3857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5DFA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4A8EB16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12E09A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非正常工作（不包括第19.11.4条的试验）</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5F6F96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4E5B3B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6329D4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1A0F51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7DAC85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2D7FD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64C6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6E5C74C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387DD1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稳定性和机械危险</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62E72B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2A112F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1CFFEC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3BA3AF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1B0638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50BF2D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08A4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237F1C0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73F139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机械强度</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5C6B2D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2DF6E8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31734F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3845193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7A31D3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3AC286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0BFA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4C660BF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7419F5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结构（不包括第22.46条的试验）</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6C482B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23AE1D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0D9A33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5E3636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33E56F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725CD1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3646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1FEF1CA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30264A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内部布线</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644F89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4BD86A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4F05FB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4F24B8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67F430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2CC141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3139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58AEA10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48A11D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电源连接和外部软线</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03113A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16B79C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3DF695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0B1235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235D21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783BAB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6572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19F8F71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5F1D8E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外部导线用接线端子或外部导体用接线端子</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3922E4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51D4CE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3FAC84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24A490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3A5B1D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0B75D9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29ED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7D35F77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4D8542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接地措施</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5AF864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3B6774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7BB9A7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6CA0D4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0B6E9E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74036D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5041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24F97BC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5F73C9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螺钉和连接</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3C340A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10A3D0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2EE072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66B31C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290567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000154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7188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54E87AC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583426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电气间隙、爬电距离和固体绝缘</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1DCA2B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0E2B8E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671C46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205023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43BBAB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73579F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r w14:paraId="64E9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noWrap w:val="0"/>
            <w:vAlign w:val="center"/>
          </w:tcPr>
          <w:p w14:paraId="01A9BA3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4"/>
                <w:szCs w:val="24"/>
                <w:highlight w:val="none"/>
              </w:rPr>
            </w:pPr>
          </w:p>
        </w:tc>
        <w:tc>
          <w:tcPr>
            <w:tcW w:w="4126" w:type="dxa"/>
            <w:tcBorders>
              <w:top w:val="single" w:color="auto" w:sz="4" w:space="0"/>
              <w:left w:val="single" w:color="auto" w:sz="4" w:space="0"/>
              <w:bottom w:val="single" w:color="auto" w:sz="4" w:space="0"/>
              <w:right w:val="single" w:color="auto" w:sz="4" w:space="0"/>
            </w:tcBorders>
            <w:noWrap w:val="0"/>
            <w:vAlign w:val="center"/>
          </w:tcPr>
          <w:p w14:paraId="5066D5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lang w:val="en-US" w:eastAsia="zh-CN"/>
              </w:rPr>
            </w:pPr>
            <w:r>
              <w:rPr>
                <w:rFonts w:hint="eastAsia" w:eastAsia="宋体" w:cs="Times New Roman"/>
                <w:color w:val="auto"/>
                <w:sz w:val="24"/>
                <w:szCs w:val="24"/>
                <w:highlight w:val="none"/>
                <w:lang w:val="en-US" w:eastAsia="zh-CN"/>
              </w:rPr>
              <w:t>耐热和耐燃</w:t>
            </w:r>
          </w:p>
        </w:tc>
        <w:tc>
          <w:tcPr>
            <w:tcW w:w="4087" w:type="dxa"/>
            <w:tcBorders>
              <w:top w:val="single" w:color="auto" w:sz="4" w:space="0"/>
              <w:left w:val="single" w:color="auto" w:sz="4" w:space="0"/>
              <w:bottom w:val="single" w:color="auto" w:sz="4" w:space="0"/>
              <w:right w:val="single" w:color="auto" w:sz="4" w:space="0"/>
            </w:tcBorders>
            <w:noWrap w:val="0"/>
            <w:vAlign w:val="center"/>
          </w:tcPr>
          <w:p w14:paraId="483F14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4706.1—2005</w:t>
            </w:r>
          </w:p>
          <w:p w14:paraId="1E24B8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4706.76—2008</w:t>
            </w:r>
          </w:p>
          <w:p w14:paraId="68AC63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 4706.81—2014</w:t>
            </w:r>
          </w:p>
          <w:p w14:paraId="2F790D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4706.1—2024</w:t>
            </w:r>
          </w:p>
          <w:p w14:paraId="578640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4706.76—2024</w:t>
            </w:r>
          </w:p>
          <w:p w14:paraId="1BBC39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GB/T 4706.81—2024</w:t>
            </w:r>
          </w:p>
        </w:tc>
      </w:tr>
    </w:tbl>
    <w:p w14:paraId="4565AB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执行企业标准、团体标准、地方标准的产品，检验项目参照上述内容执行。</w:t>
      </w:r>
    </w:p>
    <w:p w14:paraId="6DE5D0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凡是注日期的文件，其随后所有的修改单（不包括勘误的内容）或修订版不适用于本细则。凡是不注日期的文件，其最新版本适用于本细则。</w:t>
      </w:r>
    </w:p>
    <w:p w14:paraId="3327F3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判定规则</w:t>
      </w:r>
    </w:p>
    <w:p w14:paraId="6352F2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 依据标准</w:t>
      </w:r>
    </w:p>
    <w:p w14:paraId="4DC346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4706.1—2005《家用和类似用途电器的安全 第1部分：通用要求》</w:t>
      </w:r>
    </w:p>
    <w:p w14:paraId="217D14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4706.76—2008《家用和类似用途电器的安全 灭虫器的特殊要求》</w:t>
      </w:r>
    </w:p>
    <w:p w14:paraId="1B265B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4706.81—2014《家用和类似用途电器的安全 挥发器的特殊要求》</w:t>
      </w:r>
    </w:p>
    <w:p w14:paraId="3D3246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44246—2024《家用和类似用途电器、体育用品的电气部分及电玩具  安全技术规范》</w:t>
      </w:r>
    </w:p>
    <w:p w14:paraId="768762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4706.1—2024《家用和类似用途电器的安全  第1部分：通用要求》</w:t>
      </w:r>
    </w:p>
    <w:p w14:paraId="58AC97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4706.76—2024《家用和类似用途电器的安全  第76部分：灭虫器的特殊要求》</w:t>
      </w:r>
    </w:p>
    <w:p w14:paraId="08F165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4706.81—2024《家用和类似用途电器的安全  第81部分：挥发器的特殊要求》</w:t>
      </w:r>
    </w:p>
    <w:p w14:paraId="1B5F09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现行有效的企业标准、团体标准、地方标准及产品明示质量要求</w:t>
      </w:r>
    </w:p>
    <w:p w14:paraId="36F380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 判定原则</w:t>
      </w:r>
    </w:p>
    <w:p w14:paraId="3F01D136">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经检验，检验项目全部合格，判定为被抽查产品所检项目未发现不合格；检验项目中任一项或一项以上不合格，判定为被抽查产品不合格。</w:t>
      </w:r>
    </w:p>
    <w:p w14:paraId="11782B0B">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若被检产品明示的质量要求高于本细则中检验项目依据的标准要求时，应按被检产品明示的质量要求判定。</w:t>
      </w:r>
    </w:p>
    <w:p w14:paraId="369309AE">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若被检产品明示的质量要求低于本细则中检验项目依据的强制性标准要求时，应按照强制性标准要求判定。</w:t>
      </w:r>
    </w:p>
    <w:p w14:paraId="40B81498">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若被检产品明示的质量要求低于或包含本细则中检验项目依据的推荐性标准要求时，应以被检产品明示的质量要求判定。</w:t>
      </w:r>
    </w:p>
    <w:p w14:paraId="42579007">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若被检产品明示的质量要求缺少本细则中检验项目依据的强制性标准要求时，应按照强制性标准要求判定。</w:t>
      </w:r>
    </w:p>
    <w:p w14:paraId="36FE21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若被检产品明示的质量要求缺少本细则中检验项目依据的推荐性标准要求时，该项目不参与判定。</w:t>
      </w:r>
    </w:p>
    <w:p w14:paraId="255E1955">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58CD8"/>
    <w:multiLevelType w:val="singleLevel"/>
    <w:tmpl w:val="16B58CD8"/>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327E47"/>
    <w:rsid w:val="10060819"/>
    <w:rsid w:val="1A32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1174</Words>
  <Characters>2606</Characters>
  <Lines>0</Lines>
  <Paragraphs>0</Paragraphs>
  <TotalTime>2</TotalTime>
  <ScaleCrop>false</ScaleCrop>
  <LinksUpToDate>false</LinksUpToDate>
  <CharactersWithSpaces>2732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2026-07-06T08:09:00Z</dcterms:created>
  <dc:creator>Fan</dc:creator>
  <cp:lastModifiedBy>昌</cp:lastModifiedBy>
  <dcterms:modified xsi:type="dcterms:W3CDTF">2026-07-09T07:48:29Z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CEF28B061E334D10A9FFB46E9166947F_11</vt:lpwstr>
  </property>
  <property fmtid="{D5CDD505-2E9C-101B-9397-08002B2CF9AE}" pid="4" name="KSOTemplateDocerSaveRecord">
    <vt:lpwstr>eyJoZGlkIjoiZTA1MWM0ZWI2Mzc1MWUwOGNhZDM1NDZlYWZkMDI3MDgiLCJ1c2VySWQiOiIyNjM5MTQ5ODMifQ==</vt:lpwstr>
  </property>
</Properties>
</file>