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C042B4">
      <w:pPr>
        <w:spacing w:line="440" w:lineRule="exact"/>
        <w:jc w:val="center"/>
        <w:rPr>
          <w:rFonts w:hint="eastAsia" w:eastAsia="方正小标宋简体"/>
          <w:sz w:val="32"/>
          <w:szCs w:val="32"/>
        </w:rPr>
      </w:pPr>
      <w:bookmarkStart w:id="0" w:name="_GoBack"/>
      <w:bookmarkEnd w:id="0"/>
      <w:r>
        <w:rPr>
          <w:rFonts w:hint="eastAsia" w:ascii="方正小标宋简体" w:hAnsi="方正小标宋简体" w:eastAsia="方正小标宋简体" w:cs="方正小标宋简体"/>
          <w:color w:val="000000"/>
          <w:sz w:val="32"/>
          <w:szCs w:val="32"/>
        </w:rPr>
        <w:t>重庆市</w:t>
      </w:r>
      <w:r>
        <w:rPr>
          <w:rFonts w:hint="eastAsia" w:eastAsia="方正小标宋简体"/>
          <w:sz w:val="32"/>
          <w:szCs w:val="32"/>
        </w:rPr>
        <w:t>背提包产品质量监督抽查实施细则</w:t>
      </w:r>
    </w:p>
    <w:p w14:paraId="42A808BA">
      <w:pPr>
        <w:spacing w:line="440" w:lineRule="exact"/>
        <w:jc w:val="center"/>
        <w:rPr>
          <w:rFonts w:hint="eastAsia" w:eastAsia="方正小标宋简体"/>
          <w:sz w:val="32"/>
          <w:szCs w:val="32"/>
        </w:rPr>
      </w:pPr>
      <w:r>
        <w:rPr>
          <w:rFonts w:hint="eastAsia" w:eastAsia="方正小标宋简体"/>
          <w:sz w:val="32"/>
          <w:szCs w:val="32"/>
        </w:rPr>
        <w:t>（202</w:t>
      </w:r>
      <w:r>
        <w:rPr>
          <w:rFonts w:hint="eastAsia" w:eastAsia="方正小标宋简体"/>
          <w:sz w:val="32"/>
          <w:szCs w:val="32"/>
          <w:lang w:val="en-US" w:eastAsia="zh-CN"/>
        </w:rPr>
        <w:t>6</w:t>
      </w:r>
      <w:r>
        <w:rPr>
          <w:rFonts w:hint="eastAsia" w:eastAsia="方正小标宋简体"/>
          <w:sz w:val="32"/>
          <w:szCs w:val="32"/>
        </w:rPr>
        <w:t>年版）</w:t>
      </w:r>
    </w:p>
    <w:p w14:paraId="3A806321">
      <w:pPr>
        <w:snapToGrid w:val="0"/>
        <w:spacing w:line="440" w:lineRule="exact"/>
        <w:ind w:firstLine="359" w:firstLineChars="171"/>
        <w:rPr>
          <w:szCs w:val="21"/>
        </w:rPr>
      </w:pPr>
    </w:p>
    <w:p w14:paraId="4168CC94">
      <w:pPr>
        <w:snapToGrid w:val="0"/>
        <w:spacing w:line="440" w:lineRule="exact"/>
        <w:rPr>
          <w:rFonts w:eastAsia="黑体"/>
          <w:szCs w:val="21"/>
        </w:rPr>
      </w:pPr>
      <w:r>
        <w:rPr>
          <w:rFonts w:hint="eastAsia" w:eastAsia="黑体"/>
          <w:szCs w:val="21"/>
        </w:rPr>
        <w:t>1 抽样方法</w:t>
      </w:r>
    </w:p>
    <w:p w14:paraId="6ACE105A">
      <w:pPr>
        <w:snapToGrid w:val="0"/>
        <w:spacing w:line="440" w:lineRule="exact"/>
        <w:ind w:firstLine="420" w:firstLineChars="200"/>
        <w:rPr>
          <w:szCs w:val="21"/>
        </w:rPr>
      </w:pPr>
      <w:r>
        <w:rPr>
          <w:rFonts w:hint="eastAsia"/>
          <w:szCs w:val="21"/>
        </w:rPr>
        <w:t>以随机抽样的方式在被抽样生产者、销售者的待销产品中抽取。</w:t>
      </w:r>
    </w:p>
    <w:p w14:paraId="5ABB7609">
      <w:pPr>
        <w:snapToGrid w:val="0"/>
        <w:spacing w:line="440" w:lineRule="exact"/>
        <w:ind w:firstLine="420" w:firstLineChars="200"/>
        <w:rPr>
          <w:rFonts w:hint="eastAsia"/>
          <w:szCs w:val="21"/>
        </w:rPr>
      </w:pPr>
      <w:r>
        <w:rPr>
          <w:rFonts w:hint="eastAsia"/>
          <w:szCs w:val="21"/>
        </w:rPr>
        <w:t>随机数一般可使用随机数表等方法产生。</w:t>
      </w:r>
    </w:p>
    <w:p w14:paraId="3BADE46A">
      <w:pPr>
        <w:adjustRightInd w:val="0"/>
        <w:snapToGrid w:val="0"/>
        <w:spacing w:line="440" w:lineRule="exact"/>
        <w:ind w:firstLine="420" w:firstLineChars="200"/>
        <w:rPr>
          <w:rFonts w:hint="eastAsia"/>
          <w:szCs w:val="21"/>
        </w:rPr>
      </w:pPr>
      <w:r>
        <w:rPr>
          <w:rFonts w:hint="eastAsia"/>
          <w:szCs w:val="21"/>
        </w:rPr>
        <w:t>每批次抽取数量2只，其中1只作为检验样品，1只作为备用样品。</w:t>
      </w:r>
    </w:p>
    <w:p w14:paraId="62AB1182">
      <w:pPr>
        <w:snapToGrid w:val="0"/>
        <w:spacing w:line="440" w:lineRule="exact"/>
        <w:rPr>
          <w:rFonts w:hint="eastAsia"/>
          <w:szCs w:val="21"/>
        </w:rPr>
      </w:pPr>
    </w:p>
    <w:p w14:paraId="434105E6">
      <w:pPr>
        <w:snapToGrid w:val="0"/>
        <w:spacing w:line="440" w:lineRule="exact"/>
        <w:rPr>
          <w:rFonts w:ascii="黑体" w:hAnsi="宋体" w:eastAsia="黑体"/>
          <w:szCs w:val="21"/>
        </w:rPr>
      </w:pPr>
      <w:r>
        <w:rPr>
          <w:rFonts w:hint="eastAsia" w:ascii="黑体" w:hAnsi="宋体" w:eastAsia="黑体"/>
          <w:szCs w:val="21"/>
        </w:rPr>
        <w:t>2 检验依据</w:t>
      </w:r>
    </w:p>
    <w:p w14:paraId="44951B89">
      <w:pPr>
        <w:snapToGrid w:val="0"/>
        <w:spacing w:line="440" w:lineRule="exact"/>
        <w:rPr>
          <w:rFonts w:hint="eastAsia" w:ascii="黑体" w:hAnsi="宋体" w:eastAsia="黑体"/>
          <w:szCs w:val="21"/>
        </w:rPr>
      </w:pP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4"/>
        <w:gridCol w:w="3898"/>
        <w:gridCol w:w="4101"/>
      </w:tblGrid>
      <w:tr w14:paraId="65CCA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40" w:type="pct"/>
            <w:noWrap w:val="0"/>
            <w:vAlign w:val="top"/>
          </w:tcPr>
          <w:p w14:paraId="42C3B82E">
            <w:pPr>
              <w:snapToGrid w:val="0"/>
              <w:jc w:val="center"/>
              <w:rPr>
                <w:rFonts w:hint="eastAsia"/>
                <w:szCs w:val="21"/>
              </w:rPr>
            </w:pPr>
            <w:r>
              <w:rPr>
                <w:rFonts w:hint="eastAsia"/>
                <w:szCs w:val="21"/>
              </w:rPr>
              <w:t>序号</w:t>
            </w:r>
          </w:p>
        </w:tc>
        <w:tc>
          <w:tcPr>
            <w:tcW w:w="2124" w:type="pct"/>
            <w:noWrap w:val="0"/>
            <w:vAlign w:val="top"/>
          </w:tcPr>
          <w:p w14:paraId="7664CF40">
            <w:pPr>
              <w:snapToGrid w:val="0"/>
              <w:jc w:val="center"/>
              <w:rPr>
                <w:rFonts w:hint="eastAsia"/>
                <w:szCs w:val="21"/>
              </w:rPr>
            </w:pPr>
            <w:r>
              <w:rPr>
                <w:rFonts w:hint="eastAsia"/>
                <w:szCs w:val="21"/>
              </w:rPr>
              <w:t>检验项目</w:t>
            </w:r>
          </w:p>
        </w:tc>
        <w:tc>
          <w:tcPr>
            <w:tcW w:w="2235" w:type="pct"/>
            <w:noWrap w:val="0"/>
            <w:vAlign w:val="top"/>
          </w:tcPr>
          <w:p w14:paraId="4E7D8546">
            <w:pPr>
              <w:snapToGrid w:val="0"/>
              <w:jc w:val="center"/>
              <w:rPr>
                <w:rFonts w:hint="eastAsia"/>
                <w:szCs w:val="21"/>
              </w:rPr>
            </w:pPr>
            <w:r>
              <w:rPr>
                <w:rFonts w:hint="eastAsia"/>
                <w:szCs w:val="21"/>
              </w:rPr>
              <w:t>检验方法</w:t>
            </w:r>
          </w:p>
        </w:tc>
      </w:tr>
      <w:tr w14:paraId="5B89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705" w:hRule="atLeast"/>
        </w:trPr>
        <w:tc>
          <w:tcPr>
            <w:tcW w:w="640" w:type="pct"/>
            <w:noWrap w:val="0"/>
            <w:vAlign w:val="center"/>
          </w:tcPr>
          <w:p w14:paraId="6A18B6BA">
            <w:pPr>
              <w:snapToGrid w:val="0"/>
              <w:jc w:val="center"/>
              <w:rPr>
                <w:rFonts w:hint="eastAsia"/>
                <w:szCs w:val="21"/>
              </w:rPr>
            </w:pPr>
            <w:r>
              <w:rPr>
                <w:rFonts w:hint="eastAsia"/>
                <w:szCs w:val="21"/>
              </w:rPr>
              <w:t>1</w:t>
            </w:r>
          </w:p>
        </w:tc>
        <w:tc>
          <w:tcPr>
            <w:tcW w:w="2124" w:type="pct"/>
            <w:noWrap w:val="0"/>
            <w:vAlign w:val="center"/>
          </w:tcPr>
          <w:p w14:paraId="51839DD6">
            <w:pPr>
              <w:snapToGrid w:val="0"/>
              <w:jc w:val="center"/>
              <w:rPr>
                <w:szCs w:val="21"/>
              </w:rPr>
            </w:pPr>
            <w:r>
              <w:rPr>
                <w:szCs w:val="21"/>
              </w:rPr>
              <w:t>振荡冲击性能</w:t>
            </w:r>
          </w:p>
        </w:tc>
        <w:tc>
          <w:tcPr>
            <w:tcW w:w="2235" w:type="pct"/>
            <w:noWrap w:val="0"/>
            <w:vAlign w:val="center"/>
          </w:tcPr>
          <w:p w14:paraId="71371366">
            <w:pPr>
              <w:snapToGrid w:val="0"/>
              <w:jc w:val="center"/>
              <w:rPr>
                <w:szCs w:val="21"/>
              </w:rPr>
            </w:pPr>
            <w:r>
              <w:rPr>
                <w:szCs w:val="21"/>
              </w:rPr>
              <w:t>QB/T 2922—2018</w:t>
            </w:r>
          </w:p>
          <w:p w14:paraId="6D9C969E">
            <w:pPr>
              <w:snapToGrid w:val="0"/>
              <w:jc w:val="center"/>
              <w:rPr>
                <w:rFonts w:hint="eastAsia"/>
                <w:szCs w:val="21"/>
              </w:rPr>
            </w:pPr>
            <w:r>
              <w:rPr>
                <w:rFonts w:hint="eastAsia"/>
                <w:szCs w:val="21"/>
              </w:rPr>
              <w:t>QB/T 5083—2017 B法</w:t>
            </w:r>
          </w:p>
          <w:p w14:paraId="7B37C333">
            <w:pPr>
              <w:snapToGrid w:val="0"/>
              <w:jc w:val="center"/>
              <w:rPr>
                <w:szCs w:val="21"/>
              </w:rPr>
            </w:pPr>
            <w:r>
              <w:rPr>
                <w:szCs w:val="21"/>
              </w:rPr>
              <w:t>QB/T</w:t>
            </w:r>
            <w:r>
              <w:rPr>
                <w:rFonts w:hint="eastAsia"/>
                <w:szCs w:val="21"/>
              </w:rPr>
              <w:t xml:space="preserve"> 1333—2018</w:t>
            </w:r>
          </w:p>
        </w:tc>
      </w:tr>
      <w:tr w14:paraId="6B485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40" w:type="pct"/>
            <w:noWrap w:val="0"/>
            <w:vAlign w:val="center"/>
          </w:tcPr>
          <w:p w14:paraId="4E258CD7">
            <w:pPr>
              <w:snapToGrid w:val="0"/>
              <w:jc w:val="center"/>
              <w:rPr>
                <w:rFonts w:hint="eastAsia"/>
                <w:szCs w:val="21"/>
              </w:rPr>
            </w:pPr>
            <w:r>
              <w:rPr>
                <w:rFonts w:hint="eastAsia"/>
                <w:szCs w:val="21"/>
              </w:rPr>
              <w:t>2</w:t>
            </w:r>
          </w:p>
        </w:tc>
        <w:tc>
          <w:tcPr>
            <w:tcW w:w="2124" w:type="pct"/>
            <w:noWrap w:val="0"/>
            <w:vAlign w:val="center"/>
          </w:tcPr>
          <w:p w14:paraId="391FEF06">
            <w:pPr>
              <w:snapToGrid w:val="0"/>
              <w:jc w:val="center"/>
              <w:rPr>
                <w:szCs w:val="21"/>
              </w:rPr>
            </w:pPr>
            <w:r>
              <w:rPr>
                <w:rFonts w:hint="eastAsia"/>
                <w:szCs w:val="21"/>
              </w:rPr>
              <w:t>包锁耐用性能</w:t>
            </w:r>
          </w:p>
        </w:tc>
        <w:tc>
          <w:tcPr>
            <w:tcW w:w="2235" w:type="pct"/>
            <w:noWrap w:val="0"/>
            <w:vAlign w:val="center"/>
          </w:tcPr>
          <w:p w14:paraId="13922BD8">
            <w:pPr>
              <w:snapToGrid w:val="0"/>
              <w:jc w:val="center"/>
              <w:rPr>
                <w:szCs w:val="21"/>
              </w:rPr>
            </w:pPr>
            <w:r>
              <w:rPr>
                <w:szCs w:val="21"/>
              </w:rPr>
              <w:t>QB/T</w:t>
            </w:r>
            <w:r>
              <w:rPr>
                <w:rFonts w:hint="eastAsia"/>
                <w:szCs w:val="21"/>
              </w:rPr>
              <w:t xml:space="preserve"> 1333—2018</w:t>
            </w:r>
          </w:p>
        </w:tc>
      </w:tr>
      <w:tr w14:paraId="0EF7B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40" w:type="pct"/>
            <w:noWrap w:val="0"/>
            <w:vAlign w:val="center"/>
          </w:tcPr>
          <w:p w14:paraId="2C1CDEE7">
            <w:pPr>
              <w:snapToGrid w:val="0"/>
              <w:jc w:val="center"/>
              <w:rPr>
                <w:rFonts w:hint="eastAsia"/>
                <w:szCs w:val="21"/>
              </w:rPr>
            </w:pPr>
            <w:r>
              <w:rPr>
                <w:rFonts w:hint="eastAsia"/>
                <w:szCs w:val="21"/>
              </w:rPr>
              <w:t>3</w:t>
            </w:r>
          </w:p>
        </w:tc>
        <w:tc>
          <w:tcPr>
            <w:tcW w:w="2124" w:type="pct"/>
            <w:noWrap w:val="0"/>
            <w:vAlign w:val="center"/>
          </w:tcPr>
          <w:p w14:paraId="4B739F1B">
            <w:pPr>
              <w:snapToGrid w:val="0"/>
              <w:jc w:val="center"/>
              <w:rPr>
                <w:szCs w:val="21"/>
              </w:rPr>
            </w:pPr>
            <w:r>
              <w:rPr>
                <w:rFonts w:hint="eastAsia"/>
                <w:szCs w:val="21"/>
              </w:rPr>
              <w:t>扣件耐用性能</w:t>
            </w:r>
          </w:p>
        </w:tc>
        <w:tc>
          <w:tcPr>
            <w:tcW w:w="2235" w:type="pct"/>
            <w:noWrap w:val="0"/>
            <w:vAlign w:val="center"/>
          </w:tcPr>
          <w:p w14:paraId="1295A793">
            <w:pPr>
              <w:snapToGrid w:val="0"/>
              <w:jc w:val="center"/>
              <w:rPr>
                <w:szCs w:val="21"/>
              </w:rPr>
            </w:pPr>
            <w:r>
              <w:rPr>
                <w:szCs w:val="21"/>
              </w:rPr>
              <w:t>QB/T 5084—2017</w:t>
            </w:r>
          </w:p>
        </w:tc>
      </w:tr>
      <w:tr w14:paraId="06962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40" w:type="pct"/>
            <w:noWrap w:val="0"/>
            <w:vAlign w:val="center"/>
          </w:tcPr>
          <w:p w14:paraId="40045C5F">
            <w:pPr>
              <w:snapToGrid w:val="0"/>
              <w:jc w:val="center"/>
              <w:rPr>
                <w:rFonts w:hint="eastAsia"/>
                <w:szCs w:val="21"/>
              </w:rPr>
            </w:pPr>
            <w:r>
              <w:rPr>
                <w:rFonts w:hint="eastAsia"/>
                <w:szCs w:val="21"/>
              </w:rPr>
              <w:t>4</w:t>
            </w:r>
          </w:p>
        </w:tc>
        <w:tc>
          <w:tcPr>
            <w:tcW w:w="2124" w:type="pct"/>
            <w:noWrap w:val="0"/>
            <w:vAlign w:val="center"/>
          </w:tcPr>
          <w:p w14:paraId="784E529D">
            <w:pPr>
              <w:snapToGrid w:val="0"/>
              <w:jc w:val="center"/>
              <w:rPr>
                <w:szCs w:val="21"/>
              </w:rPr>
            </w:pPr>
            <w:r>
              <w:rPr>
                <w:rFonts w:hint="eastAsia"/>
                <w:szCs w:val="21"/>
              </w:rPr>
              <w:t>拉链耐用度</w:t>
            </w:r>
          </w:p>
        </w:tc>
        <w:tc>
          <w:tcPr>
            <w:tcW w:w="2235" w:type="pct"/>
            <w:noWrap w:val="0"/>
            <w:vAlign w:val="center"/>
          </w:tcPr>
          <w:p w14:paraId="7C22D2DB">
            <w:pPr>
              <w:snapToGrid w:val="0"/>
              <w:jc w:val="center"/>
              <w:rPr>
                <w:szCs w:val="21"/>
              </w:rPr>
            </w:pPr>
            <w:r>
              <w:rPr>
                <w:szCs w:val="21"/>
              </w:rPr>
              <w:t>QB/T</w:t>
            </w:r>
            <w:r>
              <w:rPr>
                <w:rFonts w:hint="eastAsia"/>
                <w:szCs w:val="21"/>
              </w:rPr>
              <w:t xml:space="preserve"> 1333—2018</w:t>
            </w:r>
          </w:p>
        </w:tc>
      </w:tr>
      <w:tr w14:paraId="0229E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40" w:type="pct"/>
            <w:noWrap w:val="0"/>
            <w:vAlign w:val="center"/>
          </w:tcPr>
          <w:p w14:paraId="2791052E">
            <w:pPr>
              <w:snapToGrid w:val="0"/>
              <w:jc w:val="center"/>
              <w:rPr>
                <w:rFonts w:hint="eastAsia"/>
                <w:szCs w:val="21"/>
              </w:rPr>
            </w:pPr>
            <w:r>
              <w:rPr>
                <w:rFonts w:hint="eastAsia"/>
                <w:szCs w:val="21"/>
              </w:rPr>
              <w:t>5</w:t>
            </w:r>
          </w:p>
        </w:tc>
        <w:tc>
          <w:tcPr>
            <w:tcW w:w="2124" w:type="pct"/>
            <w:noWrap w:val="0"/>
            <w:vAlign w:val="center"/>
          </w:tcPr>
          <w:p w14:paraId="2316E8BE">
            <w:pPr>
              <w:snapToGrid w:val="0"/>
              <w:jc w:val="center"/>
              <w:rPr>
                <w:szCs w:val="21"/>
              </w:rPr>
            </w:pPr>
            <w:r>
              <w:rPr>
                <w:szCs w:val="21"/>
              </w:rPr>
              <w:t>缝合强度</w:t>
            </w:r>
          </w:p>
        </w:tc>
        <w:tc>
          <w:tcPr>
            <w:tcW w:w="2235" w:type="pct"/>
            <w:noWrap w:val="0"/>
            <w:vAlign w:val="center"/>
          </w:tcPr>
          <w:p w14:paraId="79919F64">
            <w:pPr>
              <w:snapToGrid w:val="0"/>
              <w:jc w:val="center"/>
              <w:rPr>
                <w:szCs w:val="21"/>
              </w:rPr>
            </w:pPr>
            <w:r>
              <w:rPr>
                <w:szCs w:val="21"/>
              </w:rPr>
              <w:t>QB/T</w:t>
            </w:r>
            <w:r>
              <w:rPr>
                <w:rFonts w:hint="eastAsia"/>
                <w:szCs w:val="21"/>
              </w:rPr>
              <w:t xml:space="preserve"> 1333—2018</w:t>
            </w:r>
          </w:p>
        </w:tc>
      </w:tr>
      <w:tr w14:paraId="64199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40" w:type="pct"/>
            <w:noWrap w:val="0"/>
            <w:vAlign w:val="center"/>
          </w:tcPr>
          <w:p w14:paraId="3A3464C2">
            <w:pPr>
              <w:snapToGrid w:val="0"/>
              <w:jc w:val="center"/>
              <w:rPr>
                <w:rFonts w:hint="eastAsia"/>
                <w:szCs w:val="21"/>
              </w:rPr>
            </w:pPr>
            <w:r>
              <w:rPr>
                <w:rFonts w:hint="eastAsia"/>
                <w:szCs w:val="21"/>
              </w:rPr>
              <w:t>6</w:t>
            </w:r>
          </w:p>
        </w:tc>
        <w:tc>
          <w:tcPr>
            <w:tcW w:w="2124" w:type="pct"/>
            <w:noWrap w:val="0"/>
            <w:vAlign w:val="center"/>
          </w:tcPr>
          <w:p w14:paraId="60E9BD73">
            <w:pPr>
              <w:snapToGrid w:val="0"/>
              <w:jc w:val="center"/>
              <w:rPr>
                <w:szCs w:val="21"/>
              </w:rPr>
            </w:pPr>
            <w:r>
              <w:rPr>
                <w:rFonts w:hint="eastAsia"/>
                <w:szCs w:val="21"/>
              </w:rPr>
              <w:t>塑料插扣耐用性能</w:t>
            </w:r>
          </w:p>
        </w:tc>
        <w:tc>
          <w:tcPr>
            <w:tcW w:w="2235" w:type="pct"/>
            <w:noWrap w:val="0"/>
            <w:vAlign w:val="center"/>
          </w:tcPr>
          <w:p w14:paraId="3C494087">
            <w:pPr>
              <w:snapToGrid w:val="0"/>
              <w:jc w:val="center"/>
              <w:rPr>
                <w:szCs w:val="21"/>
              </w:rPr>
            </w:pPr>
            <w:r>
              <w:rPr>
                <w:szCs w:val="21"/>
              </w:rPr>
              <w:t>QB/T 5247—2018</w:t>
            </w:r>
          </w:p>
        </w:tc>
      </w:tr>
      <w:tr w14:paraId="3F47F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40" w:type="pct"/>
            <w:noWrap w:val="0"/>
            <w:vAlign w:val="center"/>
          </w:tcPr>
          <w:p w14:paraId="7B99ED1A">
            <w:pPr>
              <w:snapToGrid w:val="0"/>
              <w:jc w:val="center"/>
              <w:rPr>
                <w:rFonts w:hint="eastAsia"/>
                <w:szCs w:val="21"/>
              </w:rPr>
            </w:pPr>
            <w:r>
              <w:rPr>
                <w:rFonts w:hint="eastAsia"/>
                <w:szCs w:val="21"/>
              </w:rPr>
              <w:t>7</w:t>
            </w:r>
          </w:p>
        </w:tc>
        <w:tc>
          <w:tcPr>
            <w:tcW w:w="2124" w:type="pct"/>
            <w:noWrap w:val="0"/>
            <w:vAlign w:val="center"/>
          </w:tcPr>
          <w:p w14:paraId="4DA691F1">
            <w:pPr>
              <w:snapToGrid w:val="0"/>
              <w:jc w:val="center"/>
              <w:rPr>
                <w:szCs w:val="21"/>
              </w:rPr>
            </w:pPr>
            <w:r>
              <w:rPr>
                <w:szCs w:val="21"/>
              </w:rPr>
              <w:t>摩擦色牢度</w:t>
            </w:r>
            <w:r>
              <w:rPr>
                <w:rFonts w:hint="eastAsia"/>
                <w:szCs w:val="21"/>
              </w:rPr>
              <w:t>（沾色）</w:t>
            </w:r>
          </w:p>
        </w:tc>
        <w:tc>
          <w:tcPr>
            <w:tcW w:w="2235" w:type="pct"/>
            <w:noWrap w:val="0"/>
            <w:vAlign w:val="center"/>
          </w:tcPr>
          <w:p w14:paraId="74242B6D">
            <w:pPr>
              <w:snapToGrid w:val="0"/>
              <w:jc w:val="center"/>
              <w:rPr>
                <w:szCs w:val="21"/>
              </w:rPr>
            </w:pPr>
            <w:r>
              <w:rPr>
                <w:szCs w:val="21"/>
              </w:rPr>
              <w:t>QB/T 2537—2001</w:t>
            </w:r>
          </w:p>
          <w:p w14:paraId="72CE1FC8">
            <w:pPr>
              <w:snapToGrid w:val="0"/>
              <w:jc w:val="center"/>
              <w:rPr>
                <w:szCs w:val="21"/>
              </w:rPr>
            </w:pPr>
            <w:r>
              <w:rPr>
                <w:szCs w:val="21"/>
              </w:rPr>
              <w:t>GB/T 3920—2008</w:t>
            </w:r>
          </w:p>
          <w:p w14:paraId="48585FF8">
            <w:pPr>
              <w:snapToGrid w:val="0"/>
              <w:jc w:val="center"/>
              <w:rPr>
                <w:szCs w:val="21"/>
              </w:rPr>
            </w:pPr>
            <w:r>
              <w:rPr>
                <w:szCs w:val="21"/>
              </w:rPr>
              <w:t>QB/T 2790—2006</w:t>
            </w:r>
          </w:p>
          <w:p w14:paraId="0EACBBEA">
            <w:pPr>
              <w:snapToGrid w:val="0"/>
              <w:jc w:val="center"/>
              <w:rPr>
                <w:szCs w:val="21"/>
              </w:rPr>
            </w:pPr>
            <w:r>
              <w:rPr>
                <w:szCs w:val="21"/>
              </w:rPr>
              <w:t>GB/T 22889—</w:t>
            </w:r>
            <w:r>
              <w:rPr>
                <w:rFonts w:hint="eastAsia"/>
                <w:szCs w:val="21"/>
              </w:rPr>
              <w:t>2021</w:t>
            </w:r>
          </w:p>
        </w:tc>
      </w:tr>
      <w:tr w14:paraId="48E8B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85" w:hRule="atLeast"/>
        </w:trPr>
        <w:tc>
          <w:tcPr>
            <w:tcW w:w="640" w:type="pct"/>
            <w:noWrap w:val="0"/>
            <w:vAlign w:val="center"/>
          </w:tcPr>
          <w:p w14:paraId="57D92E17">
            <w:pPr>
              <w:snapToGrid w:val="0"/>
              <w:jc w:val="center"/>
              <w:rPr>
                <w:rFonts w:hint="eastAsia"/>
                <w:szCs w:val="21"/>
              </w:rPr>
            </w:pPr>
            <w:r>
              <w:rPr>
                <w:rFonts w:hint="eastAsia"/>
                <w:szCs w:val="21"/>
              </w:rPr>
              <w:t>8</w:t>
            </w:r>
          </w:p>
        </w:tc>
        <w:tc>
          <w:tcPr>
            <w:tcW w:w="2124" w:type="pct"/>
            <w:noWrap w:val="0"/>
            <w:vAlign w:val="center"/>
          </w:tcPr>
          <w:p w14:paraId="1997961C">
            <w:pPr>
              <w:adjustRightInd w:val="0"/>
              <w:snapToGrid w:val="0"/>
              <w:jc w:val="center"/>
              <w:rPr>
                <w:rFonts w:hint="eastAsia"/>
                <w:szCs w:val="21"/>
              </w:rPr>
            </w:pPr>
            <w:r>
              <w:rPr>
                <w:rFonts w:hint="eastAsia"/>
                <w:szCs w:val="21"/>
              </w:rPr>
              <w:t>游离甲醛</w:t>
            </w:r>
          </w:p>
        </w:tc>
        <w:tc>
          <w:tcPr>
            <w:tcW w:w="2235" w:type="pct"/>
            <w:noWrap w:val="0"/>
            <w:vAlign w:val="center"/>
          </w:tcPr>
          <w:p w14:paraId="0E8366AD">
            <w:pPr>
              <w:snapToGrid w:val="0"/>
              <w:jc w:val="center"/>
              <w:rPr>
                <w:rFonts w:hint="eastAsia"/>
                <w:szCs w:val="21"/>
              </w:rPr>
            </w:pPr>
            <w:r>
              <w:rPr>
                <w:rFonts w:hint="eastAsia"/>
                <w:szCs w:val="21"/>
              </w:rPr>
              <w:t>GB/T 2912.1—2009</w:t>
            </w:r>
          </w:p>
          <w:p w14:paraId="1CDDCBE7">
            <w:pPr>
              <w:snapToGrid w:val="0"/>
              <w:jc w:val="center"/>
              <w:rPr>
                <w:rFonts w:hint="eastAsia"/>
                <w:szCs w:val="21"/>
              </w:rPr>
            </w:pPr>
            <w:r>
              <w:rPr>
                <w:rFonts w:hint="eastAsia"/>
                <w:szCs w:val="21"/>
              </w:rPr>
              <w:t>GB/T 19941.1—2019</w:t>
            </w:r>
          </w:p>
        </w:tc>
      </w:tr>
      <w:tr w14:paraId="6B539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40" w:type="pct"/>
            <w:noWrap w:val="0"/>
            <w:vAlign w:val="center"/>
          </w:tcPr>
          <w:p w14:paraId="14B718F8">
            <w:pPr>
              <w:snapToGrid w:val="0"/>
              <w:jc w:val="center"/>
              <w:rPr>
                <w:rFonts w:hint="eastAsia"/>
                <w:szCs w:val="21"/>
              </w:rPr>
            </w:pPr>
            <w:r>
              <w:rPr>
                <w:rFonts w:hint="eastAsia"/>
                <w:szCs w:val="21"/>
              </w:rPr>
              <w:t>9</w:t>
            </w:r>
          </w:p>
        </w:tc>
        <w:tc>
          <w:tcPr>
            <w:tcW w:w="2124" w:type="pct"/>
            <w:noWrap w:val="0"/>
            <w:vAlign w:val="center"/>
          </w:tcPr>
          <w:p w14:paraId="0F915369">
            <w:pPr>
              <w:adjustRightInd w:val="0"/>
              <w:snapToGrid w:val="0"/>
              <w:jc w:val="center"/>
              <w:rPr>
                <w:rFonts w:hint="eastAsia"/>
                <w:szCs w:val="21"/>
              </w:rPr>
            </w:pPr>
            <w:r>
              <w:rPr>
                <w:rFonts w:hint="eastAsia"/>
                <w:szCs w:val="21"/>
              </w:rPr>
              <w:t>可分解有害芳香胺染料</w:t>
            </w:r>
          </w:p>
        </w:tc>
        <w:tc>
          <w:tcPr>
            <w:tcW w:w="2235" w:type="pct"/>
            <w:noWrap w:val="0"/>
            <w:vAlign w:val="center"/>
          </w:tcPr>
          <w:p w14:paraId="42D1B098">
            <w:pPr>
              <w:snapToGrid w:val="0"/>
              <w:jc w:val="center"/>
              <w:rPr>
                <w:rFonts w:hint="default" w:eastAsia="宋体"/>
                <w:szCs w:val="21"/>
                <w:lang w:val="en-US" w:eastAsia="zh-CN"/>
              </w:rPr>
            </w:pPr>
            <w:r>
              <w:rPr>
                <w:rFonts w:hint="eastAsia"/>
                <w:szCs w:val="21"/>
              </w:rPr>
              <w:t>GB/T 17592—20</w:t>
            </w:r>
            <w:r>
              <w:rPr>
                <w:rFonts w:hint="eastAsia"/>
                <w:szCs w:val="21"/>
                <w:lang w:val="en-US" w:eastAsia="zh-CN"/>
              </w:rPr>
              <w:t>24</w:t>
            </w:r>
          </w:p>
          <w:p w14:paraId="1B36E152">
            <w:pPr>
              <w:snapToGrid w:val="0"/>
              <w:jc w:val="center"/>
              <w:rPr>
                <w:rFonts w:hint="eastAsia"/>
                <w:szCs w:val="21"/>
              </w:rPr>
            </w:pPr>
            <w:r>
              <w:rPr>
                <w:rFonts w:hint="eastAsia"/>
                <w:szCs w:val="21"/>
              </w:rPr>
              <w:t>GB/T 19942—2019</w:t>
            </w:r>
          </w:p>
        </w:tc>
      </w:tr>
    </w:tbl>
    <w:p w14:paraId="74CD0636">
      <w:pPr>
        <w:snapToGrid w:val="0"/>
        <w:spacing w:line="440" w:lineRule="exact"/>
        <w:ind w:firstLine="359" w:firstLineChars="171"/>
        <w:rPr>
          <w:rFonts w:hint="eastAsia"/>
          <w:szCs w:val="21"/>
        </w:rPr>
      </w:pPr>
      <w:r>
        <w:rPr>
          <w:rFonts w:hint="eastAsia"/>
          <w:szCs w:val="21"/>
        </w:rPr>
        <w:t>执行企业标准、团体标准、地方标准的产品，检验项目参照上述内容执行。</w:t>
      </w:r>
    </w:p>
    <w:p w14:paraId="0A8B115B">
      <w:pPr>
        <w:snapToGrid w:val="0"/>
        <w:spacing w:line="440" w:lineRule="exact"/>
        <w:ind w:firstLine="359" w:firstLineChars="171"/>
        <w:rPr>
          <w:szCs w:val="21"/>
        </w:rPr>
      </w:pPr>
      <w:r>
        <w:rPr>
          <w:rFonts w:hint="eastAsia"/>
          <w:szCs w:val="21"/>
        </w:rPr>
        <w:t>凡是注日期的文件，其随后所有的修改单（不包括勘误的内容）或修订版不适用于本细则。凡是不注日期的文件，其最新版本适用于本细则。</w:t>
      </w:r>
    </w:p>
    <w:p w14:paraId="6821AA04">
      <w:pPr>
        <w:spacing w:line="360" w:lineRule="auto"/>
        <w:rPr>
          <w:rFonts w:eastAsia="黑体"/>
          <w:szCs w:val="21"/>
        </w:rPr>
      </w:pPr>
    </w:p>
    <w:p w14:paraId="0CD1616B">
      <w:pPr>
        <w:spacing w:line="360" w:lineRule="auto"/>
        <w:rPr>
          <w:rFonts w:hint="eastAsia" w:eastAsia="黑体"/>
          <w:szCs w:val="21"/>
        </w:rPr>
      </w:pPr>
      <w:r>
        <w:rPr>
          <w:rFonts w:hint="eastAsia" w:eastAsia="黑体"/>
          <w:szCs w:val="21"/>
        </w:rPr>
        <w:t>3 判定规则</w:t>
      </w:r>
    </w:p>
    <w:p w14:paraId="69B66164">
      <w:pPr>
        <w:snapToGrid w:val="0"/>
        <w:spacing w:line="440" w:lineRule="exact"/>
        <w:rPr>
          <w:szCs w:val="21"/>
        </w:rPr>
      </w:pPr>
      <w:r>
        <w:rPr>
          <w:rFonts w:hint="eastAsia"/>
          <w:szCs w:val="21"/>
        </w:rPr>
        <w:t>3.1依据标准</w:t>
      </w:r>
    </w:p>
    <w:p w14:paraId="05B987E7">
      <w:pPr>
        <w:snapToGrid w:val="0"/>
        <w:spacing w:line="440" w:lineRule="exact"/>
        <w:ind w:firstLine="420" w:firstLineChars="200"/>
        <w:rPr>
          <w:rFonts w:hint="eastAsia"/>
          <w:szCs w:val="21"/>
        </w:rPr>
      </w:pPr>
      <w:r>
        <w:rPr>
          <w:rFonts w:hint="eastAsia"/>
          <w:szCs w:val="21"/>
        </w:rPr>
        <w:t>QB/T 1333—2018 背提包</w:t>
      </w:r>
    </w:p>
    <w:p w14:paraId="7D9FD24B">
      <w:pPr>
        <w:snapToGrid w:val="0"/>
        <w:spacing w:line="440" w:lineRule="exact"/>
        <w:ind w:firstLine="359" w:firstLineChars="171"/>
        <w:rPr>
          <w:rFonts w:hint="eastAsia"/>
          <w:szCs w:val="21"/>
        </w:rPr>
      </w:pPr>
      <w:r>
        <w:rPr>
          <w:rFonts w:hint="eastAsia"/>
          <w:szCs w:val="21"/>
        </w:rPr>
        <w:t>现行有效的企业标准、团体标准、地方标准及产品明示质量要求</w:t>
      </w:r>
    </w:p>
    <w:p w14:paraId="7FBB7813">
      <w:pPr>
        <w:snapToGrid w:val="0"/>
        <w:spacing w:line="440" w:lineRule="exact"/>
        <w:rPr>
          <w:szCs w:val="21"/>
        </w:rPr>
      </w:pPr>
      <w:r>
        <w:rPr>
          <w:rFonts w:hint="eastAsia"/>
          <w:szCs w:val="21"/>
        </w:rPr>
        <w:t>3.2判定原则</w:t>
      </w:r>
    </w:p>
    <w:p w14:paraId="2D839E43">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w:t>
      </w:r>
      <w:r>
        <w:rPr>
          <w:rFonts w:hint="eastAsia"/>
          <w:szCs w:val="21"/>
        </w:rPr>
        <w:t>所检项目未发现不</w:t>
      </w:r>
      <w:r>
        <w:rPr>
          <w:szCs w:val="21"/>
        </w:rPr>
        <w:t>合格</w:t>
      </w:r>
      <w:r>
        <w:rPr>
          <w:rFonts w:hint="eastAsia" w:ascii="宋体" w:hAnsi="宋体"/>
          <w:szCs w:val="21"/>
        </w:rPr>
        <w:t>；检验项目中任一项或一项以上不合格，判定为被抽查产品不合格。</w:t>
      </w:r>
    </w:p>
    <w:p w14:paraId="67EB60C9">
      <w:pPr>
        <w:snapToGrid w:val="0"/>
        <w:spacing w:line="440" w:lineRule="exact"/>
        <w:ind w:firstLine="417"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14:paraId="0A88E4DF">
      <w:pPr>
        <w:snapToGrid w:val="0"/>
        <w:spacing w:line="440" w:lineRule="exact"/>
        <w:ind w:firstLine="417" w:firstLineChars="199"/>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14:paraId="48490476">
      <w:pPr>
        <w:snapToGrid w:val="0"/>
        <w:spacing w:line="440" w:lineRule="exact"/>
        <w:ind w:firstLine="417" w:firstLineChars="199"/>
        <w:rPr>
          <w:rFonts w:ascii="宋体" w:hAnsi="宋体"/>
          <w:szCs w:val="21"/>
        </w:rPr>
      </w:pPr>
      <w:r>
        <w:rPr>
          <w:rFonts w:hint="eastAsia" w:ascii="宋体" w:hAnsi="宋体"/>
          <w:szCs w:val="21"/>
        </w:rPr>
        <w:t>若被检产品明示的质量要求低于或包含本细则中检验项目依据的推荐性标准要求时，应以被检产品明示的质量要求判定。</w:t>
      </w:r>
    </w:p>
    <w:p w14:paraId="6DFEBBAF">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14:paraId="77B0A349">
      <w:pPr>
        <w:snapToGrid w:val="0"/>
        <w:spacing w:line="440" w:lineRule="exact"/>
        <w:ind w:firstLine="417" w:firstLineChars="199"/>
        <w:rPr>
          <w:szCs w:val="21"/>
        </w:rPr>
      </w:pPr>
      <w:r>
        <w:rPr>
          <w:rFonts w:hint="eastAsia" w:ascii="宋体" w:hAnsi="宋体"/>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4" w:right="1361" w:bottom="1361" w:left="1588" w:header="851" w:footer="1191" w:gutter="0"/>
      <w:paperSrc/>
      <w:pgNumType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6F64DD4-731B-40C7-8BC9-53DA836575D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D172DA93-1B85-471D-A466-9CD8D49AA0D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EEFA6">
    <w:pPr>
      <w:pStyle w:val="4"/>
      <w:keepNext w:val="0"/>
      <w:keepLines w:val="0"/>
      <w:pageBreakBefore w:val="0"/>
      <w:widowControl w:val="0"/>
      <w:kinsoku/>
      <w:wordWrap/>
      <w:overflowPunct/>
      <w:topLinePunct w:val="0"/>
      <w:autoSpaceDE/>
      <w:autoSpaceDN/>
      <w:bidi w:val="0"/>
      <w:adjustRightInd/>
      <w:snapToGrid w:val="0"/>
      <w:ind w:left="315" w:leftChars="150" w:right="315" w:rightChars="150"/>
      <w:textAlignment w:val="auto"/>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4441C5F">
                          <w:pPr>
                            <w:pStyle w:val="4"/>
                          </w:pPr>
                          <w:r>
                            <w:fldChar w:fldCharType="begin"/>
                          </w:r>
                          <w:r>
                            <w:instrText xml:space="preserve"> PAGE  \* MERGEFORMAT </w:instrText>
                          </w:r>
                          <w:r>
                            <w:fldChar w:fldCharType="separate"/>
                          </w:r>
                          <w:r>
                            <w:t>49</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C9umys5gEA&#10;AMgDAAAOAAAAAAAAAAEAIAAAACIBAABkcnMvZTJvRG9jLnhtbFBLBQYAAAAABgAGAFkBAAB6BQAA&#10;AAA=&#10;">
              <v:fill on="f" focussize="0,0"/>
              <v:stroke on="f" weight="1.25pt"/>
              <v:imagedata o:title=""/>
              <o:lock v:ext="edit" aspectratio="f"/>
              <v:textbox inset="0mm,0mm,0mm,0mm" style="mso-fit-shape-to-text:t;">
                <w:txbxContent>
                  <w:p w14:paraId="54441C5F">
                    <w:pPr>
                      <w:pStyle w:val="4"/>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83DD8">
    <w:pPr>
      <w:pStyle w:val="4"/>
      <w:keepNext w:val="0"/>
      <w:keepLines w:val="0"/>
      <w:pageBreakBefore w:val="0"/>
      <w:widowControl w:val="0"/>
      <w:kinsoku/>
      <w:wordWrap/>
      <w:overflowPunct/>
      <w:topLinePunct w:val="0"/>
      <w:autoSpaceDE/>
      <w:autoSpaceDN/>
      <w:bidi w:val="0"/>
      <w:adjustRightInd/>
      <w:snapToGrid w:val="0"/>
      <w:ind w:left="315" w:leftChars="150" w:right="315" w:rightChars="150"/>
      <w:textAlignment w:val="auto"/>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8BA5807">
                          <w:pPr>
                            <w:pStyle w:val="4"/>
                          </w:pPr>
                          <w:r>
                            <w:fldChar w:fldCharType="begin"/>
                          </w:r>
                          <w:r>
                            <w:instrText xml:space="preserve"> PAGE  \* MERGEFORMAT </w:instrText>
                          </w:r>
                          <w:r>
                            <w:fldChar w:fldCharType="separate"/>
                          </w:r>
                          <w:r>
                            <w:t>50</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AYAKZW5gEA&#10;AMgDAAAOAAAAAAAAAAEAIAAAACIBAABkcnMvZTJvRG9jLnhtbFBLBQYAAAAABgAGAFkBAAB6BQAA&#10;AAA=&#10;">
              <v:fill on="f" focussize="0,0"/>
              <v:stroke on="f" weight="1.25pt"/>
              <v:imagedata o:title=""/>
              <o:lock v:ext="edit" aspectratio="f"/>
              <v:textbox inset="0mm,0mm,0mm,0mm" style="mso-fit-shape-to-text:t;">
                <w:txbxContent>
                  <w:p w14:paraId="38BA5807">
                    <w:pPr>
                      <w:pStyle w:val="4"/>
                    </w:pPr>
                    <w:r>
                      <w:fldChar w:fldCharType="begin"/>
                    </w:r>
                    <w:r>
                      <w:instrText xml:space="preserve"> PAGE  \* MERGEFORMAT </w:instrText>
                    </w:r>
                    <w:r>
                      <w:fldChar w:fldCharType="separate"/>
                    </w:r>
                    <w:r>
                      <w:t>50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4237E">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hM2Q5ZGY0OGJmMWQxYTFkN2E3ODM3MDA5YTk2ZmEifQ=="/>
  </w:docVars>
  <w:rsids>
    <w:rsidRoot w:val="00172A27"/>
    <w:rsid w:val="00032471"/>
    <w:rsid w:val="00051A44"/>
    <w:rsid w:val="00081CBD"/>
    <w:rsid w:val="000976DE"/>
    <w:rsid w:val="001809DD"/>
    <w:rsid w:val="001A16A1"/>
    <w:rsid w:val="00232530"/>
    <w:rsid w:val="00253624"/>
    <w:rsid w:val="00273BD9"/>
    <w:rsid w:val="002C3B6B"/>
    <w:rsid w:val="002D7F8A"/>
    <w:rsid w:val="002E0D1D"/>
    <w:rsid w:val="002F2187"/>
    <w:rsid w:val="003203A3"/>
    <w:rsid w:val="0036409B"/>
    <w:rsid w:val="00365CBE"/>
    <w:rsid w:val="003A7D30"/>
    <w:rsid w:val="003C388C"/>
    <w:rsid w:val="003E61BF"/>
    <w:rsid w:val="004056CF"/>
    <w:rsid w:val="004104AC"/>
    <w:rsid w:val="00445E86"/>
    <w:rsid w:val="00474E04"/>
    <w:rsid w:val="004B4156"/>
    <w:rsid w:val="004D0C5A"/>
    <w:rsid w:val="004E1396"/>
    <w:rsid w:val="00535365"/>
    <w:rsid w:val="00563EBC"/>
    <w:rsid w:val="00583923"/>
    <w:rsid w:val="005B200C"/>
    <w:rsid w:val="00606648"/>
    <w:rsid w:val="006101E6"/>
    <w:rsid w:val="006544EF"/>
    <w:rsid w:val="00671578"/>
    <w:rsid w:val="00680204"/>
    <w:rsid w:val="0068039E"/>
    <w:rsid w:val="006819A5"/>
    <w:rsid w:val="006E1171"/>
    <w:rsid w:val="006F0971"/>
    <w:rsid w:val="00711D89"/>
    <w:rsid w:val="0072334C"/>
    <w:rsid w:val="00730457"/>
    <w:rsid w:val="00731B07"/>
    <w:rsid w:val="007E74F6"/>
    <w:rsid w:val="00842713"/>
    <w:rsid w:val="00857BE2"/>
    <w:rsid w:val="008843EB"/>
    <w:rsid w:val="00895BEA"/>
    <w:rsid w:val="008A3497"/>
    <w:rsid w:val="008B750D"/>
    <w:rsid w:val="00917A54"/>
    <w:rsid w:val="009A087B"/>
    <w:rsid w:val="009E2D92"/>
    <w:rsid w:val="00A019F3"/>
    <w:rsid w:val="00A43553"/>
    <w:rsid w:val="00AC5391"/>
    <w:rsid w:val="00B05550"/>
    <w:rsid w:val="00B35E91"/>
    <w:rsid w:val="00BC6789"/>
    <w:rsid w:val="00BF2B8C"/>
    <w:rsid w:val="00C26074"/>
    <w:rsid w:val="00C75C1D"/>
    <w:rsid w:val="00C83B0A"/>
    <w:rsid w:val="00C85E37"/>
    <w:rsid w:val="00CD648C"/>
    <w:rsid w:val="00CE10B5"/>
    <w:rsid w:val="00CE1E0C"/>
    <w:rsid w:val="00CE277E"/>
    <w:rsid w:val="00D56867"/>
    <w:rsid w:val="00D649B1"/>
    <w:rsid w:val="00D7022F"/>
    <w:rsid w:val="00DA79D4"/>
    <w:rsid w:val="00DC7EB1"/>
    <w:rsid w:val="00DD3588"/>
    <w:rsid w:val="00DD78D3"/>
    <w:rsid w:val="00DE0735"/>
    <w:rsid w:val="00E02A7F"/>
    <w:rsid w:val="00E044A5"/>
    <w:rsid w:val="00E07880"/>
    <w:rsid w:val="00E105E7"/>
    <w:rsid w:val="00E12EEF"/>
    <w:rsid w:val="00E82621"/>
    <w:rsid w:val="00E94045"/>
    <w:rsid w:val="00EA44BB"/>
    <w:rsid w:val="00EA44CE"/>
    <w:rsid w:val="00EF11E8"/>
    <w:rsid w:val="00F77C9A"/>
    <w:rsid w:val="00FA3AAC"/>
    <w:rsid w:val="00FB576C"/>
    <w:rsid w:val="00FD2AA6"/>
    <w:rsid w:val="00FD2B5F"/>
    <w:rsid w:val="00FE7E8A"/>
    <w:rsid w:val="1A531BB0"/>
    <w:rsid w:val="27F5090A"/>
    <w:rsid w:val="32E46300"/>
    <w:rsid w:val="33084E74"/>
    <w:rsid w:val="3A0D30D4"/>
    <w:rsid w:val="4F454DBC"/>
    <w:rsid w:val="6D7802ED"/>
    <w:rsid w:val="6F523F8D"/>
    <w:rsid w:val="7AB97ADE"/>
    <w:rsid w:val="F177BD5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7">
    <w:name w:val="Default Paragraph Font"/>
    <w:semiHidden/>
    <w:uiPriority w:val="0"/>
  </w:style>
  <w:style w:type="table" w:default="1" w:styleId="6">
    <w:name w:val="Normal Table"/>
    <w:unhideWhenUsed/>
    <w:uiPriority w:val="99"/>
    <w:tblPr>
      <w:tblStyle w:val="6"/>
      <w:tblCellMar>
        <w:top w:w="0" w:type="dxa"/>
        <w:left w:w="108" w:type="dxa"/>
        <w:bottom w:w="0" w:type="dxa"/>
        <w:right w:w="108" w:type="dxa"/>
      </w:tblCellMar>
    </w:tblPr>
  </w:style>
  <w:style w:type="paragraph" w:styleId="2">
    <w:name w:val="annotation text"/>
    <w:basedOn w:val="1"/>
    <w:link w:val="10"/>
    <w:unhideWhenUsed/>
    <w:uiPriority w:val="99"/>
    <w:pPr>
      <w:jc w:val="left"/>
    </w:pPr>
  </w:style>
  <w:style w:type="paragraph" w:styleId="3">
    <w:name w:val="Balloon Text"/>
    <w:basedOn w:val="1"/>
    <w:link w:val="11"/>
    <w:unhideWhenUsed/>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8">
    <w:name w:val="page number"/>
    <w:uiPriority w:val="0"/>
  </w:style>
  <w:style w:type="character" w:styleId="9">
    <w:name w:val="annotation reference"/>
    <w:unhideWhenUsed/>
    <w:uiPriority w:val="99"/>
    <w:rPr>
      <w:sz w:val="21"/>
      <w:szCs w:val="21"/>
    </w:rPr>
  </w:style>
  <w:style w:type="character" w:customStyle="1" w:styleId="10">
    <w:name w:val="批注文字 字符"/>
    <w:link w:val="2"/>
    <w:uiPriority w:val="99"/>
    <w:rPr>
      <w:kern w:val="2"/>
      <w:sz w:val="21"/>
      <w:szCs w:val="24"/>
    </w:rPr>
  </w:style>
  <w:style w:type="character" w:customStyle="1" w:styleId="11">
    <w:name w:val="批注框文本 字符"/>
    <w:link w:val="3"/>
    <w:semiHidden/>
    <w:uiPriority w:val="99"/>
    <w:rPr>
      <w:kern w:val="2"/>
      <w:sz w:val="18"/>
      <w:szCs w:val="18"/>
    </w:rPr>
  </w:style>
  <w:style w:type="character" w:customStyle="1" w:styleId="12">
    <w:name w:val="页脚 字符"/>
    <w:link w:val="4"/>
    <w:uiPriority w:val="99"/>
    <w:rPr>
      <w:kern w:val="2"/>
      <w:sz w:val="18"/>
      <w:szCs w:val="18"/>
    </w:rPr>
  </w:style>
  <w:style w:type="character" w:customStyle="1" w:styleId="13">
    <w:name w:val="页眉 字符"/>
    <w:link w:val="5"/>
    <w:semiHidden/>
    <w:uiPriority w:val="99"/>
    <w:rPr>
      <w:kern w:val="2"/>
      <w:sz w:val="18"/>
      <w:szCs w:val="18"/>
    </w:rPr>
  </w:style>
  <w:style w:type="paragraph" w:customStyle="1" w:styleId="14">
    <w:name w:val="列出段落1"/>
    <w:basedOn w:val="1"/>
    <w:qFormat/>
    <w:uiPriority w:val="34"/>
    <w:pPr>
      <w:ind w:firstLine="420" w:firstLineChars="200"/>
    </w:pPr>
    <w:rPr>
      <w:rFonts w:ascii="Calibri" w:hAnsi="Calibri"/>
      <w:szCs w:val="22"/>
    </w:rPr>
  </w:style>
  <w:style w:type="character" w:customStyle="1" w:styleId="15">
    <w:name w:val="批注文字 Char"/>
    <w:semiHidden/>
    <w:uiPriority w:val="99"/>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681</Words>
  <Characters>863</Characters>
  <Lines>7</Lines>
  <Paragraphs>2</Paragraphs>
  <TotalTime>1</TotalTime>
  <ScaleCrop>false</ScaleCrop>
  <LinksUpToDate>false</LinksUpToDate>
  <CharactersWithSpaces>885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2024-02-02T14:04:00Z</dcterms:created>
  <dc:creator>oa</dc:creator>
  <cp:lastModifiedBy>79887</cp:lastModifiedBy>
  <cp:lastPrinted>2024-02-01T18:39:00Z</cp:lastPrinted>
  <dcterms:modified xsi:type="dcterms:W3CDTF">2026-07-08T06:09:59Z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E84D6839E642461FB963430E330699CA_13</vt:lpwstr>
  </property>
  <property fmtid="{D5CDD505-2E9C-101B-9397-08002B2CF9AE}" pid="4" name="KSOTemplateDocerSaveRecord">
    <vt:lpwstr>eyJoZGlkIjoiNWEzZWYzNzQ3MWRiODJkZTY0ZjZjZDgwMGNiM2QwNGQiLCJ1c2VySWQiOiI1MjIwMzE2NjcifQ==</vt:lpwstr>
  </property>
</Properties>
</file>