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FF7C1">
      <w:pPr>
        <w:spacing w:line="440" w:lineRule="exact"/>
        <w:jc w:val="center"/>
        <w:rPr>
          <w:rFonts w:eastAsia="方正小标宋简体"/>
          <w:color w:val="000000"/>
          <w:sz w:val="32"/>
          <w:szCs w:val="32"/>
        </w:rPr>
      </w:pPr>
      <w:bookmarkStart w:id="0" w:name="_GoBack"/>
      <w:bookmarkEnd w:id="0"/>
      <w:r>
        <w:rPr>
          <w:rFonts w:hint="eastAsia" w:eastAsia="方正小标宋简体"/>
          <w:color w:val="000000"/>
          <w:sz w:val="32"/>
          <w:szCs w:val="32"/>
        </w:rPr>
        <w:t>重庆市衬衫产品质量监督抽查实施细则</w:t>
      </w:r>
    </w:p>
    <w:p w14:paraId="717E37C6">
      <w:pPr>
        <w:spacing w:line="440" w:lineRule="exact"/>
        <w:jc w:val="center"/>
        <w:rPr>
          <w:rFonts w:eastAsia="方正小标宋简体"/>
          <w:color w:val="000000"/>
          <w:sz w:val="32"/>
          <w:szCs w:val="32"/>
        </w:rPr>
      </w:pPr>
      <w:r>
        <w:rPr>
          <w:rFonts w:hint="eastAsia" w:eastAsia="方正小标宋简体"/>
          <w:color w:val="000000"/>
          <w:sz w:val="32"/>
          <w:szCs w:val="32"/>
        </w:rPr>
        <w:t>（202</w:t>
      </w:r>
      <w:r>
        <w:rPr>
          <w:rFonts w:hint="eastAsia" w:eastAsia="方正小标宋简体"/>
          <w:color w:val="000000"/>
          <w:sz w:val="32"/>
          <w:szCs w:val="32"/>
          <w:lang w:val="en-US" w:eastAsia="zh-CN"/>
        </w:rPr>
        <w:t>6</w:t>
      </w:r>
      <w:r>
        <w:rPr>
          <w:rFonts w:hint="eastAsia" w:eastAsia="方正小标宋简体"/>
          <w:color w:val="000000"/>
          <w:sz w:val="32"/>
          <w:szCs w:val="32"/>
        </w:rPr>
        <w:t>年版）</w:t>
      </w:r>
    </w:p>
    <w:p w14:paraId="5751EDDA">
      <w:pPr>
        <w:spacing w:line="440" w:lineRule="exact"/>
        <w:rPr>
          <w:color w:val="000000"/>
          <w:szCs w:val="21"/>
        </w:rPr>
      </w:pPr>
    </w:p>
    <w:p w14:paraId="06751C7E">
      <w:pPr>
        <w:adjustRightInd w:val="0"/>
        <w:snapToGrid w:val="0"/>
        <w:spacing w:line="440" w:lineRule="exact"/>
        <w:rPr>
          <w:rFonts w:eastAsia="黑体"/>
          <w:color w:val="000000"/>
          <w:szCs w:val="21"/>
        </w:rPr>
      </w:pPr>
      <w:r>
        <w:rPr>
          <w:rFonts w:eastAsia="黑体"/>
          <w:color w:val="000000"/>
          <w:szCs w:val="21"/>
        </w:rPr>
        <w:t>1 抽样方法</w:t>
      </w:r>
    </w:p>
    <w:p w14:paraId="24C6982E">
      <w:pPr>
        <w:adjustRightInd w:val="0"/>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E532DFD">
      <w:pPr>
        <w:adjustRightInd w:val="0"/>
        <w:snapToGrid w:val="0"/>
        <w:spacing w:line="440" w:lineRule="exact"/>
        <w:ind w:firstLine="420" w:firstLineChars="200"/>
        <w:rPr>
          <w:color w:val="000000"/>
          <w:szCs w:val="21"/>
        </w:rPr>
      </w:pPr>
      <w:r>
        <w:rPr>
          <w:color w:val="000000"/>
          <w:szCs w:val="21"/>
        </w:rPr>
        <w:t>随机数一般可使用随机数表等方法产生。</w:t>
      </w:r>
    </w:p>
    <w:p w14:paraId="38D31E04">
      <w:pPr>
        <w:snapToGrid w:val="0"/>
        <w:spacing w:line="440" w:lineRule="exact"/>
        <w:ind w:firstLine="420" w:firstLineChars="200"/>
        <w:rPr>
          <w:szCs w:val="21"/>
        </w:rPr>
      </w:pPr>
      <w:r>
        <w:rPr>
          <w:szCs w:val="21"/>
        </w:rPr>
        <w:t>每批次抽</w:t>
      </w:r>
      <w:r>
        <w:rPr>
          <w:rFonts w:hint="eastAsia"/>
          <w:szCs w:val="21"/>
        </w:rPr>
        <w:t>样数量</w:t>
      </w:r>
      <w:r>
        <w:rPr>
          <w:szCs w:val="21"/>
        </w:rPr>
        <w:t>2件，其中1件作为检验样品，1件作为备用样品。</w:t>
      </w:r>
    </w:p>
    <w:p w14:paraId="6C618F06">
      <w:pPr>
        <w:spacing w:line="440" w:lineRule="exact"/>
        <w:rPr>
          <w:color w:val="000000"/>
          <w:szCs w:val="21"/>
        </w:rPr>
      </w:pPr>
    </w:p>
    <w:p w14:paraId="65D57EE9">
      <w:pPr>
        <w:adjustRightInd w:val="0"/>
        <w:snapToGrid w:val="0"/>
        <w:spacing w:line="440" w:lineRule="exact"/>
        <w:rPr>
          <w:rFonts w:hint="eastAsia" w:eastAsia="黑体"/>
          <w:color w:val="000000"/>
          <w:szCs w:val="21"/>
        </w:rPr>
      </w:pPr>
      <w:r>
        <w:rPr>
          <w:rFonts w:eastAsia="黑体"/>
          <w:color w:val="000000"/>
          <w:szCs w:val="21"/>
        </w:rPr>
        <w:t>2 检验依据</w:t>
      </w:r>
    </w:p>
    <w:p w14:paraId="1A627F06">
      <w:pPr>
        <w:adjustRightInd w:val="0"/>
        <w:snapToGrid w:val="0"/>
        <w:spacing w:line="440" w:lineRule="exact"/>
        <w:rPr>
          <w:rFonts w:eastAsia="黑体"/>
          <w:color w:val="000000"/>
          <w:szCs w:val="21"/>
        </w:rPr>
      </w:pP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1"/>
        <w:gridCol w:w="3866"/>
        <w:gridCol w:w="3747"/>
      </w:tblGrid>
      <w:tr w14:paraId="065F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40" w:hRule="atLeast"/>
          <w:tblHeader/>
          <w:jc w:val="center"/>
        </w:trPr>
        <w:tc>
          <w:tcPr>
            <w:tcW w:w="851" w:type="pct"/>
            <w:noWrap w:val="0"/>
            <w:vAlign w:val="center"/>
          </w:tcPr>
          <w:p w14:paraId="308F4E7B">
            <w:pPr>
              <w:adjustRightInd w:val="0"/>
              <w:snapToGrid w:val="0"/>
              <w:jc w:val="center"/>
              <w:rPr>
                <w:bCs/>
                <w:color w:val="000000"/>
                <w:szCs w:val="21"/>
              </w:rPr>
            </w:pPr>
            <w:r>
              <w:rPr>
                <w:bCs/>
                <w:color w:val="000000"/>
                <w:szCs w:val="21"/>
              </w:rPr>
              <w:t>序号</w:t>
            </w:r>
          </w:p>
        </w:tc>
        <w:tc>
          <w:tcPr>
            <w:tcW w:w="2107" w:type="pct"/>
            <w:noWrap w:val="0"/>
            <w:vAlign w:val="center"/>
          </w:tcPr>
          <w:p w14:paraId="03158D4B">
            <w:pPr>
              <w:adjustRightInd w:val="0"/>
              <w:snapToGrid w:val="0"/>
              <w:jc w:val="center"/>
              <w:rPr>
                <w:bCs/>
                <w:color w:val="000000"/>
                <w:szCs w:val="21"/>
              </w:rPr>
            </w:pPr>
            <w:r>
              <w:rPr>
                <w:bCs/>
                <w:color w:val="000000"/>
                <w:szCs w:val="21"/>
              </w:rPr>
              <w:t>检验项目</w:t>
            </w:r>
          </w:p>
        </w:tc>
        <w:tc>
          <w:tcPr>
            <w:tcW w:w="2042" w:type="pct"/>
            <w:noWrap w:val="0"/>
            <w:vAlign w:val="top"/>
          </w:tcPr>
          <w:p w14:paraId="783DEBF0">
            <w:pPr>
              <w:adjustRightInd w:val="0"/>
              <w:snapToGrid w:val="0"/>
              <w:jc w:val="center"/>
              <w:rPr>
                <w:bCs/>
                <w:color w:val="000000"/>
                <w:szCs w:val="21"/>
              </w:rPr>
            </w:pPr>
            <w:r>
              <w:rPr>
                <w:bCs/>
                <w:color w:val="000000"/>
                <w:szCs w:val="21"/>
              </w:rPr>
              <w:t>检验方法</w:t>
            </w:r>
          </w:p>
        </w:tc>
      </w:tr>
      <w:tr w14:paraId="48BA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40" w:hRule="atLeast"/>
          <w:jc w:val="center"/>
        </w:trPr>
        <w:tc>
          <w:tcPr>
            <w:tcW w:w="851" w:type="pct"/>
            <w:noWrap w:val="0"/>
            <w:vAlign w:val="center"/>
          </w:tcPr>
          <w:p w14:paraId="0B1E2A0D">
            <w:pPr>
              <w:adjustRightInd w:val="0"/>
              <w:snapToGrid w:val="0"/>
              <w:jc w:val="center"/>
              <w:rPr>
                <w:color w:val="000000"/>
                <w:szCs w:val="21"/>
              </w:rPr>
            </w:pPr>
            <w:r>
              <w:rPr>
                <w:color w:val="000000"/>
                <w:szCs w:val="21"/>
              </w:rPr>
              <w:t>1</w:t>
            </w:r>
          </w:p>
        </w:tc>
        <w:tc>
          <w:tcPr>
            <w:tcW w:w="2107" w:type="pct"/>
            <w:noWrap w:val="0"/>
            <w:vAlign w:val="center"/>
          </w:tcPr>
          <w:p w14:paraId="1BA02B4A">
            <w:pPr>
              <w:adjustRightInd w:val="0"/>
              <w:snapToGrid w:val="0"/>
              <w:jc w:val="center"/>
              <w:rPr>
                <w:color w:val="000000"/>
                <w:szCs w:val="21"/>
              </w:rPr>
            </w:pPr>
            <w:r>
              <w:rPr>
                <w:color w:val="000000"/>
                <w:szCs w:val="21"/>
              </w:rPr>
              <w:t>甲醛含量</w:t>
            </w:r>
          </w:p>
        </w:tc>
        <w:tc>
          <w:tcPr>
            <w:tcW w:w="2042" w:type="pct"/>
            <w:noWrap w:val="0"/>
            <w:vAlign w:val="center"/>
          </w:tcPr>
          <w:p w14:paraId="0DA7FC8B">
            <w:pPr>
              <w:adjustRightInd w:val="0"/>
              <w:snapToGrid w:val="0"/>
              <w:jc w:val="center"/>
              <w:rPr>
                <w:color w:val="000000"/>
                <w:szCs w:val="21"/>
              </w:rPr>
            </w:pPr>
            <w:r>
              <w:rPr>
                <w:color w:val="000000"/>
                <w:szCs w:val="21"/>
              </w:rPr>
              <w:t>GB/T 2912.1—2009</w:t>
            </w:r>
          </w:p>
        </w:tc>
      </w:tr>
      <w:tr w14:paraId="22A6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40" w:hRule="atLeast"/>
          <w:jc w:val="center"/>
        </w:trPr>
        <w:tc>
          <w:tcPr>
            <w:tcW w:w="851" w:type="pct"/>
            <w:noWrap w:val="0"/>
            <w:vAlign w:val="center"/>
          </w:tcPr>
          <w:p w14:paraId="52E05CBD">
            <w:pPr>
              <w:adjustRightInd w:val="0"/>
              <w:snapToGrid w:val="0"/>
              <w:jc w:val="center"/>
              <w:rPr>
                <w:color w:val="000000"/>
                <w:szCs w:val="21"/>
              </w:rPr>
            </w:pPr>
            <w:r>
              <w:rPr>
                <w:color w:val="000000"/>
                <w:szCs w:val="21"/>
              </w:rPr>
              <w:t>2</w:t>
            </w:r>
          </w:p>
        </w:tc>
        <w:tc>
          <w:tcPr>
            <w:tcW w:w="2107" w:type="pct"/>
            <w:noWrap w:val="0"/>
            <w:vAlign w:val="center"/>
          </w:tcPr>
          <w:p w14:paraId="45EE7C37">
            <w:pPr>
              <w:adjustRightInd w:val="0"/>
              <w:snapToGrid w:val="0"/>
              <w:jc w:val="center"/>
              <w:rPr>
                <w:color w:val="000000"/>
                <w:szCs w:val="21"/>
              </w:rPr>
            </w:pPr>
            <w:r>
              <w:rPr>
                <w:color w:val="000000"/>
                <w:szCs w:val="21"/>
              </w:rPr>
              <w:t>pH值</w:t>
            </w:r>
          </w:p>
        </w:tc>
        <w:tc>
          <w:tcPr>
            <w:tcW w:w="2042" w:type="pct"/>
            <w:noWrap w:val="0"/>
            <w:vAlign w:val="center"/>
          </w:tcPr>
          <w:p w14:paraId="37A17D0C">
            <w:pPr>
              <w:adjustRightInd w:val="0"/>
              <w:snapToGrid w:val="0"/>
              <w:jc w:val="center"/>
              <w:rPr>
                <w:color w:val="000000"/>
                <w:szCs w:val="21"/>
              </w:rPr>
            </w:pPr>
            <w:r>
              <w:rPr>
                <w:color w:val="000000"/>
                <w:szCs w:val="21"/>
              </w:rPr>
              <w:t>GB/T 7573—2009</w:t>
            </w:r>
          </w:p>
        </w:tc>
      </w:tr>
      <w:tr w14:paraId="0698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40" w:hRule="atLeast"/>
          <w:jc w:val="center"/>
        </w:trPr>
        <w:tc>
          <w:tcPr>
            <w:tcW w:w="851" w:type="pct"/>
            <w:noWrap w:val="0"/>
            <w:vAlign w:val="center"/>
          </w:tcPr>
          <w:p w14:paraId="4CFB443A">
            <w:pPr>
              <w:adjustRightInd w:val="0"/>
              <w:snapToGrid w:val="0"/>
              <w:jc w:val="center"/>
              <w:rPr>
                <w:color w:val="000000"/>
                <w:szCs w:val="21"/>
              </w:rPr>
            </w:pPr>
            <w:r>
              <w:rPr>
                <w:color w:val="000000"/>
                <w:szCs w:val="21"/>
              </w:rPr>
              <w:t>3</w:t>
            </w:r>
          </w:p>
        </w:tc>
        <w:tc>
          <w:tcPr>
            <w:tcW w:w="2107" w:type="pct"/>
            <w:noWrap w:val="0"/>
            <w:vAlign w:val="center"/>
          </w:tcPr>
          <w:p w14:paraId="135671AF">
            <w:pPr>
              <w:adjustRightInd w:val="0"/>
              <w:snapToGrid w:val="0"/>
              <w:jc w:val="center"/>
              <w:rPr>
                <w:color w:val="000000"/>
                <w:szCs w:val="21"/>
              </w:rPr>
            </w:pPr>
            <w:r>
              <w:rPr>
                <w:color w:val="000000"/>
                <w:szCs w:val="21"/>
              </w:rPr>
              <w:t>可分解致癌芳香胺染料</w:t>
            </w:r>
          </w:p>
        </w:tc>
        <w:tc>
          <w:tcPr>
            <w:tcW w:w="2042" w:type="pct"/>
            <w:noWrap w:val="0"/>
            <w:vAlign w:val="center"/>
          </w:tcPr>
          <w:p w14:paraId="42B82DB4">
            <w:pPr>
              <w:adjustRightInd w:val="0"/>
              <w:snapToGrid w:val="0"/>
              <w:jc w:val="center"/>
              <w:rPr>
                <w:color w:val="000000"/>
                <w:szCs w:val="21"/>
              </w:rPr>
            </w:pPr>
            <w:r>
              <w:rPr>
                <w:color w:val="000000"/>
                <w:szCs w:val="21"/>
              </w:rPr>
              <w:t>GB/T 17592—2024</w:t>
            </w:r>
          </w:p>
          <w:p w14:paraId="02908D7E">
            <w:pPr>
              <w:adjustRightInd w:val="0"/>
              <w:snapToGrid w:val="0"/>
              <w:jc w:val="center"/>
              <w:rPr>
                <w:color w:val="000000"/>
                <w:szCs w:val="21"/>
              </w:rPr>
            </w:pPr>
            <w:r>
              <w:rPr>
                <w:color w:val="000000"/>
                <w:szCs w:val="21"/>
              </w:rPr>
              <w:t>GB/T 23344—2009</w:t>
            </w:r>
          </w:p>
        </w:tc>
      </w:tr>
      <w:tr w14:paraId="322A8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40" w:hRule="atLeast"/>
          <w:jc w:val="center"/>
        </w:trPr>
        <w:tc>
          <w:tcPr>
            <w:tcW w:w="851" w:type="pct"/>
            <w:noWrap w:val="0"/>
            <w:vAlign w:val="center"/>
          </w:tcPr>
          <w:p w14:paraId="67C43BD3">
            <w:pPr>
              <w:adjustRightInd w:val="0"/>
              <w:snapToGrid w:val="0"/>
              <w:jc w:val="center"/>
              <w:rPr>
                <w:color w:val="000000"/>
                <w:szCs w:val="21"/>
              </w:rPr>
            </w:pPr>
            <w:r>
              <w:rPr>
                <w:color w:val="000000"/>
                <w:szCs w:val="21"/>
              </w:rPr>
              <w:t>4</w:t>
            </w:r>
          </w:p>
        </w:tc>
        <w:tc>
          <w:tcPr>
            <w:tcW w:w="2107" w:type="pct"/>
            <w:noWrap w:val="0"/>
            <w:vAlign w:val="center"/>
          </w:tcPr>
          <w:p w14:paraId="68F73BF3">
            <w:pPr>
              <w:adjustRightInd w:val="0"/>
              <w:snapToGrid w:val="0"/>
              <w:jc w:val="center"/>
              <w:rPr>
                <w:color w:val="000000"/>
                <w:szCs w:val="21"/>
              </w:rPr>
            </w:pPr>
            <w:r>
              <w:rPr>
                <w:color w:val="000000"/>
                <w:szCs w:val="21"/>
              </w:rPr>
              <w:t>耐水色牢度</w:t>
            </w:r>
          </w:p>
        </w:tc>
        <w:tc>
          <w:tcPr>
            <w:tcW w:w="2042" w:type="pct"/>
            <w:noWrap w:val="0"/>
            <w:vAlign w:val="center"/>
          </w:tcPr>
          <w:p w14:paraId="1BD9055D">
            <w:pPr>
              <w:adjustRightInd w:val="0"/>
              <w:snapToGrid w:val="0"/>
              <w:jc w:val="center"/>
              <w:rPr>
                <w:color w:val="000000"/>
                <w:szCs w:val="21"/>
              </w:rPr>
            </w:pPr>
            <w:r>
              <w:rPr>
                <w:color w:val="000000"/>
                <w:szCs w:val="21"/>
              </w:rPr>
              <w:t>GB/T 5713—2013</w:t>
            </w:r>
          </w:p>
        </w:tc>
      </w:tr>
      <w:tr w14:paraId="6C0A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40" w:hRule="atLeast"/>
          <w:jc w:val="center"/>
        </w:trPr>
        <w:tc>
          <w:tcPr>
            <w:tcW w:w="851" w:type="pct"/>
            <w:noWrap w:val="0"/>
            <w:vAlign w:val="center"/>
          </w:tcPr>
          <w:p w14:paraId="0CABE395">
            <w:pPr>
              <w:adjustRightInd w:val="0"/>
              <w:snapToGrid w:val="0"/>
              <w:jc w:val="center"/>
              <w:rPr>
                <w:color w:val="000000"/>
                <w:szCs w:val="21"/>
              </w:rPr>
            </w:pPr>
            <w:r>
              <w:rPr>
                <w:color w:val="000000"/>
                <w:szCs w:val="21"/>
              </w:rPr>
              <w:t>5</w:t>
            </w:r>
          </w:p>
        </w:tc>
        <w:tc>
          <w:tcPr>
            <w:tcW w:w="2107" w:type="pct"/>
            <w:noWrap w:val="0"/>
            <w:vAlign w:val="center"/>
          </w:tcPr>
          <w:p w14:paraId="3DC46A06">
            <w:pPr>
              <w:adjustRightInd w:val="0"/>
              <w:snapToGrid w:val="0"/>
              <w:jc w:val="center"/>
              <w:rPr>
                <w:color w:val="000000"/>
                <w:szCs w:val="21"/>
              </w:rPr>
            </w:pPr>
            <w:r>
              <w:rPr>
                <w:color w:val="000000"/>
                <w:szCs w:val="21"/>
              </w:rPr>
              <w:t>耐酸汗渍色牢度</w:t>
            </w:r>
          </w:p>
        </w:tc>
        <w:tc>
          <w:tcPr>
            <w:tcW w:w="2042" w:type="pct"/>
            <w:noWrap w:val="0"/>
            <w:vAlign w:val="center"/>
          </w:tcPr>
          <w:p w14:paraId="092A78D9">
            <w:pPr>
              <w:adjustRightInd w:val="0"/>
              <w:snapToGrid w:val="0"/>
              <w:jc w:val="center"/>
              <w:rPr>
                <w:color w:val="000000"/>
                <w:szCs w:val="21"/>
              </w:rPr>
            </w:pPr>
            <w:r>
              <w:rPr>
                <w:color w:val="000000"/>
                <w:szCs w:val="21"/>
              </w:rPr>
              <w:t>GB/T 3922—2013</w:t>
            </w:r>
          </w:p>
        </w:tc>
      </w:tr>
      <w:tr w14:paraId="55E06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40" w:hRule="atLeast"/>
          <w:jc w:val="center"/>
        </w:trPr>
        <w:tc>
          <w:tcPr>
            <w:tcW w:w="851" w:type="pct"/>
            <w:noWrap w:val="0"/>
            <w:vAlign w:val="center"/>
          </w:tcPr>
          <w:p w14:paraId="05240EAA">
            <w:pPr>
              <w:adjustRightInd w:val="0"/>
              <w:snapToGrid w:val="0"/>
              <w:jc w:val="center"/>
              <w:rPr>
                <w:color w:val="000000"/>
                <w:szCs w:val="21"/>
              </w:rPr>
            </w:pPr>
            <w:r>
              <w:rPr>
                <w:color w:val="000000"/>
                <w:szCs w:val="21"/>
              </w:rPr>
              <w:t>6</w:t>
            </w:r>
          </w:p>
        </w:tc>
        <w:tc>
          <w:tcPr>
            <w:tcW w:w="2107" w:type="pct"/>
            <w:noWrap w:val="0"/>
            <w:vAlign w:val="center"/>
          </w:tcPr>
          <w:p w14:paraId="252F2A51">
            <w:pPr>
              <w:adjustRightInd w:val="0"/>
              <w:snapToGrid w:val="0"/>
              <w:jc w:val="center"/>
              <w:rPr>
                <w:color w:val="000000"/>
                <w:szCs w:val="21"/>
              </w:rPr>
            </w:pPr>
            <w:r>
              <w:rPr>
                <w:color w:val="000000"/>
                <w:szCs w:val="21"/>
              </w:rPr>
              <w:t>耐碱汗渍色牢度</w:t>
            </w:r>
          </w:p>
        </w:tc>
        <w:tc>
          <w:tcPr>
            <w:tcW w:w="2042" w:type="pct"/>
            <w:noWrap w:val="0"/>
            <w:vAlign w:val="center"/>
          </w:tcPr>
          <w:p w14:paraId="51B61B53">
            <w:pPr>
              <w:adjustRightInd w:val="0"/>
              <w:snapToGrid w:val="0"/>
              <w:jc w:val="center"/>
              <w:rPr>
                <w:color w:val="000000"/>
                <w:szCs w:val="21"/>
              </w:rPr>
            </w:pPr>
            <w:r>
              <w:rPr>
                <w:color w:val="000000"/>
                <w:szCs w:val="21"/>
              </w:rPr>
              <w:t>GB/T 3922—2013</w:t>
            </w:r>
          </w:p>
        </w:tc>
      </w:tr>
      <w:tr w14:paraId="51C4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40" w:hRule="atLeast"/>
          <w:jc w:val="center"/>
        </w:trPr>
        <w:tc>
          <w:tcPr>
            <w:tcW w:w="851" w:type="pct"/>
            <w:noWrap w:val="0"/>
            <w:vAlign w:val="center"/>
          </w:tcPr>
          <w:p w14:paraId="0C093679">
            <w:pPr>
              <w:adjustRightInd w:val="0"/>
              <w:snapToGrid w:val="0"/>
              <w:jc w:val="center"/>
              <w:rPr>
                <w:color w:val="000000"/>
                <w:szCs w:val="21"/>
              </w:rPr>
            </w:pPr>
            <w:r>
              <w:rPr>
                <w:color w:val="000000"/>
                <w:szCs w:val="21"/>
              </w:rPr>
              <w:t>7</w:t>
            </w:r>
          </w:p>
        </w:tc>
        <w:tc>
          <w:tcPr>
            <w:tcW w:w="2107" w:type="pct"/>
            <w:noWrap w:val="0"/>
            <w:vAlign w:val="center"/>
          </w:tcPr>
          <w:p w14:paraId="6E6F0133">
            <w:pPr>
              <w:adjustRightInd w:val="0"/>
              <w:snapToGrid w:val="0"/>
              <w:jc w:val="center"/>
              <w:rPr>
                <w:color w:val="000000"/>
                <w:szCs w:val="21"/>
              </w:rPr>
            </w:pPr>
            <w:r>
              <w:rPr>
                <w:color w:val="000000"/>
                <w:szCs w:val="21"/>
              </w:rPr>
              <w:t>耐干摩擦色牢度</w:t>
            </w:r>
          </w:p>
        </w:tc>
        <w:tc>
          <w:tcPr>
            <w:tcW w:w="2042" w:type="pct"/>
            <w:noWrap w:val="0"/>
            <w:vAlign w:val="center"/>
          </w:tcPr>
          <w:p w14:paraId="363B81AF">
            <w:pPr>
              <w:adjustRightInd w:val="0"/>
              <w:snapToGrid w:val="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GB/T 3920—2008</w:t>
            </w:r>
          </w:p>
        </w:tc>
      </w:tr>
      <w:tr w14:paraId="6F68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40" w:hRule="atLeast"/>
          <w:jc w:val="center"/>
        </w:trPr>
        <w:tc>
          <w:tcPr>
            <w:tcW w:w="851" w:type="pct"/>
            <w:noWrap w:val="0"/>
            <w:vAlign w:val="center"/>
          </w:tcPr>
          <w:p w14:paraId="3744A5F9">
            <w:pPr>
              <w:adjustRightInd w:val="0"/>
              <w:snapToGrid w:val="0"/>
              <w:jc w:val="center"/>
              <w:rPr>
                <w:color w:val="000000"/>
                <w:szCs w:val="21"/>
              </w:rPr>
            </w:pPr>
            <w:r>
              <w:rPr>
                <w:rFonts w:hint="eastAsia"/>
                <w:color w:val="000000"/>
                <w:szCs w:val="21"/>
              </w:rPr>
              <w:t>8</w:t>
            </w:r>
          </w:p>
        </w:tc>
        <w:tc>
          <w:tcPr>
            <w:tcW w:w="2107" w:type="pct"/>
            <w:noWrap w:val="0"/>
            <w:vAlign w:val="center"/>
          </w:tcPr>
          <w:p w14:paraId="56B1D8FD">
            <w:pPr>
              <w:adjustRightInd w:val="0"/>
              <w:snapToGrid w:val="0"/>
              <w:jc w:val="center"/>
              <w:rPr>
                <w:color w:val="000000"/>
                <w:szCs w:val="21"/>
              </w:rPr>
            </w:pPr>
            <w:r>
              <w:rPr>
                <w:color w:val="000000"/>
                <w:szCs w:val="21"/>
              </w:rPr>
              <w:t>纤维含量</w:t>
            </w:r>
          </w:p>
        </w:tc>
        <w:tc>
          <w:tcPr>
            <w:tcW w:w="2042" w:type="pct"/>
            <w:noWrap w:val="0"/>
            <w:vAlign w:val="top"/>
          </w:tcPr>
          <w:p w14:paraId="31BA3E8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01057.1—2007</w:t>
            </w:r>
          </w:p>
          <w:p w14:paraId="0DEA9D3F">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01057.2—2007</w:t>
            </w:r>
          </w:p>
          <w:p w14:paraId="29A878C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01057.3—2007</w:t>
            </w:r>
          </w:p>
          <w:p w14:paraId="0D71CB88">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01057.4—2007</w:t>
            </w:r>
          </w:p>
          <w:p w14:paraId="081EA6FE">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01057.6—2007</w:t>
            </w:r>
          </w:p>
          <w:p w14:paraId="709D902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2910.1—2009</w:t>
            </w:r>
          </w:p>
          <w:p w14:paraId="1E183D1F">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2910.2—2009</w:t>
            </w:r>
          </w:p>
          <w:p w14:paraId="6C6B636A">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2910.3—2009</w:t>
            </w:r>
          </w:p>
          <w:p w14:paraId="2A44FA6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2910.4—2022</w:t>
            </w:r>
          </w:p>
          <w:p w14:paraId="4068A9CA">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2910.6—2009</w:t>
            </w:r>
          </w:p>
          <w:p w14:paraId="0C50D1C9">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2910.7—2009</w:t>
            </w:r>
          </w:p>
          <w:p w14:paraId="5440D96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2910.8—2009</w:t>
            </w:r>
          </w:p>
          <w:p w14:paraId="2E22F7B4">
            <w:pPr>
              <w:spacing w:line="240" w:lineRule="auto"/>
              <w:jc w:val="center"/>
              <w:rPr>
                <w:rFonts w:hint="eastAsia" w:ascii="Times New Roman" w:hAnsi="Times New Roman" w:cs="Times New Roman"/>
                <w:color w:val="000000"/>
                <w:szCs w:val="21"/>
              </w:rPr>
            </w:pPr>
            <w:r>
              <w:rPr>
                <w:rFonts w:hint="eastAsia" w:ascii="Times New Roman" w:hAnsi="Times New Roman" w:cs="Times New Roman"/>
                <w:color w:val="000000"/>
                <w:szCs w:val="21"/>
              </w:rPr>
              <w:t>GB/T 2910.9—2024</w:t>
            </w:r>
          </w:p>
          <w:p w14:paraId="73F6FB37">
            <w:pPr>
              <w:spacing w:line="240" w:lineRule="auto"/>
              <w:jc w:val="center"/>
              <w:rPr>
                <w:rFonts w:ascii="Times New Roman" w:hAnsi="Times New Roman" w:cs="Times New Roman"/>
                <w:color w:val="000000"/>
                <w:szCs w:val="21"/>
              </w:rPr>
            </w:pPr>
            <w:r>
              <w:rPr>
                <w:rFonts w:hint="eastAsia" w:ascii="Times New Roman" w:hAnsi="Times New Roman" w:cs="Times New Roman"/>
                <w:color w:val="000000"/>
                <w:szCs w:val="21"/>
              </w:rPr>
              <w:t>GB/T 2910.11—2024</w:t>
            </w:r>
          </w:p>
          <w:p w14:paraId="15B42921">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2910.12—2023</w:t>
            </w:r>
          </w:p>
          <w:p w14:paraId="464F8CF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2910.18—2009</w:t>
            </w:r>
          </w:p>
          <w:p w14:paraId="6A9F0BD5">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2910.20—2009</w:t>
            </w:r>
          </w:p>
          <w:p w14:paraId="06906D34">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2910.22—2009</w:t>
            </w:r>
          </w:p>
          <w:p w14:paraId="799A39A1">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2910.101—2009</w:t>
            </w:r>
          </w:p>
          <w:p w14:paraId="60AAE3C4">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01101—2008</w:t>
            </w:r>
          </w:p>
          <w:p w14:paraId="3E43C60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01112—2012</w:t>
            </w:r>
          </w:p>
          <w:p w14:paraId="7F9A7C8E">
            <w:pPr>
              <w:spacing w:line="240" w:lineRule="auto"/>
              <w:jc w:val="center"/>
              <w:rPr>
                <w:rFonts w:hint="eastAsia" w:ascii="Times New Roman" w:hAnsi="Times New Roman" w:cs="Times New Roman"/>
                <w:color w:val="000000"/>
                <w:szCs w:val="21"/>
                <w:lang w:val="zh-CN"/>
              </w:rPr>
            </w:pPr>
            <w:r>
              <w:rPr>
                <w:rFonts w:hint="eastAsia" w:ascii="Times New Roman" w:hAnsi="Times New Roman" w:cs="Times New Roman"/>
                <w:color w:val="000000"/>
                <w:szCs w:val="21"/>
                <w:lang w:val="zh-CN"/>
              </w:rPr>
              <w:t>FZ/T 01131—2016</w:t>
            </w:r>
          </w:p>
          <w:p w14:paraId="4878FE52">
            <w:pPr>
              <w:spacing w:line="240" w:lineRule="auto"/>
              <w:jc w:val="center"/>
              <w:rPr>
                <w:rFonts w:hint="eastAsia" w:ascii="Times New Roman" w:hAnsi="Times New Roman" w:cs="Times New Roman"/>
                <w:color w:val="000000"/>
                <w:szCs w:val="21"/>
                <w:lang w:val="zh-CN"/>
              </w:rPr>
            </w:pPr>
            <w:r>
              <w:rPr>
                <w:rFonts w:hint="eastAsia" w:ascii="Times New Roman" w:hAnsi="Times New Roman" w:cs="Times New Roman"/>
                <w:color w:val="000000"/>
                <w:szCs w:val="21"/>
                <w:lang w:val="zh-CN"/>
              </w:rPr>
              <w:t>FZ/T 01132—2016</w:t>
            </w:r>
          </w:p>
          <w:p w14:paraId="5AA006CB">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01026—2017</w:t>
            </w:r>
          </w:p>
          <w:p w14:paraId="22E058E8">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30003—20</w:t>
            </w:r>
            <w:r>
              <w:rPr>
                <w:rFonts w:hint="eastAsia" w:ascii="Times New Roman" w:hAnsi="Times New Roman" w:cs="Times New Roman"/>
                <w:color w:val="000000"/>
                <w:szCs w:val="21"/>
              </w:rPr>
              <w:t>24</w:t>
            </w:r>
          </w:p>
          <w:p w14:paraId="4FC56EC2">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16988—2013</w:t>
            </w:r>
          </w:p>
          <w:p w14:paraId="660DBC4B">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38015—2019</w:t>
            </w:r>
          </w:p>
          <w:p w14:paraId="691F1DBA">
            <w:pPr>
              <w:adjustRightInd w:val="0"/>
              <w:snapToGrid w:val="0"/>
              <w:jc w:val="center"/>
              <w:rPr>
                <w:rFonts w:hint="default" w:ascii="Times New Roman" w:hAnsi="Times New Roman" w:eastAsia="宋体" w:cs="Times New Roman"/>
                <w:color w:val="000000"/>
                <w:szCs w:val="21"/>
                <w:lang w:val="en-US" w:eastAsia="zh-CN"/>
              </w:rPr>
            </w:pPr>
            <w:r>
              <w:rPr>
                <w:rFonts w:ascii="Times New Roman" w:hAnsi="Times New Roman" w:cs="Times New Roman"/>
                <w:color w:val="000000"/>
                <w:szCs w:val="21"/>
              </w:rPr>
              <w:t>FZ/T 40005—2009</w:t>
            </w:r>
          </w:p>
        </w:tc>
      </w:tr>
    </w:tbl>
    <w:p w14:paraId="3DACF099">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3CD9163">
      <w:pPr>
        <w:adjustRightInd w:val="0"/>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1FED970B">
      <w:pPr>
        <w:adjustRightInd w:val="0"/>
        <w:snapToGrid w:val="0"/>
        <w:spacing w:line="440" w:lineRule="exact"/>
        <w:ind w:firstLine="420" w:firstLineChars="200"/>
        <w:rPr>
          <w:rFonts w:hint="eastAsia"/>
          <w:color w:val="000000"/>
          <w:szCs w:val="21"/>
        </w:rPr>
      </w:pPr>
    </w:p>
    <w:p w14:paraId="6569FC01">
      <w:pPr>
        <w:adjustRightInd w:val="0"/>
        <w:snapToGrid w:val="0"/>
        <w:spacing w:line="440" w:lineRule="exact"/>
        <w:rPr>
          <w:rFonts w:eastAsia="黑体"/>
          <w:color w:val="000000"/>
          <w:szCs w:val="21"/>
        </w:rPr>
      </w:pPr>
      <w:r>
        <w:rPr>
          <w:rFonts w:eastAsia="黑体"/>
          <w:color w:val="000000"/>
          <w:szCs w:val="21"/>
        </w:rPr>
        <w:t>3 判定规则</w:t>
      </w:r>
    </w:p>
    <w:p w14:paraId="29A323E8">
      <w:pPr>
        <w:adjustRightInd w:val="0"/>
        <w:snapToGrid w:val="0"/>
        <w:spacing w:line="440" w:lineRule="exact"/>
        <w:rPr>
          <w:color w:val="000000"/>
          <w:szCs w:val="21"/>
        </w:rPr>
      </w:pPr>
      <w:r>
        <w:rPr>
          <w:color w:val="000000"/>
          <w:szCs w:val="21"/>
        </w:rPr>
        <w:t>3.1依据标准</w:t>
      </w:r>
    </w:p>
    <w:p w14:paraId="195B6907">
      <w:pPr>
        <w:adjustRightInd w:val="0"/>
        <w:snapToGrid w:val="0"/>
        <w:spacing w:line="440" w:lineRule="exact"/>
        <w:ind w:firstLine="420" w:firstLineChars="200"/>
        <w:rPr>
          <w:szCs w:val="21"/>
        </w:rPr>
      </w:pPr>
      <w:r>
        <w:rPr>
          <w:szCs w:val="21"/>
        </w:rPr>
        <w:t>GB 18401—2010 国家纺织产品基本安全技术规范</w:t>
      </w:r>
    </w:p>
    <w:p w14:paraId="3DDD723A">
      <w:pPr>
        <w:adjustRightInd w:val="0"/>
        <w:snapToGrid w:val="0"/>
        <w:spacing w:line="440" w:lineRule="exact"/>
        <w:ind w:firstLine="420" w:firstLineChars="200"/>
        <w:rPr>
          <w:szCs w:val="21"/>
        </w:rPr>
      </w:pPr>
      <w:r>
        <w:rPr>
          <w:szCs w:val="21"/>
        </w:rPr>
        <w:t>GB/T 29862—2013 纺织品纤维含量的标识</w:t>
      </w:r>
    </w:p>
    <w:p w14:paraId="0BE4AADE">
      <w:pPr>
        <w:snapToGrid w:val="0"/>
        <w:spacing w:line="440" w:lineRule="exact"/>
        <w:ind w:firstLine="420" w:firstLineChars="200"/>
        <w:rPr>
          <w:szCs w:val="21"/>
        </w:rPr>
      </w:pPr>
      <w:r>
        <w:rPr>
          <w:szCs w:val="21"/>
        </w:rPr>
        <w:t>GB/T 2660—2017 衬衫</w:t>
      </w:r>
    </w:p>
    <w:p w14:paraId="7AE8452D">
      <w:pPr>
        <w:snapToGrid w:val="0"/>
        <w:spacing w:line="440" w:lineRule="exact"/>
        <w:ind w:firstLine="420" w:firstLineChars="200"/>
        <w:rPr>
          <w:szCs w:val="21"/>
        </w:rPr>
      </w:pPr>
      <w:r>
        <w:rPr>
          <w:szCs w:val="21"/>
        </w:rPr>
        <w:t>FZ/T 73043—2020</w:t>
      </w:r>
      <w:r>
        <w:rPr>
          <w:rFonts w:hint="eastAsia"/>
          <w:szCs w:val="21"/>
        </w:rPr>
        <w:t xml:space="preserve"> </w:t>
      </w:r>
      <w:r>
        <w:rPr>
          <w:szCs w:val="21"/>
        </w:rPr>
        <w:t>针织衬衫</w:t>
      </w:r>
    </w:p>
    <w:p w14:paraId="350CC701">
      <w:pPr>
        <w:adjustRightInd w:val="0"/>
        <w:snapToGrid w:val="0"/>
        <w:spacing w:line="440" w:lineRule="exact"/>
        <w:ind w:left="439" w:leftChars="209"/>
        <w:rPr>
          <w:color w:val="000000"/>
          <w:szCs w:val="21"/>
        </w:rPr>
      </w:pPr>
      <w:r>
        <w:rPr>
          <w:color w:val="000000"/>
          <w:szCs w:val="21"/>
        </w:rPr>
        <w:t>现行有效的企业标准、团体标准、地方标准及产品明示质量要求</w:t>
      </w:r>
      <w:r>
        <w:rPr>
          <w:rFonts w:hint="eastAsia"/>
          <w:color w:val="000000"/>
          <w:szCs w:val="21"/>
        </w:rPr>
        <w:t>。</w:t>
      </w:r>
    </w:p>
    <w:p w14:paraId="361E1895">
      <w:pPr>
        <w:adjustRightInd w:val="0"/>
        <w:snapToGrid w:val="0"/>
        <w:spacing w:line="440" w:lineRule="exact"/>
        <w:rPr>
          <w:color w:val="000000"/>
          <w:szCs w:val="21"/>
        </w:rPr>
      </w:pPr>
      <w:r>
        <w:rPr>
          <w:color w:val="000000"/>
          <w:szCs w:val="21"/>
        </w:rPr>
        <w:t>3.2判定原则</w:t>
      </w:r>
    </w:p>
    <w:p w14:paraId="730C1547">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6C99049">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03226809">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513A378E">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5E6CC8C8">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69D51B">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1AC68019">
      <w:pPr>
        <w:snapToGrid w:val="0"/>
        <w:spacing w:line="440" w:lineRule="exact"/>
        <w:ind w:firstLine="417" w:firstLineChars="199"/>
        <w:rPr>
          <w:rFonts w:hint="eastAsia"/>
          <w:color w:val="000000"/>
          <w:szCs w:val="21"/>
        </w:rPr>
      </w:pPr>
    </w:p>
    <w:p w14:paraId="343EA9D6">
      <w:pPr>
        <w:spacing w:line="440" w:lineRule="exact"/>
        <w:rPr>
          <w:color w:val="000000"/>
          <w:szCs w:val="21"/>
        </w:rPr>
      </w:pPr>
    </w:p>
    <w:sectPr>
      <w:headerReference r:id="rId3" w:type="default"/>
      <w:footerReference r:id="rId4" w:type="default"/>
      <w:footerReference r:id="rId5" w:type="even"/>
      <w:pgSz w:w="11906" w:h="16838"/>
      <w:pgMar w:top="1984" w:right="1474" w:bottom="1644" w:left="1474" w:header="851" w:footer="119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370779-AA5C-4433-911B-F35C67F24FC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_x0006_堵.">
    <w:altName w:val="微软雅黑"/>
    <w:panose1 w:val="00000000000000000000"/>
    <w:charset w:val="86"/>
    <w:family w:val="swiss"/>
    <w:pitch w:val="default"/>
    <w:sig w:usb0="00000001" w:usb1="080E0000" w:usb2="0000001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2" w:fontKey="{7DF5C152-FF3A-4FFA-9E3F-32825C48A5C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F0151">
    <w:pPr>
      <w:pStyle w:val="3"/>
      <w:jc w:val="center"/>
    </w:pPr>
    <w:r>
      <w:fldChar w:fldCharType="begin"/>
    </w:r>
    <w:r>
      <w:instrText xml:space="preserve">PAGE   \* MERGEFORMAT</w:instrText>
    </w:r>
    <w:r>
      <w:fldChar w:fldCharType="separate"/>
    </w:r>
    <w:r>
      <w:rPr>
        <w:lang w:val="zh-CN"/>
      </w:rPr>
      <w:t>1</w:t>
    </w:r>
    <w:r>
      <w:fldChar w:fldCharType="end"/>
    </w:r>
  </w:p>
  <w:p w14:paraId="7D83E7CF">
    <w:pPr>
      <w:pStyle w:val="3"/>
      <w:ind w:left="315" w:leftChars="150" w:right="315" w:rightChars="15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A214F">
    <w:pPr>
      <w:pStyle w:val="3"/>
      <w:jc w:val="center"/>
    </w:pPr>
    <w:r>
      <w:fldChar w:fldCharType="begin"/>
    </w:r>
    <w:r>
      <w:instrText xml:space="preserve">PAGE   \* MERGEFORMAT</w:instrText>
    </w:r>
    <w:r>
      <w:fldChar w:fldCharType="separate"/>
    </w:r>
    <w:r>
      <w:rPr>
        <w:lang w:val="zh-CN"/>
      </w:rPr>
      <w:t>2</w:t>
    </w:r>
    <w:r>
      <w:fldChar w:fldCharType="end"/>
    </w:r>
  </w:p>
  <w:p w14:paraId="1FE90D17">
    <w:pPr>
      <w:pStyle w:val="3"/>
      <w:ind w:left="315" w:leftChars="150" w:right="315" w:rightChars="15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80130">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8BF"/>
    <w:rsid w:val="00035156"/>
    <w:rsid w:val="00037EFE"/>
    <w:rsid w:val="00051A44"/>
    <w:rsid w:val="00057215"/>
    <w:rsid w:val="00060EAD"/>
    <w:rsid w:val="00081CBD"/>
    <w:rsid w:val="00097538"/>
    <w:rsid w:val="000976DE"/>
    <w:rsid w:val="000C4D75"/>
    <w:rsid w:val="000D4520"/>
    <w:rsid w:val="000F5389"/>
    <w:rsid w:val="00104251"/>
    <w:rsid w:val="00153EB0"/>
    <w:rsid w:val="001752B3"/>
    <w:rsid w:val="001809DD"/>
    <w:rsid w:val="00181B69"/>
    <w:rsid w:val="001A3D7E"/>
    <w:rsid w:val="001A545E"/>
    <w:rsid w:val="001B1B80"/>
    <w:rsid w:val="001B246C"/>
    <w:rsid w:val="001B2A84"/>
    <w:rsid w:val="001C1651"/>
    <w:rsid w:val="001C5B9E"/>
    <w:rsid w:val="001C79F1"/>
    <w:rsid w:val="001E2A58"/>
    <w:rsid w:val="001E5FDD"/>
    <w:rsid w:val="002010B9"/>
    <w:rsid w:val="00204381"/>
    <w:rsid w:val="002137B3"/>
    <w:rsid w:val="00232530"/>
    <w:rsid w:val="0023634D"/>
    <w:rsid w:val="00253624"/>
    <w:rsid w:val="00271173"/>
    <w:rsid w:val="00272CDE"/>
    <w:rsid w:val="00280A2F"/>
    <w:rsid w:val="00295E9E"/>
    <w:rsid w:val="0029706B"/>
    <w:rsid w:val="002A0EB6"/>
    <w:rsid w:val="002D29BB"/>
    <w:rsid w:val="002D7F8A"/>
    <w:rsid w:val="002E0D1D"/>
    <w:rsid w:val="002E221A"/>
    <w:rsid w:val="002E31EC"/>
    <w:rsid w:val="002E54BA"/>
    <w:rsid w:val="002E6005"/>
    <w:rsid w:val="003203A3"/>
    <w:rsid w:val="0032768D"/>
    <w:rsid w:val="00365CBE"/>
    <w:rsid w:val="00367A4C"/>
    <w:rsid w:val="0037492F"/>
    <w:rsid w:val="003A119A"/>
    <w:rsid w:val="003A5EEF"/>
    <w:rsid w:val="003A603B"/>
    <w:rsid w:val="003A7D30"/>
    <w:rsid w:val="003C21DA"/>
    <w:rsid w:val="003C388C"/>
    <w:rsid w:val="003D5B53"/>
    <w:rsid w:val="003E61BF"/>
    <w:rsid w:val="00403495"/>
    <w:rsid w:val="004104AC"/>
    <w:rsid w:val="0042009F"/>
    <w:rsid w:val="004360C9"/>
    <w:rsid w:val="00445E86"/>
    <w:rsid w:val="00457AD3"/>
    <w:rsid w:val="00474E04"/>
    <w:rsid w:val="00493446"/>
    <w:rsid w:val="004A0F70"/>
    <w:rsid w:val="004C5716"/>
    <w:rsid w:val="004D0C5A"/>
    <w:rsid w:val="004D1178"/>
    <w:rsid w:val="004E1396"/>
    <w:rsid w:val="004F6A1B"/>
    <w:rsid w:val="005246DF"/>
    <w:rsid w:val="00532B3E"/>
    <w:rsid w:val="00532C7D"/>
    <w:rsid w:val="00556C05"/>
    <w:rsid w:val="00563EBC"/>
    <w:rsid w:val="005704AB"/>
    <w:rsid w:val="00581E1D"/>
    <w:rsid w:val="005B31D9"/>
    <w:rsid w:val="005B5851"/>
    <w:rsid w:val="005B61AD"/>
    <w:rsid w:val="005B67F2"/>
    <w:rsid w:val="005B7F74"/>
    <w:rsid w:val="005E6077"/>
    <w:rsid w:val="005F410D"/>
    <w:rsid w:val="0061401E"/>
    <w:rsid w:val="00653ACE"/>
    <w:rsid w:val="00666328"/>
    <w:rsid w:val="006732BC"/>
    <w:rsid w:val="00677E11"/>
    <w:rsid w:val="00692921"/>
    <w:rsid w:val="006961AC"/>
    <w:rsid w:val="006A1059"/>
    <w:rsid w:val="006D3CFE"/>
    <w:rsid w:val="006D4707"/>
    <w:rsid w:val="006E1171"/>
    <w:rsid w:val="006E20DF"/>
    <w:rsid w:val="006F0971"/>
    <w:rsid w:val="006F5D9D"/>
    <w:rsid w:val="0070426F"/>
    <w:rsid w:val="00707D4C"/>
    <w:rsid w:val="00716EF7"/>
    <w:rsid w:val="00721912"/>
    <w:rsid w:val="00721CD1"/>
    <w:rsid w:val="0072334C"/>
    <w:rsid w:val="00736047"/>
    <w:rsid w:val="0075278D"/>
    <w:rsid w:val="00755A2C"/>
    <w:rsid w:val="00767D55"/>
    <w:rsid w:val="0077269C"/>
    <w:rsid w:val="007803F6"/>
    <w:rsid w:val="00787192"/>
    <w:rsid w:val="00787F29"/>
    <w:rsid w:val="0079176A"/>
    <w:rsid w:val="007A6AB8"/>
    <w:rsid w:val="0080706F"/>
    <w:rsid w:val="00820884"/>
    <w:rsid w:val="00825F11"/>
    <w:rsid w:val="00837D17"/>
    <w:rsid w:val="008445C2"/>
    <w:rsid w:val="00847CA2"/>
    <w:rsid w:val="00852B44"/>
    <w:rsid w:val="00854A39"/>
    <w:rsid w:val="00856497"/>
    <w:rsid w:val="00870395"/>
    <w:rsid w:val="00880B69"/>
    <w:rsid w:val="00887D73"/>
    <w:rsid w:val="00895BEA"/>
    <w:rsid w:val="008A3497"/>
    <w:rsid w:val="008A77A4"/>
    <w:rsid w:val="008A784B"/>
    <w:rsid w:val="008C2891"/>
    <w:rsid w:val="00903402"/>
    <w:rsid w:val="009051B0"/>
    <w:rsid w:val="00914DB8"/>
    <w:rsid w:val="00917A54"/>
    <w:rsid w:val="00920255"/>
    <w:rsid w:val="00920531"/>
    <w:rsid w:val="009508C0"/>
    <w:rsid w:val="009672B3"/>
    <w:rsid w:val="00976E41"/>
    <w:rsid w:val="00983208"/>
    <w:rsid w:val="009A0B91"/>
    <w:rsid w:val="009B43A0"/>
    <w:rsid w:val="009C5412"/>
    <w:rsid w:val="009E1DB3"/>
    <w:rsid w:val="00A01D94"/>
    <w:rsid w:val="00A0614E"/>
    <w:rsid w:val="00A12535"/>
    <w:rsid w:val="00A32803"/>
    <w:rsid w:val="00A43553"/>
    <w:rsid w:val="00A45FFB"/>
    <w:rsid w:val="00A461CD"/>
    <w:rsid w:val="00A4771F"/>
    <w:rsid w:val="00A47A81"/>
    <w:rsid w:val="00A5096E"/>
    <w:rsid w:val="00A53170"/>
    <w:rsid w:val="00A53F64"/>
    <w:rsid w:val="00A63D9F"/>
    <w:rsid w:val="00A759E4"/>
    <w:rsid w:val="00A760E4"/>
    <w:rsid w:val="00A82E3B"/>
    <w:rsid w:val="00AA32FA"/>
    <w:rsid w:val="00AB58F6"/>
    <w:rsid w:val="00AB7EC8"/>
    <w:rsid w:val="00AC5391"/>
    <w:rsid w:val="00AF221C"/>
    <w:rsid w:val="00B023F6"/>
    <w:rsid w:val="00B078D3"/>
    <w:rsid w:val="00B14EA4"/>
    <w:rsid w:val="00B23213"/>
    <w:rsid w:val="00B23618"/>
    <w:rsid w:val="00B4053B"/>
    <w:rsid w:val="00B92E75"/>
    <w:rsid w:val="00BB54B8"/>
    <w:rsid w:val="00BB6DAB"/>
    <w:rsid w:val="00BD79CA"/>
    <w:rsid w:val="00BE523F"/>
    <w:rsid w:val="00BE6F40"/>
    <w:rsid w:val="00BF2B8C"/>
    <w:rsid w:val="00BF458A"/>
    <w:rsid w:val="00BF6B3A"/>
    <w:rsid w:val="00C137F6"/>
    <w:rsid w:val="00C26074"/>
    <w:rsid w:val="00C34172"/>
    <w:rsid w:val="00C40B45"/>
    <w:rsid w:val="00C44E9C"/>
    <w:rsid w:val="00C54C2C"/>
    <w:rsid w:val="00C603F7"/>
    <w:rsid w:val="00C64647"/>
    <w:rsid w:val="00C64EC7"/>
    <w:rsid w:val="00C67365"/>
    <w:rsid w:val="00C74B84"/>
    <w:rsid w:val="00C83B0A"/>
    <w:rsid w:val="00C95A0B"/>
    <w:rsid w:val="00CB2C68"/>
    <w:rsid w:val="00CB62F0"/>
    <w:rsid w:val="00CB7D9D"/>
    <w:rsid w:val="00CC280D"/>
    <w:rsid w:val="00CD5D2C"/>
    <w:rsid w:val="00CE1E0C"/>
    <w:rsid w:val="00CE277E"/>
    <w:rsid w:val="00CF56BA"/>
    <w:rsid w:val="00CF6FDA"/>
    <w:rsid w:val="00D016B3"/>
    <w:rsid w:val="00D121DD"/>
    <w:rsid w:val="00D31D57"/>
    <w:rsid w:val="00D44D5C"/>
    <w:rsid w:val="00D47B37"/>
    <w:rsid w:val="00D56867"/>
    <w:rsid w:val="00D710BD"/>
    <w:rsid w:val="00D735DB"/>
    <w:rsid w:val="00D7590C"/>
    <w:rsid w:val="00D80BE1"/>
    <w:rsid w:val="00DA71AF"/>
    <w:rsid w:val="00DB001C"/>
    <w:rsid w:val="00DC15EA"/>
    <w:rsid w:val="00DD5992"/>
    <w:rsid w:val="00DF01D1"/>
    <w:rsid w:val="00DF36DB"/>
    <w:rsid w:val="00E01486"/>
    <w:rsid w:val="00E02A7F"/>
    <w:rsid w:val="00E0532D"/>
    <w:rsid w:val="00E07880"/>
    <w:rsid w:val="00E16F2D"/>
    <w:rsid w:val="00E20796"/>
    <w:rsid w:val="00E23D31"/>
    <w:rsid w:val="00E57DD6"/>
    <w:rsid w:val="00E60C46"/>
    <w:rsid w:val="00E65655"/>
    <w:rsid w:val="00E710E0"/>
    <w:rsid w:val="00E82621"/>
    <w:rsid w:val="00EA2992"/>
    <w:rsid w:val="00EB05D5"/>
    <w:rsid w:val="00EB137B"/>
    <w:rsid w:val="00EB7BE2"/>
    <w:rsid w:val="00EC5582"/>
    <w:rsid w:val="00EC794E"/>
    <w:rsid w:val="00EE701C"/>
    <w:rsid w:val="00EF127A"/>
    <w:rsid w:val="00EF4681"/>
    <w:rsid w:val="00EF7D98"/>
    <w:rsid w:val="00F02CFF"/>
    <w:rsid w:val="00F13300"/>
    <w:rsid w:val="00F13E8D"/>
    <w:rsid w:val="00F24D81"/>
    <w:rsid w:val="00F328D2"/>
    <w:rsid w:val="00F37FFC"/>
    <w:rsid w:val="00F427D1"/>
    <w:rsid w:val="00F53550"/>
    <w:rsid w:val="00F55BB7"/>
    <w:rsid w:val="00F72094"/>
    <w:rsid w:val="00F757E1"/>
    <w:rsid w:val="00F77C9A"/>
    <w:rsid w:val="00F86C83"/>
    <w:rsid w:val="00F9687F"/>
    <w:rsid w:val="00FB576C"/>
    <w:rsid w:val="00FC4DB1"/>
    <w:rsid w:val="00FD2AA6"/>
    <w:rsid w:val="00FD6D81"/>
    <w:rsid w:val="00FE620D"/>
    <w:rsid w:val="00FE711D"/>
    <w:rsid w:val="00FE7E8A"/>
    <w:rsid w:val="00FF5007"/>
    <w:rsid w:val="00FF5126"/>
    <w:rsid w:val="012774A6"/>
    <w:rsid w:val="06AC3180"/>
    <w:rsid w:val="08502E8B"/>
    <w:rsid w:val="09B16C06"/>
    <w:rsid w:val="1AA10B55"/>
    <w:rsid w:val="1B196C01"/>
    <w:rsid w:val="1C0C4212"/>
    <w:rsid w:val="54786C3F"/>
    <w:rsid w:val="6E28757C"/>
    <w:rsid w:val="79217D5C"/>
    <w:rsid w:val="FEFE00F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6">
    <w:name w:val="Default Paragraph Font"/>
    <w:semiHidden/>
    <w:uiPriority w:val="0"/>
  </w:style>
  <w:style w:type="table" w:default="1" w:styleId="5">
    <w:name w:val="Normal Table"/>
    <w:unhideWhenUsed/>
    <w:uiPriority w:val="99"/>
    <w:tblPr>
      <w:tblStyle w:val="5"/>
      <w:tblCellMar>
        <w:top w:w="0" w:type="dxa"/>
        <w:left w:w="108" w:type="dxa"/>
        <w:bottom w:w="0" w:type="dxa"/>
        <w:right w:w="108" w:type="dxa"/>
      </w:tblCellMar>
    </w:tblPr>
  </w:style>
  <w:style w:type="paragraph" w:styleId="2">
    <w:name w:val="Balloon Text"/>
    <w:basedOn w:val="1"/>
    <w:link w:val="8"/>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uiPriority w:val="0"/>
  </w:style>
  <w:style w:type="character" w:customStyle="1" w:styleId="8">
    <w:name w:val="批注框文本 字符"/>
    <w:link w:val="2"/>
    <w:semiHidden/>
    <w:uiPriority w:val="99"/>
    <w:rPr>
      <w:kern w:val="2"/>
      <w:sz w:val="18"/>
      <w:szCs w:val="18"/>
    </w:rPr>
  </w:style>
  <w:style w:type="character" w:customStyle="1" w:styleId="9">
    <w:name w:val="页脚 字符"/>
    <w:link w:val="3"/>
    <w:uiPriority w:val="99"/>
    <w:rPr>
      <w:kern w:val="2"/>
      <w:sz w:val="18"/>
      <w:szCs w:val="18"/>
    </w:rPr>
  </w:style>
  <w:style w:type="character" w:customStyle="1" w:styleId="10">
    <w:name w:val="页眉 字符"/>
    <w:link w:val="4"/>
    <w:semiHidden/>
    <w:uiPriority w:val="99"/>
    <w:rPr>
      <w:kern w:val="2"/>
      <w:sz w:val="18"/>
      <w:szCs w:val="18"/>
    </w:rPr>
  </w:style>
  <w:style w:type="character" w:customStyle="1" w:styleId="11">
    <w:name w:val="fontstyle01"/>
    <w:uiPriority w:val="0"/>
    <w:rPr>
      <w:rFonts w:hint="eastAsia" w:ascii="宋体" w:hAnsi="宋体" w:eastAsia="宋体"/>
      <w:color w:val="000000"/>
      <w:sz w:val="22"/>
      <w:szCs w:val="22"/>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Default"/>
    <w:uiPriority w:val="0"/>
    <w:pPr>
      <w:widowControl w:val="0"/>
      <w:autoSpaceDE w:val="0"/>
      <w:autoSpaceDN w:val="0"/>
      <w:adjustRightInd w:val="0"/>
    </w:pPr>
    <w:rPr>
      <w:rFonts w:ascii="微软雅黑_x0006_堵." w:eastAsia="微软雅黑_x0006_堵." w:cs="微软雅黑_x0006_堵."/>
      <w:color w:val="000000"/>
      <w:sz w:val="24"/>
      <w:szCs w:val="24"/>
      <w:lang w:val="en-US" w:eastAsia="zh-CN" w:bidi="ar-SA"/>
    </w:rPr>
  </w:style>
  <w:style w:type="paragraph" w:styleId="14">
    <w:name w:val=""/>
    <w:unhideWhenUsed/>
    <w:uiPriority w:val="99"/>
    <w:rPr>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GTTC</Company>
  <Pages>3</Pages>
  <Words>727</Words>
  <Characters>1231</Characters>
  <Lines>9</Lines>
  <Paragraphs>2</Paragraphs>
  <TotalTime>0</TotalTime>
  <ScaleCrop>false</ScaleCrop>
  <LinksUpToDate>false</LinksUpToDate>
  <CharactersWithSpaces>1278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2021-03-24T20:20:00Z</dcterms:created>
  <dc:creator>oa</dc:creator>
  <cp:lastModifiedBy>79887</cp:lastModifiedBy>
  <cp:lastPrinted>2024-01-31T10:37:00Z</cp:lastPrinted>
  <dcterms:modified xsi:type="dcterms:W3CDTF">2026-07-08T07:31:03Z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SaveFontToCloudKey">
    <vt:lpwstr>550453206_embed</vt:lpwstr>
  </property>
  <property fmtid="{D5CDD505-2E9C-101B-9397-08002B2CF9AE}" pid="4" name="ICV">
    <vt:lpwstr>DCE5F4BBF68F4AB99C8527ADE2296373_13</vt:lpwstr>
  </property>
  <property fmtid="{D5CDD505-2E9C-101B-9397-08002B2CF9AE}" pid="5" name="KSOTemplateDocerSaveRecord">
    <vt:lpwstr>eyJoZGlkIjoiY2JjMTJiZjVlNGVkNjA3NDBlY2Y0YTU2YTg1MGQwNTYiLCJ1c2VySWQiOiI1MjIwMzE2NjcifQ==</vt:lpwstr>
  </property>
</Properties>
</file>