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780C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32"/>
          <w:szCs w:val="32"/>
          <w:highlight w:val="none"/>
        </w:rPr>
      </w:pPr>
      <w:r>
        <w:rPr>
          <w:rFonts w:hint="eastAsia" w:eastAsia="方正小标宋简体" w:cs="方正小标宋简体"/>
          <w:color w:val="auto"/>
          <w:sz w:val="32"/>
          <w:szCs w:val="32"/>
          <w:highlight w:val="none"/>
          <w:lang w:val="en-US" w:eastAsia="zh-CN"/>
        </w:rPr>
        <w:t>重庆市</w:t>
      </w:r>
      <w:r>
        <w:rPr>
          <w:rFonts w:hint="eastAsia" w:ascii="Times New Roman" w:hAnsi="Times New Roman" w:eastAsia="方正小标宋简体" w:cs="方正小标宋简体"/>
          <w:color w:val="auto"/>
          <w:sz w:val="32"/>
          <w:szCs w:val="32"/>
          <w:highlight w:val="none"/>
        </w:rPr>
        <w:t>饮水机产品质量监督抽查实施细则</w:t>
      </w:r>
    </w:p>
    <w:p w14:paraId="7A275CC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32"/>
          <w:highlight w:val="none"/>
        </w:rPr>
      </w:pPr>
      <w:r>
        <w:rPr>
          <w:rFonts w:hint="eastAsia" w:ascii="Times New Roman" w:hAnsi="Times New Roman" w:eastAsia="楷体_GB2312" w:cs="楷体_GB2312"/>
          <w:color w:val="auto"/>
          <w:sz w:val="32"/>
          <w:szCs w:val="32"/>
          <w:highlight w:val="none"/>
        </w:rPr>
        <w:t>（202</w:t>
      </w:r>
      <w:r>
        <w:rPr>
          <w:rFonts w:hint="eastAsia" w:ascii="Times New Roman" w:hAnsi="Times New Roman" w:eastAsia="楷体_GB2312" w:cs="楷体_GB2312"/>
          <w:color w:val="auto"/>
          <w:sz w:val="32"/>
          <w:szCs w:val="32"/>
          <w:highlight w:val="none"/>
          <w:lang w:val="en-US" w:eastAsia="zh-CN"/>
        </w:rPr>
        <w:t>6</w:t>
      </w:r>
      <w:r>
        <w:rPr>
          <w:rFonts w:hint="eastAsia" w:ascii="Times New Roman" w:hAnsi="Times New Roman" w:eastAsia="楷体_GB2312" w:cs="楷体_GB2312"/>
          <w:color w:val="auto"/>
          <w:sz w:val="32"/>
          <w:szCs w:val="32"/>
          <w:highlight w:val="none"/>
        </w:rPr>
        <w:t>年版）</w:t>
      </w:r>
    </w:p>
    <w:p w14:paraId="75BD1589">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10AFF9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 抽样方法</w:t>
      </w:r>
    </w:p>
    <w:p w14:paraId="5D5D3A1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以随机抽样的方式在被抽样生产者、销售者的待销产品中抽取。</w:t>
      </w:r>
    </w:p>
    <w:p w14:paraId="5D3D5D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随机数一般可使用随机数表等方法产生。</w:t>
      </w:r>
    </w:p>
    <w:p w14:paraId="475133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每批次产品抽取样品3台，其中2台作为检验样品、1台作为备用样品。</w:t>
      </w:r>
    </w:p>
    <w:p w14:paraId="7754F2E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 检验依据</w:t>
      </w:r>
    </w:p>
    <w:tbl>
      <w:tblPr>
        <w:tblStyle w:val="3"/>
        <w:tblW w:w="9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4886"/>
        <w:gridCol w:w="3415"/>
      </w:tblGrid>
      <w:tr w14:paraId="7036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67" w:type="dxa"/>
            <w:tcBorders>
              <w:top w:val="single" w:color="auto" w:sz="4" w:space="0"/>
              <w:left w:val="single" w:color="auto" w:sz="4" w:space="0"/>
              <w:bottom w:val="single" w:color="auto" w:sz="4" w:space="0"/>
              <w:right w:val="single" w:color="auto" w:sz="4" w:space="0"/>
            </w:tcBorders>
            <w:noWrap w:val="0"/>
            <w:vAlign w:val="top"/>
          </w:tcPr>
          <w:p w14:paraId="0CCBD6A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4886" w:type="dxa"/>
            <w:tcBorders>
              <w:top w:val="single" w:color="auto" w:sz="4" w:space="0"/>
              <w:left w:val="single" w:color="auto" w:sz="4" w:space="0"/>
              <w:bottom w:val="single" w:color="auto" w:sz="4" w:space="0"/>
              <w:right w:val="single" w:color="auto" w:sz="4" w:space="0"/>
            </w:tcBorders>
            <w:noWrap w:val="0"/>
            <w:vAlign w:val="top"/>
          </w:tcPr>
          <w:p w14:paraId="4572635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检验项目</w:t>
            </w:r>
          </w:p>
        </w:tc>
        <w:tc>
          <w:tcPr>
            <w:tcW w:w="3415" w:type="dxa"/>
            <w:tcBorders>
              <w:top w:val="single" w:color="auto" w:sz="4" w:space="0"/>
              <w:left w:val="single" w:color="auto" w:sz="4" w:space="0"/>
              <w:bottom w:val="single" w:color="auto" w:sz="4" w:space="0"/>
              <w:right w:val="single" w:color="auto" w:sz="4" w:space="0"/>
            </w:tcBorders>
            <w:noWrap w:val="0"/>
            <w:vAlign w:val="top"/>
          </w:tcPr>
          <w:p w14:paraId="47BB64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检验方法</w:t>
            </w:r>
          </w:p>
        </w:tc>
      </w:tr>
      <w:tr w14:paraId="5EC6E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5" w:hRule="atLeast"/>
        </w:trPr>
        <w:tc>
          <w:tcPr>
            <w:tcW w:w="867" w:type="dxa"/>
            <w:tcBorders>
              <w:top w:val="single" w:color="auto" w:sz="4" w:space="0"/>
              <w:left w:val="single" w:color="auto" w:sz="4" w:space="0"/>
              <w:bottom w:val="single" w:color="auto" w:sz="4" w:space="0"/>
              <w:right w:val="single" w:color="auto" w:sz="4" w:space="0"/>
            </w:tcBorders>
            <w:noWrap w:val="0"/>
            <w:vAlign w:val="center"/>
          </w:tcPr>
          <w:p w14:paraId="62BC927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3A46F52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对触及带电部件的防护</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49BDD2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37FBF4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02166F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3D54E8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44829F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20407D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7BF6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trPr>
        <w:tc>
          <w:tcPr>
            <w:tcW w:w="867" w:type="dxa"/>
            <w:tcBorders>
              <w:top w:val="single" w:color="auto" w:sz="4" w:space="0"/>
              <w:left w:val="single" w:color="auto" w:sz="4" w:space="0"/>
              <w:bottom w:val="single" w:color="auto" w:sz="4" w:space="0"/>
              <w:right w:val="single" w:color="auto" w:sz="4" w:space="0"/>
            </w:tcBorders>
            <w:noWrap w:val="0"/>
            <w:vAlign w:val="center"/>
          </w:tcPr>
          <w:p w14:paraId="5AC403A6">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7B891A2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输入功率和电流</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12AD91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61E690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44119D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6C49EB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753B33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5A34F2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5F13E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trPr>
        <w:tc>
          <w:tcPr>
            <w:tcW w:w="867" w:type="dxa"/>
            <w:tcBorders>
              <w:top w:val="single" w:color="auto" w:sz="4" w:space="0"/>
              <w:left w:val="single" w:color="auto" w:sz="4" w:space="0"/>
              <w:bottom w:val="single" w:color="auto" w:sz="4" w:space="0"/>
              <w:right w:val="single" w:color="auto" w:sz="4" w:space="0"/>
            </w:tcBorders>
            <w:noWrap w:val="0"/>
            <w:vAlign w:val="center"/>
          </w:tcPr>
          <w:p w14:paraId="46B93E16">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5966C1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eastAsia="宋体" w:cs="Times New Roman"/>
                <w:color w:val="auto"/>
                <w:sz w:val="21"/>
                <w:szCs w:val="21"/>
                <w:highlight w:val="none"/>
                <w:lang w:val="en-US" w:eastAsia="zh-CN"/>
              </w:rPr>
              <w:t>发热</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16601E2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6A92FD9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41BA7DE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453982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10CA15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24DFD7A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3915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Borders>
              <w:top w:val="single" w:color="auto" w:sz="4" w:space="0"/>
              <w:left w:val="single" w:color="auto" w:sz="4" w:space="0"/>
              <w:bottom w:val="single" w:color="auto" w:sz="4" w:space="0"/>
              <w:right w:val="single" w:color="auto" w:sz="4" w:space="0"/>
            </w:tcBorders>
            <w:noWrap w:val="0"/>
            <w:vAlign w:val="center"/>
          </w:tcPr>
          <w:p w14:paraId="4D7E89DE">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7B9320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工作温度下的泄漏电流和电气强度</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02E8DBB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732729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0451F6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1CBE5A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188210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5D0307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756FC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Borders>
              <w:top w:val="single" w:color="auto" w:sz="4" w:space="0"/>
              <w:left w:val="single" w:color="auto" w:sz="4" w:space="0"/>
              <w:bottom w:val="single" w:color="auto" w:sz="4" w:space="0"/>
              <w:right w:val="single" w:color="auto" w:sz="4" w:space="0"/>
            </w:tcBorders>
            <w:noWrap w:val="0"/>
            <w:vAlign w:val="center"/>
          </w:tcPr>
          <w:p w14:paraId="041C20B0">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272B9F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耐潮湿</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35A413A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16BF5E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56D5CA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076A76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126311E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6AB3DC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4933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Borders>
              <w:top w:val="single" w:color="auto" w:sz="4" w:space="0"/>
              <w:left w:val="single" w:color="auto" w:sz="4" w:space="0"/>
              <w:bottom w:val="single" w:color="auto" w:sz="4" w:space="0"/>
              <w:right w:val="single" w:color="auto" w:sz="4" w:space="0"/>
            </w:tcBorders>
            <w:noWrap w:val="0"/>
            <w:vAlign w:val="center"/>
          </w:tcPr>
          <w:p w14:paraId="1441EB6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23CE07D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泄漏电流和电气强度</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5F9928B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6380FA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21F374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4ABA6A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79AE01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551D9E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2B39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Borders>
              <w:top w:val="single" w:color="auto" w:sz="4" w:space="0"/>
              <w:left w:val="single" w:color="auto" w:sz="4" w:space="0"/>
              <w:bottom w:val="single" w:color="auto" w:sz="4" w:space="0"/>
              <w:right w:val="single" w:color="auto" w:sz="4" w:space="0"/>
            </w:tcBorders>
            <w:noWrap w:val="0"/>
            <w:vAlign w:val="center"/>
          </w:tcPr>
          <w:p w14:paraId="4F52BD7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7EC214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非正常工作（不包括第19.11.4条试验）</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4FD79B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37D26E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0D96B6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7D85A4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0925D5A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714C55A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21636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Borders>
              <w:top w:val="single" w:color="auto" w:sz="4" w:space="0"/>
              <w:left w:val="single" w:color="auto" w:sz="4" w:space="0"/>
              <w:bottom w:val="single" w:color="auto" w:sz="4" w:space="0"/>
              <w:right w:val="single" w:color="auto" w:sz="4" w:space="0"/>
            </w:tcBorders>
            <w:noWrap w:val="0"/>
            <w:vAlign w:val="center"/>
          </w:tcPr>
          <w:p w14:paraId="53A6EEA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6E8AB3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稳定性和机械危险</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2798242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1C4266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1E334AE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32EEDE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0EA6F9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7299AB4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15B8F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Borders>
              <w:top w:val="single" w:color="auto" w:sz="4" w:space="0"/>
              <w:left w:val="single" w:color="auto" w:sz="4" w:space="0"/>
              <w:bottom w:val="single" w:color="auto" w:sz="4" w:space="0"/>
              <w:right w:val="single" w:color="auto" w:sz="4" w:space="0"/>
            </w:tcBorders>
            <w:noWrap w:val="0"/>
            <w:vAlign w:val="center"/>
          </w:tcPr>
          <w:p w14:paraId="1B341BE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264019D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机械强度</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4068D6A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304661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6ED671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30F188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7B38C0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3CCB2F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0A63C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Borders>
              <w:top w:val="single" w:color="auto" w:sz="4" w:space="0"/>
              <w:left w:val="single" w:color="auto" w:sz="4" w:space="0"/>
              <w:bottom w:val="single" w:color="auto" w:sz="4" w:space="0"/>
              <w:right w:val="single" w:color="auto" w:sz="4" w:space="0"/>
            </w:tcBorders>
            <w:noWrap w:val="0"/>
            <w:vAlign w:val="center"/>
          </w:tcPr>
          <w:p w14:paraId="431A755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140E94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结构（不包括第22.46、22.103条试验）</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722B10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45C909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6DF3BA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29988F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1963A6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1DE4C0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574A7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Borders>
              <w:top w:val="single" w:color="auto" w:sz="4" w:space="0"/>
              <w:left w:val="single" w:color="auto" w:sz="4" w:space="0"/>
              <w:bottom w:val="single" w:color="auto" w:sz="4" w:space="0"/>
              <w:right w:val="single" w:color="auto" w:sz="4" w:space="0"/>
            </w:tcBorders>
            <w:noWrap w:val="0"/>
            <w:vAlign w:val="center"/>
          </w:tcPr>
          <w:p w14:paraId="485D381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6A9867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内部布线</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1F26A0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548E5E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26E088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63F89C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4C0082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0FAD54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4136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Borders>
              <w:top w:val="single" w:color="auto" w:sz="4" w:space="0"/>
              <w:left w:val="single" w:color="auto" w:sz="4" w:space="0"/>
              <w:bottom w:val="single" w:color="auto" w:sz="4" w:space="0"/>
              <w:right w:val="single" w:color="auto" w:sz="4" w:space="0"/>
            </w:tcBorders>
            <w:noWrap w:val="0"/>
            <w:vAlign w:val="center"/>
          </w:tcPr>
          <w:p w14:paraId="44FD3FA5">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68C2C5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电源连接和外部软线</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39B192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479F5C8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77387BE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63B4D5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5EC45F1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11150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5F44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Borders>
              <w:top w:val="single" w:color="auto" w:sz="4" w:space="0"/>
              <w:left w:val="single" w:color="auto" w:sz="4" w:space="0"/>
              <w:bottom w:val="single" w:color="auto" w:sz="4" w:space="0"/>
              <w:right w:val="single" w:color="auto" w:sz="4" w:space="0"/>
            </w:tcBorders>
            <w:noWrap w:val="0"/>
            <w:vAlign w:val="center"/>
          </w:tcPr>
          <w:p w14:paraId="51EB67C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558275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外部导线用接线端子</w:t>
            </w:r>
          </w:p>
          <w:p w14:paraId="3F4C21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或外部导体用接线端子</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5B13B9F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6A79D7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101604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55CF3F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132B46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7224F8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4F8A7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Borders>
              <w:top w:val="single" w:color="auto" w:sz="4" w:space="0"/>
              <w:left w:val="single" w:color="auto" w:sz="4" w:space="0"/>
              <w:bottom w:val="single" w:color="auto" w:sz="4" w:space="0"/>
              <w:right w:val="single" w:color="auto" w:sz="4" w:space="0"/>
            </w:tcBorders>
            <w:noWrap w:val="0"/>
            <w:vAlign w:val="center"/>
          </w:tcPr>
          <w:p w14:paraId="7CED1200">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00424F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接地</w:t>
            </w:r>
            <w:bookmarkStart w:id="0" w:name="_GoBack"/>
            <w:bookmarkEnd w:id="0"/>
            <w:r>
              <w:rPr>
                <w:rFonts w:hint="default" w:ascii="Times New Roman" w:hAnsi="Times New Roman" w:eastAsia="宋体" w:cs="Times New Roman"/>
                <w:color w:val="auto"/>
                <w:sz w:val="21"/>
                <w:szCs w:val="21"/>
                <w:highlight w:val="none"/>
              </w:rPr>
              <w:t>措施</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67D366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7F3A821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67F0C8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15A521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5DBF376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23CA2E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2DF7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Borders>
              <w:top w:val="single" w:color="auto" w:sz="4" w:space="0"/>
              <w:left w:val="single" w:color="auto" w:sz="4" w:space="0"/>
              <w:bottom w:val="single" w:color="auto" w:sz="4" w:space="0"/>
              <w:right w:val="single" w:color="auto" w:sz="4" w:space="0"/>
            </w:tcBorders>
            <w:noWrap w:val="0"/>
            <w:vAlign w:val="center"/>
          </w:tcPr>
          <w:p w14:paraId="790DFE9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654080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螺钉和连接</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057A1C1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6D788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0A2918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2E527C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2AC14C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1E91C0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r w14:paraId="7366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Borders>
              <w:top w:val="single" w:color="auto" w:sz="4" w:space="0"/>
              <w:left w:val="single" w:color="auto" w:sz="4" w:space="0"/>
              <w:bottom w:val="single" w:color="auto" w:sz="4" w:space="0"/>
              <w:right w:val="single" w:color="auto" w:sz="4" w:space="0"/>
            </w:tcBorders>
            <w:noWrap w:val="0"/>
            <w:vAlign w:val="center"/>
          </w:tcPr>
          <w:p w14:paraId="43408ECC">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86" w:type="dxa"/>
            <w:tcBorders>
              <w:top w:val="single" w:color="auto" w:sz="4" w:space="0"/>
              <w:left w:val="single" w:color="auto" w:sz="4" w:space="0"/>
              <w:bottom w:val="single" w:color="auto" w:sz="4" w:space="0"/>
              <w:right w:val="single" w:color="auto" w:sz="4" w:space="0"/>
            </w:tcBorders>
            <w:noWrap w:val="0"/>
            <w:vAlign w:val="center"/>
          </w:tcPr>
          <w:p w14:paraId="0AD653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电气间隙、爬电距离和固体绝缘</w:t>
            </w:r>
          </w:p>
        </w:tc>
        <w:tc>
          <w:tcPr>
            <w:tcW w:w="3415" w:type="dxa"/>
            <w:tcBorders>
              <w:top w:val="single" w:color="auto" w:sz="4" w:space="0"/>
              <w:left w:val="single" w:color="auto" w:sz="4" w:space="0"/>
              <w:bottom w:val="single" w:color="auto" w:sz="4" w:space="0"/>
              <w:right w:val="single" w:color="auto" w:sz="4" w:space="0"/>
            </w:tcBorders>
            <w:noWrap w:val="0"/>
            <w:vAlign w:val="center"/>
          </w:tcPr>
          <w:p w14:paraId="6566AFD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0E7422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4706.13—2014</w:t>
            </w:r>
          </w:p>
          <w:p w14:paraId="0BE541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4706.19—2008</w:t>
            </w:r>
          </w:p>
          <w:p w14:paraId="67D3A9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3DF5DB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4706.13—2024</w:t>
            </w:r>
          </w:p>
          <w:p w14:paraId="1A21CA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4706.19—2024</w:t>
            </w:r>
          </w:p>
        </w:tc>
      </w:tr>
    </w:tbl>
    <w:p w14:paraId="0C7816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执行企业标准、团体标准、地方标准的产品，检验项目参照上述内容执行。</w:t>
      </w:r>
    </w:p>
    <w:p w14:paraId="3E1212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凡是注日期的文件，其随后所有的修改单（不包括勘误的内容）或修订版不适用于本细则。凡是不注日期的文件，其最新版本适用于本细则。</w:t>
      </w:r>
    </w:p>
    <w:p w14:paraId="0DB9DC0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 判定规则</w:t>
      </w:r>
    </w:p>
    <w:p w14:paraId="240DB9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3.1 依据标准</w:t>
      </w:r>
    </w:p>
    <w:p w14:paraId="3DC456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GB 4706.1—2005</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第1部分：通用要求</w:t>
      </w:r>
      <w:r>
        <w:rPr>
          <w:rFonts w:hint="default" w:ascii="Times New Roman" w:hAnsi="Times New Roman" w:eastAsia="宋体" w:cs="Times New Roman"/>
          <w:color w:val="auto"/>
          <w:sz w:val="21"/>
          <w:szCs w:val="21"/>
          <w:highlight w:val="none"/>
          <w:lang w:eastAsia="zh-CN"/>
        </w:rPr>
        <w:t>》</w:t>
      </w:r>
    </w:p>
    <w:p w14:paraId="6C704D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GB 4706.13—2014</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制冷器具、冰淇淋机和制冰机的特殊要求</w:t>
      </w:r>
      <w:r>
        <w:rPr>
          <w:rFonts w:hint="default" w:ascii="Times New Roman" w:hAnsi="Times New Roman" w:eastAsia="宋体" w:cs="Times New Roman"/>
          <w:color w:val="auto"/>
          <w:sz w:val="21"/>
          <w:szCs w:val="21"/>
          <w:highlight w:val="none"/>
          <w:lang w:eastAsia="zh-CN"/>
        </w:rPr>
        <w:t>》</w:t>
      </w:r>
    </w:p>
    <w:p w14:paraId="688930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GB 4706.19—2008</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液体加热器的特殊要求</w:t>
      </w:r>
      <w:r>
        <w:rPr>
          <w:rFonts w:hint="default" w:ascii="Times New Roman" w:hAnsi="Times New Roman" w:eastAsia="宋体" w:cs="Times New Roman"/>
          <w:color w:val="auto"/>
          <w:sz w:val="21"/>
          <w:szCs w:val="21"/>
          <w:highlight w:val="none"/>
          <w:lang w:eastAsia="zh-CN"/>
        </w:rPr>
        <w:t>》</w:t>
      </w:r>
    </w:p>
    <w:p w14:paraId="0CD8AF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GB 44246—2024</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家用和类似用途电器、体育用品的电气部分及电玩具  安全技术规范</w:t>
      </w:r>
      <w:r>
        <w:rPr>
          <w:rFonts w:hint="default" w:ascii="Times New Roman" w:hAnsi="Times New Roman" w:eastAsia="宋体" w:cs="Times New Roman"/>
          <w:color w:val="auto"/>
          <w:sz w:val="21"/>
          <w:szCs w:val="21"/>
          <w:highlight w:val="none"/>
          <w:lang w:eastAsia="zh-CN"/>
        </w:rPr>
        <w:t>》</w:t>
      </w:r>
    </w:p>
    <w:p w14:paraId="47E673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GB/T 4706.1—2024</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第1部分：通用要求</w:t>
      </w:r>
      <w:r>
        <w:rPr>
          <w:rFonts w:hint="default" w:ascii="Times New Roman" w:hAnsi="Times New Roman" w:eastAsia="宋体" w:cs="Times New Roman"/>
          <w:color w:val="auto"/>
          <w:sz w:val="21"/>
          <w:szCs w:val="21"/>
          <w:highlight w:val="none"/>
          <w:lang w:eastAsia="zh-CN"/>
        </w:rPr>
        <w:t>》</w:t>
      </w:r>
    </w:p>
    <w:p w14:paraId="07EA1FF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GB/T 4706.13—2024</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第13部分：制冷器具、冰淇淋机和制冰机的特殊要求</w:t>
      </w:r>
      <w:r>
        <w:rPr>
          <w:rFonts w:hint="default" w:ascii="Times New Roman" w:hAnsi="Times New Roman" w:eastAsia="宋体" w:cs="Times New Roman"/>
          <w:color w:val="auto"/>
          <w:sz w:val="21"/>
          <w:szCs w:val="21"/>
          <w:highlight w:val="none"/>
          <w:lang w:eastAsia="zh-CN"/>
        </w:rPr>
        <w:t>》</w:t>
      </w:r>
    </w:p>
    <w:p w14:paraId="77CC31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GB/T 4706.19—2024</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第19部分：液体加热器的特殊要求</w:t>
      </w:r>
      <w:r>
        <w:rPr>
          <w:rFonts w:hint="default" w:ascii="Times New Roman" w:hAnsi="Times New Roman" w:eastAsia="宋体" w:cs="Times New Roman"/>
          <w:color w:val="auto"/>
          <w:sz w:val="21"/>
          <w:szCs w:val="21"/>
          <w:highlight w:val="none"/>
          <w:lang w:eastAsia="zh-CN"/>
        </w:rPr>
        <w:t>》</w:t>
      </w:r>
    </w:p>
    <w:p w14:paraId="44E740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现行有效的企业标准、团体标准、地方标准及产品明示质量要求</w:t>
      </w:r>
    </w:p>
    <w:p w14:paraId="195937E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 判定原则</w:t>
      </w:r>
    </w:p>
    <w:p w14:paraId="77A8398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经检验，检验项目全部合格，判定为被抽查产品所检项目未发现不合格；检验项目中任一项或一项以上不合格，判定为被抽查产品不合格。</w:t>
      </w:r>
    </w:p>
    <w:p w14:paraId="1FB322E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若被检产品明示的质量要求高于本细则中检验项目依据的标准要求时，应按被检产品明示的质量要求判定。</w:t>
      </w:r>
    </w:p>
    <w:p w14:paraId="02A415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若被检产品明示的质量要求低于本细则中检验项目依据的强制性标准要求时，应按照强制性标准要求判定。</w:t>
      </w:r>
    </w:p>
    <w:p w14:paraId="52E426B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若被检产品明示的质量要求低于或包含本细则中检验项目依据的推荐性标准要求时，应以被检产品明示的质量要求判定。</w:t>
      </w:r>
    </w:p>
    <w:p w14:paraId="717D786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若被检产品明示的质量要求缺少本细则中检验项目依据的强制性标准要求时，应按照强制性标准要求判定。</w:t>
      </w:r>
    </w:p>
    <w:p w14:paraId="2047BEDD">
      <w:pPr>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highlight w:val="none"/>
        </w:rPr>
        <w:t>若被检产品明示的质量要求缺少本细则中检验项目依据的推荐性标准要求时，该项目不参与判定</w:t>
      </w:r>
      <w:r>
        <w:rPr>
          <w:rFonts w:hint="default" w:ascii="Times New Roman" w:hAnsi="Times New Roman" w:eastAsia="宋体" w:cs="Times New Roman"/>
          <w:color w:val="auto"/>
          <w:sz w:val="21"/>
          <w:szCs w:val="21"/>
          <w:highlight w:val="none"/>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BA903B"/>
    <w:multiLevelType w:val="singleLevel"/>
    <w:tmpl w:val="5EBA903B"/>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254D8E"/>
    <w:rsid w:val="1375381E"/>
    <w:rsid w:val="4D254D8E"/>
    <w:rsid w:val="5F4D7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1088</Words>
  <Characters>2333</Characters>
  <Lines>0</Lines>
  <Paragraphs>0</Paragraphs>
  <TotalTime>0</TotalTime>
  <ScaleCrop>false</ScaleCrop>
  <LinksUpToDate>false</LinksUpToDate>
  <CharactersWithSpaces>2448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2026-07-06T09:00:00Z</dcterms:created>
  <dc:creator>Fan</dc:creator>
  <cp:lastModifiedBy>昌</cp:lastModifiedBy>
  <dcterms:modified xsi:type="dcterms:W3CDTF">2026-07-09T07:59:26Z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CADC468DCCE64AABB09B2D00794EC171_11</vt:lpwstr>
  </property>
  <property fmtid="{D5CDD505-2E9C-101B-9397-08002B2CF9AE}" pid="4" name="KSOTemplateDocerSaveRecord">
    <vt:lpwstr>eyJoZGlkIjoiZTA1MWM0ZWI2Mzc1MWUwOGNhZDM1NDZlYWZkMDI3MDgiLCJ1c2VySWQiOiIyNjM5MTQ5ODMifQ==</vt:lpwstr>
  </property>
</Properties>
</file>