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重庆市巫溪县市场监督管理局</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2023年度决算公开说明</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方正黑体_GBK" w:hAnsi="方正黑体_GBK" w:eastAsia="方正黑体_GBK" w:cs="方正黑体_GBK"/>
          <w:b w:val="0"/>
          <w:bCs/>
          <w:sz w:val="32"/>
          <w:szCs w:val="32"/>
        </w:rPr>
      </w:pPr>
      <w:r>
        <w:rPr>
          <w:rStyle w:val="10"/>
          <w:rFonts w:hint="eastAsia" w:ascii="方正黑体_GBK" w:hAnsi="方正黑体_GBK" w:eastAsia="方正黑体_GBK" w:cs="方正黑体_GBK"/>
          <w:b w:val="0"/>
          <w:bCs/>
          <w:sz w:val="32"/>
          <w:szCs w:val="32"/>
          <w:shd w:val="clear" w:color="auto" w:fill="FFFFFF"/>
        </w:rPr>
        <w:t>一、</w:t>
      </w:r>
      <w:r>
        <w:rPr>
          <w:rStyle w:val="10"/>
          <w:rFonts w:hint="eastAsia" w:ascii="方正黑体_GBK" w:hAnsi="方正黑体_GBK" w:eastAsia="方正黑体_GBK" w:cs="方正黑体_GBK"/>
          <w:b w:val="0"/>
          <w:bCs/>
          <w:sz w:val="32"/>
          <w:szCs w:val="32"/>
          <w:shd w:val="clear" w:color="auto" w:fill="FFFFFF"/>
          <w:lang w:eastAsia="zh-CN"/>
        </w:rPr>
        <w:t>部门</w:t>
      </w:r>
      <w:r>
        <w:rPr>
          <w:rStyle w:val="10"/>
          <w:rFonts w:hint="eastAsia" w:ascii="方正黑体_GBK" w:hAnsi="方正黑体_GBK" w:eastAsia="方正黑体_GBK" w:cs="方正黑体_GBK"/>
          <w:b w:val="0"/>
          <w:bCs/>
          <w:sz w:val="32"/>
          <w:szCs w:val="32"/>
          <w:shd w:val="clear" w:color="auto" w:fill="FFFFFF"/>
        </w:rPr>
        <w:t>基本情况</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（一）职能职责</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负责市场综合监督管理。贯彻执行市场监督管理有关法律、法规、规章、标准和安全技术规范，贯彻落实市场监督管理有关政策、规划和地方标准。组织实施质量强国战略、食品安全战略和标准化战略。规范和维护市场秩序，营造诚实守信、公平竞争的市场环境。</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负责食品药品安全监督管理综合协调。贯彻落实食品药品安全政策措施。负责食品药品安全应急体系建设，组织实施食品药品安全事件应急处置和调查处理工作，监督实施食品药品问题产品召回制度，承担食品药品电子监管追溯体系和信息化建设。落实食品安全重要信息直报制度。承担巫溪县食品药品安全委员会日常工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负责食品安全监督管理。建立覆盖食品、食品添加剂及食品相关产品生产、流通、消费全过程的监督检查制度和隐患排查治理机制并组织实施，防范区域性、系统性食品安全风险。推动食品、食品添加剂及食品相关产品生产经营者落实主体责任。组织开展食品、食品添加剂及食品相关产品安全监督抽检、风险监测、核查处置和风险预警、风险交流工作，收集上报食品安全信</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息。组织实施特殊食品监督管理。负责食品、食品添加剂及食品相关产品生产、加工、经营及餐饮行政许可管理。负责重大活动食品安全保障工作。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负责药品、医疗器械、化妆品安全监督管理。实施药品和医疗器械标准、分类管理制度。负责药品零售和医疗器械经营的许可（备案）、检查和处罚，以及化妆品经营监督和药品、医疗器械使用环节质量的检查、处罚。负责药品、化妆品不良反应和医疗器械不良事件监测和报告的管理工作。负责疫苗配送、存储质量管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5.负责宏观质量管理。拟订并组织实施质量发展的制度措施。会同有关部门组织实施重大工程设备质量监理制度。参与重大质量事故调查。实施缺陷产品召回制度。监督管理产品防伪工作。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负责产品质量安全监督管理。组织实施产品质量安全风险监控，承担产品质量监督抽查相关工作。负责产品质量安全应急体系建设，组织实施产品质量安全事件应急处置和调查处理工作。组织实施质量分级制度、质量安全追溯制度。负责工业产品生产许可管理。负责纤维质量监督工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7.负责特种设备安全监督管理。综合管理特种设备安全监察、监督工作。负责县市场监督管理局管辖或市市场监督管理局授权、委托范围内的特种设备行政许可工作，负责特种设备生产、经营、使用、气瓶和移动式压力容器充装检验检测等监督管理，负责接受特种设备安装、改造、维修的开工告知，负责特种设备安全应急体系建设，负责特种设备事故情况核实、报告和按规定权限进行调查并依法处理。监督检查高耗能特种设备节能标准和锅炉环境保护标准的执行情况。负责重大活动特种设备安全保障工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8.负责市场主体统一登记注册。依法或根据国家市场监督管理总局、市市场监督管理局授权，开展各类企业、农民专业合作社和从事经营活动的单位、个体工商户以及外国（地区）企业常驻代表机构等市场主体的登记注册工作。承担市场主体统一社会信用代码工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9.负责推动市场主体信用体系建设。承担辖区内市场主体信用信息归集工作。建立市场主体信息公示和共享机制，依法公示和共享有关信息。建立违法失信企业名录库，推进建立对失信市场主体的联合惩戒机制和信用修复机制，加强市场主体信用监管工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10.负责规范和监督管理市场秩序。依法监督管理市场交易、网络商品交易及有关服务的行为。统筹推进竞争政策实施，实施公平竞争审查制度。查处价格收费违法违规、不正当竞争、违法直销、传销、侵犯商标专利知识产权和制售假冒伪劣行为。指导广告业发展，监督管理广告活动。负责合同行政监督管理。依法查处无照生产经营和相关无证生产经营行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11.负责消费者权益保护工作。指导消费环境建设，组织开展消费维权工作，保护经营者、消费者合法权益。指导消费教育，引导健康消费，推动消费升级。指导巫溪县消费者权益保护委员会开展消费维权工作。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12.负责统一管理计量工作。推行法定计量单位和国家计量制度，依法管理计量器具及量值传递、量值溯源工作。依法实施计量监督检查，监督计量技术机构，规范和监督商品量、市场计量行为，负责能源计量工作和产品能效标识、水效标识的监督管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13.负责统一管理标准化工作。组织实施国家标准、行业标准、地方标准，负责推动团体标准、企业标准自我声明公开和监督检查。负责开展标准化试点示范项目建设，负责商品条码工作和标准化信息管理工作。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14.负责统一管理认证认可和检验检测工作。贯彻落实国家统一的认证认可和检验检测监督管理制度。对检验检测机构实施监督管理，对认证活动实施监督管理。推进检验检测机构改革，规范检验检测市场。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15.负责知识产权发展与保护工作。贯彻落实国家和全市知识产权强国、强市建设的方针政策。拟订并组织实施知识产权发展规划、计划。组织实施强化知识产权创造运用保护的管理政策和措施。</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16.负责开展市场监管综合执法工作。负责市场监管领域综合执法工作，具体执法交由巫溪县市场监管综合行政执法支队承担，并以部门名义统一执法。规范市场监管行政执法行为。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17.协助指导小微企业、个体工商户、专业市场党建工作，负责机关、直属单位党建工作。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18.完成县委、县政府交办的其他任务。</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（二）机构设置</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color w:val="auto"/>
          <w:kern w:val="0"/>
          <w:sz w:val="32"/>
          <w:szCs w:val="32"/>
          <w:shd w:val="clear" w:fill="FFFFFF"/>
          <w:lang w:eastAsia="zh-CN"/>
        </w:rPr>
        <w:t>县市场监督管理局有内设机构</w:t>
      </w:r>
      <w:r>
        <w:rPr>
          <w:rFonts w:hint="default" w:ascii="Times New Roman" w:hAnsi="Times New Roman" w:eastAsia="方正楷体_GBK" w:cs="Times New Roman"/>
          <w:color w:val="auto"/>
          <w:kern w:val="0"/>
          <w:sz w:val="32"/>
          <w:szCs w:val="32"/>
          <w:shd w:val="clear" w:fill="FFFFFF"/>
          <w:lang w:val="en-US" w:eastAsia="zh-CN"/>
        </w:rPr>
        <w:t>17</w:t>
      </w:r>
      <w:r>
        <w:rPr>
          <w:rFonts w:hint="eastAsia" w:ascii="方正仿宋_GBK" w:hAnsi="方正仿宋_GBK" w:eastAsia="方正仿宋_GBK" w:cs="方正仿宋_GBK"/>
          <w:color w:val="auto"/>
          <w:kern w:val="0"/>
          <w:sz w:val="32"/>
          <w:szCs w:val="32"/>
          <w:shd w:val="clear" w:fill="FFFFFF"/>
          <w:lang w:val="en-US" w:eastAsia="zh-CN"/>
        </w:rPr>
        <w:t>个，分别</w:t>
      </w:r>
      <w:r>
        <w:rPr>
          <w:rFonts w:hint="eastAsia" w:ascii="Times New Roman" w:hAnsi="Times New Roman" w:eastAsia="方正楷体_GBK" w:cs="Times New Roman"/>
          <w:color w:val="auto"/>
          <w:kern w:val="0"/>
          <w:sz w:val="32"/>
          <w:szCs w:val="32"/>
          <w:shd w:val="clear" w:fill="FFFFFF"/>
          <w:lang w:val="en-US" w:eastAsia="zh-CN"/>
        </w:rPr>
        <w:t>是</w:t>
      </w:r>
      <w:r>
        <w:rPr>
          <w:rFonts w:hint="eastAsia" w:ascii="方正仿宋_GBK" w:hAnsi="方正仿宋_GBK" w:eastAsia="方正仿宋_GBK" w:cs="方正仿宋_GBK"/>
          <w:color w:val="auto"/>
          <w:sz w:val="32"/>
          <w:szCs w:val="32"/>
          <w:highlight w:val="none"/>
          <w:lang w:val="en-US" w:eastAsia="zh-CN"/>
        </w:rPr>
        <w:t>办公室、法制科、组织人事科、财务科、风险</w:t>
      </w:r>
      <w:r>
        <w:rPr>
          <w:rFonts w:hint="eastAsia" w:ascii="方正仿宋_GBK" w:hAnsi="方正仿宋_GBK" w:eastAsia="方正仿宋_GBK" w:cs="方正仿宋_GBK"/>
          <w:sz w:val="32"/>
          <w:szCs w:val="32"/>
          <w:highlight w:val="none"/>
          <w:lang w:val="en-US" w:eastAsia="zh-CN"/>
        </w:rPr>
        <w:t>管理科（巫溪县食品药品安全委员会办公室）、食品安全监督管理一科、食品安全监督管理二科、药品监督管理科（不良反应监测科）、产品质量监督管理和质量发展科、特种设备安全监察科、注册和许可科、价格监督检查和反不正当竞争科（消费者权益保护科）、计量和认证认可监督管理科、信用和网络交易监督管理科、企业监督管理科、知识产权管理科（标准化管理科）、机关党委。</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rPr>
        <w:t>从预算单位构成看，纳入本部门</w:t>
      </w:r>
      <w:r>
        <w:rPr>
          <w:rFonts w:hint="default" w:ascii="Times New Roman" w:hAnsi="Times New Roman" w:eastAsia="方正楷体_GBK" w:cs="Times New Roman"/>
          <w:sz w:val="32"/>
          <w:szCs w:val="32"/>
        </w:rPr>
        <w:t>202</w:t>
      </w:r>
      <w:r>
        <w:rPr>
          <w:rFonts w:hint="eastAsia" w:ascii="Times New Roman" w:hAnsi="Times New Roman" w:eastAsia="方正楷体_GBK" w:cs="Times New Roman"/>
          <w:sz w:val="32"/>
          <w:szCs w:val="32"/>
          <w:lang w:val="en-US" w:eastAsia="zh-CN"/>
        </w:rPr>
        <w:t>3</w:t>
      </w:r>
      <w:r>
        <w:rPr>
          <w:rFonts w:hint="eastAsia" w:ascii="方正仿宋_GBK" w:hAnsi="方正仿宋_GBK" w:eastAsia="方正仿宋_GBK" w:cs="方正仿宋_GBK"/>
          <w:sz w:val="32"/>
          <w:szCs w:val="32"/>
        </w:rPr>
        <w:t>年度决算编制的二级预算单位主要包括重庆市巫溪县消费者权益保护委员会、巫溪县市场监管综合行政执法支队等，由巫溪县市场监督管理局集中核算。</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方正黑体_GBK" w:hAnsi="方正黑体_GBK" w:eastAsia="方正黑体_GBK" w:cs="方正黑体_GBK"/>
          <w:b w:val="0"/>
          <w:bCs/>
          <w:sz w:val="32"/>
          <w:szCs w:val="32"/>
        </w:rPr>
      </w:pPr>
      <w:r>
        <w:rPr>
          <w:rStyle w:val="10"/>
          <w:rFonts w:hint="eastAsia" w:ascii="方正黑体_GBK" w:hAnsi="方正黑体_GBK" w:eastAsia="方正黑体_GBK" w:cs="方正黑体_GBK"/>
          <w:b w:val="0"/>
          <w:bCs/>
          <w:sz w:val="32"/>
          <w:szCs w:val="32"/>
          <w:shd w:val="clear" w:color="auto" w:fill="FFFFFF"/>
        </w:rPr>
        <w:t>二、</w:t>
      </w:r>
      <w:r>
        <w:rPr>
          <w:rStyle w:val="10"/>
          <w:rFonts w:hint="eastAsia" w:ascii="方正黑体_GBK" w:hAnsi="方正黑体_GBK" w:eastAsia="方正黑体_GBK" w:cs="方正黑体_GBK"/>
          <w:b w:val="0"/>
          <w:bCs/>
          <w:sz w:val="32"/>
          <w:szCs w:val="32"/>
          <w:shd w:val="clear" w:color="auto" w:fill="FFFFFF"/>
          <w:lang w:eastAsia="zh-CN"/>
        </w:rPr>
        <w:t>部门</w:t>
      </w:r>
      <w:r>
        <w:rPr>
          <w:rStyle w:val="10"/>
          <w:rFonts w:hint="eastAsia" w:ascii="方正黑体_GBK" w:hAnsi="方正黑体_GBK" w:eastAsia="方正黑体_GBK" w:cs="方正黑体_GBK"/>
          <w:b w:val="0"/>
          <w:bCs/>
          <w:sz w:val="32"/>
          <w:szCs w:val="32"/>
          <w:shd w:val="clear" w:color="auto" w:fill="FFFFFF"/>
        </w:rPr>
        <w:t>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textAlignment w:val="auto"/>
        <w:rPr>
          <w:rFonts w:hint="eastAsia" w:ascii="方正仿宋_GBK" w:hAnsi="方正仿宋_GBK" w:eastAsia="方正仿宋_GBK" w:cs="方正仿宋_GBK"/>
          <w:color w:val="000000"/>
          <w:kern w:val="0"/>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2023年度收入总计3279.42万元，支出总计</w:t>
      </w:r>
      <w:r>
        <w:rPr>
          <w:rFonts w:ascii="方正仿宋_GBK" w:hAnsi="方正仿宋_GBK" w:eastAsia="方正仿宋_GBK" w:cs="方正仿宋_GBK"/>
          <w:sz w:val="32"/>
          <w:szCs w:val="32"/>
        </w:rPr>
        <w:t>3279.42</w:t>
      </w:r>
      <w:r>
        <w:rPr>
          <w:rFonts w:ascii="方正仿宋_GBK" w:hAnsi="方正仿宋_GBK" w:eastAsia="方正仿宋_GBK" w:cs="方正仿宋_GBK"/>
          <w:sz w:val="32"/>
          <w:szCs w:val="32"/>
          <w:shd w:val="clear" w:color="auto" w:fill="FFFFFF"/>
        </w:rPr>
        <w:t>万元。收支较上年决算数增加233.70万元，增长7.67%，主要原因是</w:t>
      </w:r>
      <w:r>
        <w:rPr>
          <w:rFonts w:hint="eastAsia" w:ascii="方正仿宋_GBK" w:hAnsi="方正仿宋_GBK" w:eastAsia="方正仿宋_GBK" w:cs="方正仿宋_GBK"/>
          <w:color w:val="000000"/>
          <w:kern w:val="0"/>
          <w:sz w:val="32"/>
          <w:szCs w:val="32"/>
        </w:rPr>
        <w:t>2023年新录用公务员10名</w:t>
      </w:r>
      <w:r>
        <w:rPr>
          <w:rFonts w:hint="eastAsia" w:ascii="方正仿宋_GBK" w:hAnsi="方正仿宋_GBK" w:eastAsia="方正仿宋_GBK" w:cs="方正仿宋_GBK"/>
          <w:color w:val="000000"/>
          <w:kern w:val="0"/>
          <w:sz w:val="32"/>
          <w:szCs w:val="32"/>
          <w:lang w:val="en-US" w:eastAsia="zh-CN"/>
        </w:rPr>
        <w:t>,</w:t>
      </w:r>
      <w:r>
        <w:rPr>
          <w:rFonts w:hint="eastAsia" w:ascii="方正仿宋_GBK" w:hAnsi="方正仿宋_GBK" w:eastAsia="方正仿宋_GBK" w:cs="方正仿宋_GBK"/>
          <w:color w:val="000000"/>
          <w:kern w:val="0"/>
          <w:sz w:val="32"/>
          <w:szCs w:val="32"/>
        </w:rPr>
        <w:t>增加人员和公用经费，市级财政下达村社食品药品协管员补助。</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2023年度收入合计3249.82万元，较上年决算数增加233.81万元，增长7.75%，主要原因是</w:t>
      </w:r>
      <w:r>
        <w:rPr>
          <w:rFonts w:hint="eastAsia" w:ascii="方正仿宋_GBK" w:hAnsi="方正仿宋_GBK" w:eastAsia="方正仿宋_GBK" w:cs="方正仿宋_GBK"/>
          <w:color w:val="000000"/>
          <w:kern w:val="0"/>
          <w:sz w:val="32"/>
          <w:szCs w:val="32"/>
        </w:rPr>
        <w:t>2023年新录用公务员10名</w:t>
      </w:r>
      <w:r>
        <w:rPr>
          <w:rFonts w:hint="eastAsia" w:ascii="方正仿宋_GBK" w:hAnsi="方正仿宋_GBK" w:eastAsia="方正仿宋_GBK" w:cs="方正仿宋_GBK"/>
          <w:color w:val="000000"/>
          <w:kern w:val="0"/>
          <w:sz w:val="32"/>
          <w:szCs w:val="32"/>
          <w:lang w:val="en-US" w:eastAsia="zh-CN"/>
        </w:rPr>
        <w:t>，</w:t>
      </w:r>
      <w:r>
        <w:rPr>
          <w:rFonts w:hint="eastAsia" w:ascii="方正仿宋_GBK" w:hAnsi="方正仿宋_GBK" w:eastAsia="方正仿宋_GBK" w:cs="方正仿宋_GBK"/>
          <w:color w:val="000000"/>
          <w:kern w:val="0"/>
          <w:sz w:val="32"/>
          <w:szCs w:val="32"/>
        </w:rPr>
        <w:t>增加人员和公用经费，市级财政下达村社食品药品协管员补助。</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3249.82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29.60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3279.42</w:t>
      </w:r>
      <w:r>
        <w:rPr>
          <w:rFonts w:ascii="方正仿宋_GBK" w:hAnsi="方正仿宋_GBK" w:eastAsia="方正仿宋_GBK" w:cs="方正仿宋_GBK"/>
          <w:sz w:val="32"/>
          <w:szCs w:val="32"/>
          <w:shd w:val="clear" w:color="auto" w:fill="FFFFFF"/>
        </w:rPr>
        <w:t>万元，较上年决算数增加263.30万元，增长8.73%，主要原因是</w:t>
      </w:r>
      <w:r>
        <w:rPr>
          <w:rFonts w:hint="eastAsia" w:ascii="方正仿宋_GBK" w:hAnsi="方正仿宋_GBK" w:eastAsia="方正仿宋_GBK" w:cs="方正仿宋_GBK"/>
          <w:color w:val="000000"/>
          <w:kern w:val="0"/>
          <w:sz w:val="32"/>
          <w:szCs w:val="32"/>
        </w:rPr>
        <w:t>2023年新录用公务员10名</w:t>
      </w:r>
      <w:r>
        <w:rPr>
          <w:rFonts w:hint="eastAsia" w:ascii="方正仿宋_GBK" w:hAnsi="方正仿宋_GBK" w:eastAsia="方正仿宋_GBK" w:cs="方正仿宋_GBK"/>
          <w:color w:val="000000"/>
          <w:kern w:val="0"/>
          <w:sz w:val="32"/>
          <w:szCs w:val="32"/>
          <w:lang w:val="en-US" w:eastAsia="zh-CN"/>
        </w:rPr>
        <w:t>,</w:t>
      </w:r>
      <w:r>
        <w:rPr>
          <w:rFonts w:hint="eastAsia" w:ascii="方正仿宋_GBK" w:hAnsi="方正仿宋_GBK" w:eastAsia="方正仿宋_GBK" w:cs="方正仿宋_GBK"/>
          <w:color w:val="000000"/>
          <w:kern w:val="0"/>
          <w:sz w:val="32"/>
          <w:szCs w:val="32"/>
        </w:rPr>
        <w:t>增加人员和公用经费</w:t>
      </w:r>
      <w:r>
        <w:rPr>
          <w:rFonts w:hint="eastAsia" w:ascii="方正仿宋_GBK" w:hAnsi="方正仿宋_GBK" w:eastAsia="方正仿宋_GBK" w:cs="方正仿宋_GBK"/>
          <w:color w:val="000000"/>
          <w:kern w:val="0"/>
          <w:sz w:val="32"/>
          <w:szCs w:val="32"/>
          <w:lang w:eastAsia="zh-CN"/>
        </w:rPr>
        <w:t>支出</w:t>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lang w:eastAsia="zh-CN"/>
        </w:rPr>
        <w:t>同时，</w:t>
      </w:r>
      <w:r>
        <w:rPr>
          <w:rFonts w:hint="eastAsia" w:ascii="方正仿宋_GBK" w:hAnsi="方正仿宋_GBK" w:eastAsia="方正仿宋_GBK" w:cs="方正仿宋_GBK"/>
          <w:color w:val="000000"/>
          <w:kern w:val="0"/>
          <w:sz w:val="32"/>
          <w:szCs w:val="32"/>
        </w:rPr>
        <w:t>市级财政下达村社食品药品协管员补助</w:t>
      </w:r>
      <w:r>
        <w:rPr>
          <w:rFonts w:hint="eastAsia" w:ascii="方正仿宋_GBK" w:hAnsi="方正仿宋_GBK" w:eastAsia="方正仿宋_GBK" w:cs="方正仿宋_GBK"/>
          <w:color w:val="000000"/>
          <w:kern w:val="0"/>
          <w:sz w:val="32"/>
          <w:szCs w:val="32"/>
          <w:lang w:eastAsia="zh-CN"/>
        </w:rPr>
        <w:t>，增加了项目支出</w:t>
      </w:r>
      <w:r>
        <w:rPr>
          <w:rFonts w:hint="eastAsia" w:ascii="方正仿宋_GBK" w:hAnsi="方正仿宋_GBK" w:eastAsia="方正仿宋_GBK" w:cs="方正仿宋_GBK"/>
          <w:color w:val="000000"/>
          <w:kern w:val="0"/>
          <w:sz w:val="32"/>
          <w:szCs w:val="32"/>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2619.59</w:t>
      </w:r>
      <w:r>
        <w:rPr>
          <w:rFonts w:ascii="方正仿宋_GBK" w:hAnsi="方正仿宋_GBK" w:eastAsia="方正仿宋_GBK" w:cs="方正仿宋_GBK"/>
          <w:sz w:val="32"/>
          <w:szCs w:val="32"/>
          <w:shd w:val="clear" w:color="auto" w:fill="FFFFFF"/>
        </w:rPr>
        <w:t>万元，占79.88%；项目支出</w:t>
      </w:r>
      <w:r>
        <w:rPr>
          <w:rFonts w:ascii="方正仿宋_GBK" w:hAnsi="方正仿宋_GBK" w:eastAsia="方正仿宋_GBK" w:cs="方正仿宋_GBK"/>
          <w:sz w:val="32"/>
          <w:szCs w:val="32"/>
        </w:rPr>
        <w:t>659.83</w:t>
      </w:r>
      <w:r>
        <w:rPr>
          <w:rFonts w:ascii="方正仿宋_GBK" w:hAnsi="方正仿宋_GBK" w:eastAsia="方正仿宋_GBK" w:cs="方正仿宋_GBK"/>
          <w:sz w:val="32"/>
          <w:szCs w:val="32"/>
          <w:shd w:val="clear" w:color="auto" w:fill="FFFFFF"/>
        </w:rPr>
        <w:t>万元，占20.12%；经营支出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万元，较上年决算数减少29.60万元，下降100.00%，主要原因是</w:t>
      </w:r>
      <w:r>
        <w:rPr>
          <w:rFonts w:hint="eastAsia" w:ascii="方正仿宋_GBK" w:hAnsi="方正仿宋_GBK" w:eastAsia="方正仿宋_GBK" w:cs="方正仿宋_GBK"/>
          <w:color w:val="000000"/>
          <w:kern w:val="0"/>
          <w:sz w:val="32"/>
          <w:szCs w:val="32"/>
        </w:rPr>
        <w:t>上年结转项目完成</w:t>
      </w:r>
      <w:r>
        <w:rPr>
          <w:rFonts w:hint="eastAsia" w:ascii="方正仿宋_GBK" w:hAnsi="方正仿宋_GBK" w:eastAsia="方正仿宋_GBK" w:cs="方正仿宋_GBK"/>
          <w:color w:val="000000"/>
          <w:kern w:val="0"/>
          <w:sz w:val="32"/>
          <w:szCs w:val="32"/>
          <w:lang w:eastAsia="zh-CN"/>
        </w:rPr>
        <w:t>，支付了上年结转资金。</w:t>
      </w:r>
    </w:p>
    <w:p>
      <w:pPr>
        <w:pStyle w:val="11"/>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lang w:val="en-US" w:eastAsia="zh-CN"/>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2023年度财政拨款收、支总计3279.42万元。与2022年相比，财政拨款收、支总计各增加233.70万元，增长7.67%。主要原因是</w:t>
      </w:r>
      <w:r>
        <w:rPr>
          <w:rFonts w:hint="eastAsia" w:ascii="方正仿宋_GBK" w:hAnsi="方正仿宋_GBK" w:eastAsia="方正仿宋_GBK" w:cs="方正仿宋_GBK"/>
          <w:color w:val="000000"/>
          <w:kern w:val="0"/>
          <w:sz w:val="32"/>
          <w:szCs w:val="32"/>
        </w:rPr>
        <w:t>2023年新录用公务员10名</w:t>
      </w:r>
      <w:r>
        <w:rPr>
          <w:rFonts w:hint="eastAsia" w:ascii="方正仿宋_GBK" w:hAnsi="方正仿宋_GBK" w:eastAsia="方正仿宋_GBK" w:cs="方正仿宋_GBK"/>
          <w:color w:val="000000"/>
          <w:kern w:val="0"/>
          <w:sz w:val="32"/>
          <w:szCs w:val="32"/>
          <w:lang w:val="en-US" w:eastAsia="zh-CN"/>
        </w:rPr>
        <w:t>,</w:t>
      </w:r>
      <w:r>
        <w:rPr>
          <w:rFonts w:hint="eastAsia" w:ascii="方正仿宋_GBK" w:hAnsi="方正仿宋_GBK" w:eastAsia="方正仿宋_GBK" w:cs="方正仿宋_GBK"/>
          <w:color w:val="000000"/>
          <w:kern w:val="0"/>
          <w:sz w:val="32"/>
          <w:szCs w:val="32"/>
        </w:rPr>
        <w:t>增加人员和公用经费</w:t>
      </w:r>
      <w:r>
        <w:rPr>
          <w:rFonts w:hint="eastAsia" w:ascii="方正仿宋_GBK" w:hAnsi="方正仿宋_GBK" w:eastAsia="方正仿宋_GBK" w:cs="方正仿宋_GBK"/>
          <w:color w:val="000000"/>
          <w:kern w:val="0"/>
          <w:sz w:val="32"/>
          <w:szCs w:val="32"/>
          <w:lang w:eastAsia="zh-CN"/>
        </w:rPr>
        <w:t>收入支出</w:t>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lang w:eastAsia="zh-CN"/>
        </w:rPr>
        <w:t>同时，</w:t>
      </w:r>
      <w:r>
        <w:rPr>
          <w:rFonts w:hint="eastAsia" w:ascii="方正仿宋_GBK" w:hAnsi="方正仿宋_GBK" w:eastAsia="方正仿宋_GBK" w:cs="方正仿宋_GBK"/>
          <w:color w:val="000000"/>
          <w:kern w:val="0"/>
          <w:sz w:val="32"/>
          <w:szCs w:val="32"/>
        </w:rPr>
        <w:t>市级财政下达村社食品药品协管员补助</w:t>
      </w:r>
      <w:r>
        <w:rPr>
          <w:rFonts w:hint="eastAsia" w:ascii="方正仿宋_GBK" w:hAnsi="方正仿宋_GBK" w:eastAsia="方正仿宋_GBK" w:cs="方正仿宋_GBK"/>
          <w:color w:val="000000"/>
          <w:kern w:val="0"/>
          <w:sz w:val="32"/>
          <w:szCs w:val="32"/>
          <w:lang w:eastAsia="zh-CN"/>
        </w:rPr>
        <w:t>，增加了项目收入支出</w:t>
      </w:r>
      <w:r>
        <w:rPr>
          <w:rFonts w:hint="eastAsia" w:ascii="方正仿宋_GBK" w:hAnsi="方正仿宋_GBK" w:eastAsia="方正仿宋_GBK" w:cs="方正仿宋_GBK"/>
          <w:color w:val="000000"/>
          <w:kern w:val="0"/>
          <w:sz w:val="32"/>
          <w:szCs w:val="32"/>
        </w:rPr>
        <w:t>。</w:t>
      </w:r>
    </w:p>
    <w:p>
      <w:pPr>
        <w:pStyle w:val="11"/>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lang w:eastAsia="zh-CN"/>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pPr>
        <w:keepNext w:val="0"/>
        <w:keepLines w:val="0"/>
        <w:pageBreakBefore w:val="0"/>
        <w:kinsoku/>
        <w:wordWrap/>
        <w:overflowPunct/>
        <w:topLinePunct w:val="0"/>
        <w:autoSpaceDE w:val="0"/>
        <w:autoSpaceDN/>
        <w:bidi w:val="0"/>
        <w:adjustRightInd/>
        <w:spacing w:beforeAutospacing="0" w:afterAutospacing="0" w:line="600" w:lineRule="exact"/>
        <w:ind w:firstLine="643" w:firstLineChars="200"/>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3249.82</w:t>
      </w:r>
      <w:r>
        <w:rPr>
          <w:rFonts w:ascii="方正仿宋_GBK" w:hAnsi="方正仿宋_GBK" w:eastAsia="方正仿宋_GBK" w:cs="方正仿宋_GBK"/>
          <w:sz w:val="32"/>
          <w:szCs w:val="32"/>
          <w:shd w:val="clear" w:color="auto" w:fill="FFFFFF"/>
        </w:rPr>
        <w:t>万元，较上年决算数增加233.81万元，增长7.75%。主要原因是</w:t>
      </w:r>
      <w:r>
        <w:rPr>
          <w:rFonts w:hint="eastAsia" w:ascii="方正仿宋_GBK" w:hAnsi="方正仿宋_GBK" w:eastAsia="方正仿宋_GBK" w:cs="方正仿宋_GBK"/>
          <w:color w:val="000000"/>
          <w:kern w:val="0"/>
          <w:sz w:val="32"/>
          <w:szCs w:val="32"/>
        </w:rPr>
        <w:t>2023年新录用公务员10名</w:t>
      </w:r>
      <w:r>
        <w:rPr>
          <w:rFonts w:hint="eastAsia" w:ascii="方正仿宋_GBK" w:hAnsi="方正仿宋_GBK" w:eastAsia="方正仿宋_GBK" w:cs="方正仿宋_GBK"/>
          <w:color w:val="000000"/>
          <w:kern w:val="0"/>
          <w:sz w:val="32"/>
          <w:szCs w:val="32"/>
          <w:lang w:val="en-US" w:eastAsia="zh-CN"/>
        </w:rPr>
        <w:t>,</w:t>
      </w:r>
      <w:r>
        <w:rPr>
          <w:rFonts w:hint="eastAsia" w:ascii="方正仿宋_GBK" w:hAnsi="方正仿宋_GBK" w:eastAsia="方正仿宋_GBK" w:cs="方正仿宋_GBK"/>
          <w:color w:val="000000"/>
          <w:kern w:val="0"/>
          <w:sz w:val="32"/>
          <w:szCs w:val="32"/>
        </w:rPr>
        <w:t>增加人员和公用经费</w:t>
      </w:r>
      <w:r>
        <w:rPr>
          <w:rFonts w:hint="eastAsia" w:ascii="方正仿宋_GBK" w:hAnsi="方正仿宋_GBK" w:eastAsia="方正仿宋_GBK" w:cs="方正仿宋_GBK"/>
          <w:color w:val="000000"/>
          <w:kern w:val="0"/>
          <w:sz w:val="32"/>
          <w:szCs w:val="32"/>
          <w:lang w:eastAsia="zh-CN"/>
        </w:rPr>
        <w:t>收入</w:t>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lang w:eastAsia="zh-CN"/>
        </w:rPr>
        <w:t>同时，</w:t>
      </w:r>
      <w:r>
        <w:rPr>
          <w:rFonts w:hint="eastAsia" w:ascii="方正仿宋_GBK" w:hAnsi="方正仿宋_GBK" w:eastAsia="方正仿宋_GBK" w:cs="方正仿宋_GBK"/>
          <w:color w:val="000000"/>
          <w:kern w:val="0"/>
          <w:sz w:val="32"/>
          <w:szCs w:val="32"/>
        </w:rPr>
        <w:t>市级财政下达村社食品药品协管员补助</w:t>
      </w:r>
      <w:r>
        <w:rPr>
          <w:rFonts w:hint="eastAsia" w:ascii="方正仿宋_GBK" w:hAnsi="方正仿宋_GBK" w:eastAsia="方正仿宋_GBK" w:cs="方正仿宋_GBK"/>
          <w:color w:val="000000"/>
          <w:kern w:val="0"/>
          <w:sz w:val="32"/>
          <w:szCs w:val="32"/>
          <w:lang w:eastAsia="zh-CN"/>
        </w:rPr>
        <w:t>，增加了项目收入</w:t>
      </w:r>
      <w:r>
        <w:rPr>
          <w:rFonts w:hint="eastAsia" w:ascii="方正仿宋_GBK" w:hAnsi="方正仿宋_GBK" w:eastAsia="方正仿宋_GBK" w:cs="方正仿宋_GBK"/>
          <w:color w:val="000000"/>
          <w:kern w:val="0"/>
          <w:sz w:val="32"/>
          <w:szCs w:val="32"/>
        </w:rPr>
        <w:t>。</w:t>
      </w:r>
      <w:r>
        <w:rPr>
          <w:rFonts w:ascii="方正仿宋_GBK" w:hAnsi="方正仿宋_GBK" w:eastAsia="方正仿宋_GBK" w:cs="方正仿宋_GBK"/>
          <w:sz w:val="32"/>
          <w:szCs w:val="32"/>
          <w:shd w:val="clear" w:color="auto" w:fill="FFFFFF"/>
        </w:rPr>
        <w:t>较年初预算数增加385.02万元，增长13.44%。主要原因是</w:t>
      </w:r>
      <w:r>
        <w:rPr>
          <w:rFonts w:hint="eastAsia" w:ascii="方正仿宋_GBK" w:eastAsia="方正仿宋_GBK"/>
          <w:sz w:val="32"/>
          <w:szCs w:val="32"/>
        </w:rPr>
        <w:t>溪财行</w:t>
      </w:r>
      <w:r>
        <w:rPr>
          <w:rFonts w:hint="eastAsia" w:ascii="宋体" w:hAnsi="宋体" w:eastAsia="宋体" w:cs="宋体"/>
          <w:sz w:val="32"/>
          <w:szCs w:val="32"/>
        </w:rPr>
        <w:t>〔</w:t>
      </w:r>
      <w:r>
        <w:rPr>
          <w:rFonts w:hint="eastAsia" w:ascii="方正仿宋_GBK" w:eastAsia="方正仿宋_GBK"/>
          <w:sz w:val="32"/>
          <w:szCs w:val="32"/>
        </w:rPr>
        <w:t>2022</w:t>
      </w:r>
      <w:r>
        <w:rPr>
          <w:rFonts w:hint="eastAsia" w:ascii="宋体" w:hAnsi="宋体" w:eastAsia="宋体" w:cs="宋体"/>
          <w:sz w:val="32"/>
          <w:szCs w:val="32"/>
        </w:rPr>
        <w:t>〕</w:t>
      </w:r>
      <w:r>
        <w:rPr>
          <w:rFonts w:hint="eastAsia" w:ascii="方正仿宋_GBK" w:eastAsia="方正仿宋_GBK"/>
          <w:sz w:val="32"/>
          <w:szCs w:val="32"/>
        </w:rPr>
        <w:t>20-1、61、65、66、67、68号，溪财行</w:t>
      </w:r>
      <w:r>
        <w:rPr>
          <w:rFonts w:hint="eastAsia" w:ascii="宋体" w:hAnsi="宋体" w:eastAsia="宋体" w:cs="宋体"/>
          <w:sz w:val="32"/>
          <w:szCs w:val="32"/>
        </w:rPr>
        <w:t>〔</w:t>
      </w:r>
      <w:r>
        <w:rPr>
          <w:rFonts w:hint="eastAsia" w:ascii="方正仿宋_GBK" w:eastAsia="方正仿宋_GBK"/>
          <w:sz w:val="32"/>
          <w:szCs w:val="32"/>
        </w:rPr>
        <w:t>2023</w:t>
      </w:r>
      <w:r>
        <w:rPr>
          <w:rFonts w:hint="eastAsia" w:ascii="宋体" w:hAnsi="宋体" w:eastAsia="宋体" w:cs="宋体"/>
          <w:sz w:val="32"/>
          <w:szCs w:val="32"/>
        </w:rPr>
        <w:t>〕</w:t>
      </w:r>
      <w:r>
        <w:rPr>
          <w:rFonts w:hint="eastAsia" w:ascii="方正仿宋_GBK" w:eastAsia="方正仿宋_GBK"/>
          <w:sz w:val="32"/>
          <w:szCs w:val="32"/>
        </w:rPr>
        <w:t>30号等追加预算。预算收入增加的主要原因为专项整治行动增加，人员经费和公用经费增加，涉及的功能科目有食品安全监管、药品事务、行政运行等。</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29.60</w:t>
      </w:r>
      <w:r>
        <w:rPr>
          <w:rFonts w:ascii="方正仿宋_GBK" w:hAnsi="方正仿宋_GBK" w:eastAsia="方正仿宋_GBK" w:cs="方正仿宋_GBK"/>
          <w:sz w:val="32"/>
          <w:szCs w:val="32"/>
          <w:shd w:val="clear" w:color="auto" w:fill="FFFFFF"/>
        </w:rPr>
        <w:t>万元。</w:t>
      </w:r>
    </w:p>
    <w:p>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3279.42</w:t>
      </w:r>
      <w:r>
        <w:rPr>
          <w:rFonts w:ascii="方正仿宋_GBK" w:hAnsi="方正仿宋_GBK" w:eastAsia="方正仿宋_GBK" w:cs="方正仿宋_GBK"/>
          <w:sz w:val="32"/>
          <w:szCs w:val="32"/>
          <w:shd w:val="clear" w:color="auto" w:fill="FFFFFF"/>
        </w:rPr>
        <w:t>万元，较上年决算数增加263.30万元，增长8.73%。主要原因是</w:t>
      </w:r>
      <w:r>
        <w:rPr>
          <w:rFonts w:hint="eastAsia" w:ascii="方正仿宋_GBK" w:eastAsia="方正仿宋_GBK"/>
          <w:sz w:val="32"/>
          <w:szCs w:val="32"/>
        </w:rPr>
        <w:t>专项整治行动增加，人员经费和公用经费增加，</w:t>
      </w:r>
      <w:r>
        <w:rPr>
          <w:rFonts w:hint="eastAsia" w:ascii="方正仿宋_GBK" w:eastAsia="方正仿宋_GBK"/>
          <w:sz w:val="32"/>
          <w:szCs w:val="32"/>
          <w:lang w:eastAsia="zh-CN"/>
        </w:rPr>
        <w:t>所以相应支出增加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较年初预算数增加414.62万元，增长14.47%。主要原因是是</w:t>
      </w:r>
      <w:r>
        <w:rPr>
          <w:rFonts w:hint="eastAsia" w:ascii="方正仿宋_GBK" w:eastAsia="方正仿宋_GBK"/>
          <w:sz w:val="32"/>
          <w:szCs w:val="32"/>
        </w:rPr>
        <w:t>专项整治行动增加，人员经费和公用经费增加，</w:t>
      </w:r>
      <w:r>
        <w:rPr>
          <w:rFonts w:hint="eastAsia" w:ascii="方正仿宋_GBK" w:eastAsia="方正仿宋_GBK"/>
          <w:sz w:val="32"/>
          <w:szCs w:val="32"/>
          <w:lang w:eastAsia="zh-CN"/>
        </w:rPr>
        <w:t>同时上年结转项目也完成，所以相应支出增加</w:t>
      </w:r>
      <w:r>
        <w:rPr>
          <w:rFonts w:ascii="方正仿宋_GBK" w:hAnsi="方正仿宋_GBK" w:eastAsia="方正仿宋_GBK" w:cs="方正仿宋_GBK"/>
          <w:color w:val="auto"/>
          <w:sz w:val="32"/>
          <w:szCs w:val="32"/>
          <w:shd w:val="clear" w:color="auto" w:fill="FFFFFF"/>
        </w:rPr>
        <w:t>。</w:t>
      </w:r>
    </w:p>
    <w:p>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万元，较上年决算数减少29.60万元，下降100.00%，主要原因是</w:t>
      </w:r>
      <w:r>
        <w:rPr>
          <w:rFonts w:hint="eastAsia" w:ascii="方正仿宋_GBK" w:hAnsi="方正仿宋_GBK" w:eastAsia="方正仿宋_GBK" w:cs="方正仿宋_GBK"/>
          <w:color w:val="000000"/>
          <w:kern w:val="0"/>
          <w:sz w:val="32"/>
          <w:szCs w:val="32"/>
        </w:rPr>
        <w:t>上年结转项目完成</w:t>
      </w:r>
      <w:r>
        <w:rPr>
          <w:rFonts w:hint="eastAsia" w:ascii="方正仿宋_GBK" w:hAnsi="方正仿宋_GBK" w:eastAsia="方正仿宋_GBK" w:cs="方正仿宋_GBK"/>
          <w:color w:val="000000"/>
          <w:kern w:val="0"/>
          <w:sz w:val="32"/>
          <w:szCs w:val="32"/>
          <w:lang w:eastAsia="zh-CN"/>
        </w:rPr>
        <w:t>，支付了上年结转资金。</w:t>
      </w:r>
    </w:p>
    <w:p>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2414.04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73.61</w:t>
      </w:r>
      <w:r>
        <w:rPr>
          <w:rFonts w:ascii="方正仿宋_GBK" w:hAnsi="方正仿宋_GBK" w:eastAsia="方正仿宋_GBK" w:cs="方正仿宋_GBK"/>
          <w:sz w:val="32"/>
          <w:szCs w:val="32"/>
          <w:shd w:val="clear" w:color="auto" w:fill="FFFFFF"/>
        </w:rPr>
        <w:t>%，较年初</w:t>
      </w:r>
    </w:p>
    <w:p>
      <w:pPr>
        <w:pStyle w:val="6"/>
        <w:keepNext w:val="0"/>
        <w:keepLines w:val="0"/>
        <w:pageBreakBefore w:val="0"/>
        <w:kinsoku/>
        <w:wordWrap/>
        <w:overflowPunct/>
        <w:topLinePunct w:val="0"/>
        <w:autoSpaceDN/>
        <w:bidi w:val="0"/>
        <w:adjustRightInd/>
        <w:snapToGrid w:val="0"/>
        <w:spacing w:before="0" w:beforeAutospacing="0" w:after="0" w:afterAutospacing="0" w:line="600" w:lineRule="exact"/>
        <w:jc w:val="both"/>
        <w:textAlignment w:val="auto"/>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预算数增加220.77万元，增长10.07%，主要原因是是</w:t>
      </w:r>
      <w:r>
        <w:rPr>
          <w:rFonts w:hint="eastAsia" w:ascii="方正仿宋_GBK" w:eastAsia="方正仿宋_GBK"/>
          <w:sz w:val="32"/>
          <w:szCs w:val="32"/>
        </w:rPr>
        <w:t>专项整治行动增加，人员经费和公用经费增加，</w:t>
      </w:r>
      <w:r>
        <w:rPr>
          <w:rFonts w:hint="eastAsia" w:ascii="方正仿宋_GBK" w:eastAsia="方正仿宋_GBK"/>
          <w:sz w:val="32"/>
          <w:szCs w:val="32"/>
          <w:lang w:eastAsia="zh-CN"/>
        </w:rPr>
        <w:t>同时上年结转项目也完成，所以相应支出增加</w:t>
      </w:r>
      <w:r>
        <w:rPr>
          <w:rFonts w:ascii="方正仿宋_GBK" w:hAnsi="方正仿宋_GBK" w:eastAsia="方正仿宋_GBK" w:cs="方正仿宋_GBK"/>
          <w:color w:val="auto"/>
          <w:sz w:val="32"/>
          <w:szCs w:val="32"/>
          <w:shd w:val="clear" w:color="auto" w:fill="FFFFFF"/>
        </w:rPr>
        <w:t>。</w:t>
      </w:r>
    </w:p>
    <w:p>
      <w:pPr>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eastAsia="方正楷体_GBK"/>
          <w:b/>
          <w:bCs/>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608.00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18.54</w:t>
      </w:r>
      <w:r>
        <w:rPr>
          <w:rFonts w:ascii="方正仿宋_GBK" w:hAnsi="方正仿宋_GBK" w:eastAsia="方正仿宋_GBK" w:cs="方正仿宋_GBK"/>
          <w:sz w:val="32"/>
          <w:szCs w:val="32"/>
          <w:shd w:val="clear" w:color="auto" w:fill="FFFFFF"/>
        </w:rPr>
        <w:t>%，较年初预算数增加193.85万元，增长46.81%，主要原因是</w:t>
      </w:r>
      <w:r>
        <w:rPr>
          <w:rFonts w:hint="eastAsia" w:ascii="方正仿宋_GBK" w:hAnsi="宋体" w:eastAsia="方正仿宋_GBK" w:cs="宋体"/>
          <w:kern w:val="0"/>
          <w:sz w:val="32"/>
          <w:szCs w:val="32"/>
        </w:rPr>
        <w:t>新录用公务员10名</w:t>
      </w:r>
      <w:r>
        <w:rPr>
          <w:rFonts w:hint="eastAsia" w:ascii="方正仿宋_GBK" w:eastAsia="方正仿宋_GBK" w:cs="宋体"/>
          <w:kern w:val="0"/>
          <w:sz w:val="32"/>
          <w:szCs w:val="32"/>
          <w:lang w:eastAsia="zh-CN"/>
        </w:rPr>
        <w:t>，</w:t>
      </w:r>
      <w:r>
        <w:rPr>
          <w:rFonts w:hint="eastAsia" w:ascii="方正仿宋_GBK" w:hAnsi="宋体" w:eastAsia="方正仿宋_GBK" w:cs="宋体"/>
          <w:kern w:val="0"/>
          <w:sz w:val="32"/>
          <w:szCs w:val="32"/>
        </w:rPr>
        <w:t>增加</w:t>
      </w:r>
      <w:r>
        <w:rPr>
          <w:rFonts w:hint="eastAsia" w:ascii="方正仿宋_GBK" w:eastAsia="方正仿宋_GBK" w:cs="宋体"/>
          <w:kern w:val="0"/>
          <w:sz w:val="32"/>
          <w:szCs w:val="32"/>
          <w:lang w:eastAsia="zh-CN"/>
        </w:rPr>
        <w:t>社会保障经费</w:t>
      </w:r>
      <w:r>
        <w:rPr>
          <w:rFonts w:hint="eastAsia" w:ascii="方正仿宋_GBK" w:hAnsi="宋体" w:eastAsia="方正仿宋_GBK" w:cs="宋体"/>
          <w:kern w:val="0"/>
          <w:sz w:val="32"/>
          <w:szCs w:val="32"/>
        </w:rPr>
        <w:t>支出。</w:t>
      </w:r>
    </w:p>
    <w:p>
      <w:pPr>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87.09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2.66</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宋体" w:eastAsia="方正仿宋_GBK" w:cs="宋体"/>
          <w:kern w:val="0"/>
          <w:sz w:val="32"/>
          <w:szCs w:val="32"/>
        </w:rPr>
        <w:t>新录用公务员10名</w:t>
      </w:r>
      <w:r>
        <w:rPr>
          <w:rFonts w:hint="eastAsia" w:ascii="方正仿宋_GBK" w:eastAsia="方正仿宋_GBK" w:cs="宋体"/>
          <w:kern w:val="0"/>
          <w:sz w:val="32"/>
          <w:szCs w:val="32"/>
          <w:lang w:eastAsia="zh-CN"/>
        </w:rPr>
        <w:t>，</w:t>
      </w:r>
      <w:r>
        <w:rPr>
          <w:rFonts w:hint="eastAsia" w:ascii="方正仿宋_GBK" w:hAnsi="宋体" w:eastAsia="方正仿宋_GBK" w:cs="宋体"/>
          <w:kern w:val="0"/>
          <w:sz w:val="32"/>
          <w:szCs w:val="32"/>
        </w:rPr>
        <w:t>增加</w:t>
      </w:r>
      <w:r>
        <w:rPr>
          <w:rFonts w:hint="eastAsia" w:ascii="方正仿宋_GBK" w:eastAsia="方正仿宋_GBK" w:cs="宋体"/>
          <w:kern w:val="0"/>
          <w:sz w:val="32"/>
          <w:szCs w:val="32"/>
          <w:lang w:eastAsia="zh-CN"/>
        </w:rPr>
        <w:t>医疗保险经费</w:t>
      </w:r>
      <w:r>
        <w:rPr>
          <w:rFonts w:hint="eastAsia" w:ascii="方正仿宋_GBK" w:hAnsi="宋体" w:eastAsia="方正仿宋_GBK" w:cs="宋体"/>
          <w:kern w:val="0"/>
          <w:sz w:val="32"/>
          <w:szCs w:val="32"/>
        </w:rPr>
        <w:t>支出。</w:t>
      </w:r>
    </w:p>
    <w:p>
      <w:pPr>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住房保障支出170.29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5.19</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宋体" w:eastAsia="方正仿宋_GBK" w:cs="宋体"/>
          <w:kern w:val="0"/>
          <w:sz w:val="32"/>
          <w:szCs w:val="32"/>
        </w:rPr>
        <w:t>新录用公务员10名</w:t>
      </w:r>
      <w:r>
        <w:rPr>
          <w:rFonts w:hint="eastAsia" w:ascii="方正仿宋_GBK" w:eastAsia="方正仿宋_GBK" w:cs="宋体"/>
          <w:kern w:val="0"/>
          <w:sz w:val="32"/>
          <w:szCs w:val="32"/>
          <w:lang w:eastAsia="zh-CN"/>
        </w:rPr>
        <w:t>，</w:t>
      </w:r>
      <w:r>
        <w:rPr>
          <w:rFonts w:hint="eastAsia" w:ascii="方正仿宋_GBK" w:hAnsi="宋体" w:eastAsia="方正仿宋_GBK" w:cs="宋体"/>
          <w:kern w:val="0"/>
          <w:sz w:val="32"/>
          <w:szCs w:val="32"/>
        </w:rPr>
        <w:t>增加</w:t>
      </w:r>
      <w:r>
        <w:rPr>
          <w:rFonts w:hint="eastAsia" w:ascii="方正仿宋_GBK" w:eastAsia="方正仿宋_GBK" w:cs="宋体"/>
          <w:kern w:val="0"/>
          <w:sz w:val="32"/>
          <w:szCs w:val="32"/>
          <w:lang w:eastAsia="zh-CN"/>
        </w:rPr>
        <w:t>社住房公积经费</w:t>
      </w:r>
      <w:r>
        <w:rPr>
          <w:rFonts w:hint="eastAsia" w:ascii="方正仿宋_GBK" w:hAnsi="宋体" w:eastAsia="方正仿宋_GBK" w:cs="宋体"/>
          <w:kern w:val="0"/>
          <w:sz w:val="32"/>
          <w:szCs w:val="32"/>
        </w:rPr>
        <w:t>支出。</w:t>
      </w:r>
    </w:p>
    <w:p>
      <w:pPr>
        <w:pStyle w:val="11"/>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lang w:eastAsia="zh-CN"/>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12"/>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2619.59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2221.01</w:t>
      </w:r>
      <w:r>
        <w:rPr>
          <w:rFonts w:ascii="方正仿宋_GBK" w:hAnsi="方正仿宋_GBK" w:eastAsia="方正仿宋_GBK" w:cs="方正仿宋_GBK"/>
          <w:sz w:val="32"/>
          <w:szCs w:val="32"/>
          <w:shd w:val="clear" w:color="auto" w:fill="FFFFFF"/>
        </w:rPr>
        <w:t>万元，较上年决算数减少5.46万元，下降0.25%，主要原因是</w:t>
      </w:r>
      <w:r>
        <w:rPr>
          <w:rFonts w:hint="eastAsia" w:ascii="方正仿宋_GBK" w:hAnsi="宋体" w:eastAsia="方正仿宋_GBK" w:cs="宋体"/>
          <w:kern w:val="0"/>
          <w:sz w:val="32"/>
          <w:szCs w:val="32"/>
        </w:rPr>
        <w:t>新录用公务员10名</w:t>
      </w:r>
      <w:r>
        <w:rPr>
          <w:rFonts w:hint="eastAsia" w:ascii="方正仿宋_GBK" w:eastAsia="方正仿宋_GBK" w:cs="宋体"/>
          <w:kern w:val="0"/>
          <w:sz w:val="32"/>
          <w:szCs w:val="32"/>
          <w:lang w:eastAsia="zh-CN"/>
        </w:rPr>
        <w:t>，</w:t>
      </w:r>
      <w:r>
        <w:rPr>
          <w:rFonts w:hint="eastAsia" w:ascii="方正仿宋_GBK" w:hAnsi="宋体" w:eastAsia="方正仿宋_GBK" w:cs="宋体"/>
          <w:kern w:val="0"/>
          <w:sz w:val="32"/>
          <w:szCs w:val="32"/>
        </w:rPr>
        <w:t>增加</w:t>
      </w:r>
      <w:r>
        <w:rPr>
          <w:rFonts w:hint="eastAsia" w:ascii="方正仿宋_GBK" w:eastAsia="方正仿宋_GBK" w:cs="宋体"/>
          <w:kern w:val="0"/>
          <w:sz w:val="32"/>
          <w:szCs w:val="32"/>
          <w:lang w:eastAsia="zh-CN"/>
        </w:rPr>
        <w:t>工资福利等人员经费支出</w:t>
      </w:r>
      <w:r>
        <w:rPr>
          <w:rFonts w:hint="eastAsia" w:ascii="方正仿宋_GBK" w:hAnsi="宋体" w:eastAsia="方正仿宋_GBK" w:cs="宋体"/>
          <w:kern w:val="0"/>
          <w:sz w:val="32"/>
          <w:szCs w:val="32"/>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eastAsia="方正仿宋_GBK"/>
          <w:color w:val="000000"/>
          <w:sz w:val="32"/>
          <w:szCs w:val="32"/>
          <w:shd w:val="clear" w:color="auto" w:fill="FFFFFF"/>
        </w:rPr>
        <w:t>基本工资、津贴补贴、奖金、社会保障缴费、绩效工资、住房公积金、 其他工资福利支出、对个人和家庭的补助等。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398.58</w:t>
      </w:r>
      <w:r>
        <w:rPr>
          <w:rFonts w:ascii="方正仿宋_GBK" w:hAnsi="方正仿宋_GBK" w:eastAsia="方正仿宋_GBK" w:cs="方正仿宋_GBK"/>
          <w:sz w:val="32"/>
          <w:szCs w:val="32"/>
          <w:shd w:val="clear" w:color="auto" w:fill="FFFFFF"/>
        </w:rPr>
        <w:t>万元，较上年决算数增加92.94万元，增长30.41%，主要原因</w:t>
      </w:r>
      <w:r>
        <w:rPr>
          <w:rFonts w:hint="eastAsia" w:ascii="方正仿宋_GBK" w:eastAsia="方正仿宋_GBK"/>
          <w:color w:val="000000"/>
          <w:sz w:val="32"/>
          <w:szCs w:val="32"/>
          <w:shd w:val="clear" w:color="auto" w:fill="FFFFFF"/>
          <w:lang w:eastAsia="zh-CN"/>
        </w:rPr>
        <w:t>一</w:t>
      </w:r>
      <w:r>
        <w:rPr>
          <w:rFonts w:hint="eastAsia" w:ascii="方正仿宋_GBK" w:eastAsia="方正仿宋_GBK"/>
          <w:sz w:val="32"/>
          <w:szCs w:val="32"/>
        </w:rPr>
        <w:t>是</w:t>
      </w:r>
      <w:r>
        <w:rPr>
          <w:rFonts w:hint="eastAsia" w:ascii="方正仿宋_GBK" w:hAnsi="宋体" w:eastAsia="方正仿宋_GBK" w:cs="宋体"/>
          <w:kern w:val="0"/>
          <w:sz w:val="32"/>
          <w:szCs w:val="32"/>
        </w:rPr>
        <w:t>2023年新录用公务员10名增加公用经费</w:t>
      </w:r>
      <w:r>
        <w:rPr>
          <w:rFonts w:hint="eastAsia" w:ascii="方正仿宋_GBK" w:eastAsia="方正仿宋_GBK" w:cs="宋体"/>
          <w:kern w:val="0"/>
          <w:sz w:val="32"/>
          <w:szCs w:val="32"/>
          <w:lang w:eastAsia="zh-CN"/>
        </w:rPr>
        <w:t>，二是</w:t>
      </w:r>
      <w:r>
        <w:rPr>
          <w:rFonts w:hint="eastAsia" w:ascii="方正仿宋_GBK" w:eastAsia="方正仿宋_GBK"/>
          <w:color w:val="000000"/>
          <w:sz w:val="32"/>
          <w:szCs w:val="32"/>
          <w:shd w:val="clear" w:color="auto" w:fill="FFFFFF"/>
        </w:rPr>
        <w:t>单位人员严重减少，为便于工作推进，新增无财政预算的劳务派遣人员</w:t>
      </w:r>
      <w:r>
        <w:rPr>
          <w:rFonts w:hint="eastAsia" w:ascii="方正仿宋_GBK" w:eastAsia="方正仿宋_GBK"/>
          <w:color w:val="000000"/>
          <w:sz w:val="32"/>
          <w:szCs w:val="32"/>
          <w:shd w:val="clear" w:color="auto" w:fill="FFFFFF"/>
          <w:lang w:val="en-US" w:eastAsia="zh-CN"/>
        </w:rPr>
        <w:t>15</w:t>
      </w:r>
      <w:r>
        <w:rPr>
          <w:rFonts w:hint="eastAsia" w:ascii="方正仿宋_GBK" w:eastAsia="方正仿宋_GBK"/>
          <w:color w:val="000000"/>
          <w:sz w:val="32"/>
          <w:szCs w:val="32"/>
          <w:shd w:val="clear" w:color="auto" w:fill="FFFFFF"/>
        </w:rPr>
        <w:t>人，公用经费增加。</w:t>
      </w:r>
      <w:r>
        <w:rPr>
          <w:rFonts w:ascii="方正仿宋_GBK" w:hAnsi="方正仿宋_GBK" w:eastAsia="方正仿宋_GBK" w:cs="方正仿宋_GBK"/>
          <w:sz w:val="32"/>
          <w:szCs w:val="32"/>
          <w:shd w:val="clear" w:color="auto" w:fill="FFFFFF"/>
        </w:rPr>
        <w:t>公用经费用途主要包括</w:t>
      </w:r>
      <w:r>
        <w:rPr>
          <w:rFonts w:hint="eastAsia" w:ascii="方正仿宋_GBK" w:eastAsia="方正仿宋_GBK"/>
          <w:color w:val="000000"/>
          <w:sz w:val="32"/>
          <w:szCs w:val="32"/>
          <w:shd w:val="clear" w:color="auto" w:fill="FFFFFF"/>
        </w:rPr>
        <w:t>办公费、印刷费、咨询费、手续费、水费、电费、 差旅费 、维修（护）费、公务接待费、劳务费、工会经费、福利费、公务用车运行维护费、其他商品和服务支出</w:t>
      </w:r>
      <w:r>
        <w:rPr>
          <w:rFonts w:hint="eastAsia" w:ascii="方正仿宋_GBK" w:eastAsia="方正仿宋_GBK"/>
          <w:color w:val="000000"/>
          <w:sz w:val="32"/>
          <w:szCs w:val="32"/>
          <w:shd w:val="clear" w:color="auto" w:fill="FFFFFF"/>
          <w:lang w:eastAsia="zh-CN"/>
        </w:rPr>
        <w:t>等</w:t>
      </w:r>
      <w:r>
        <w:rPr>
          <w:rFonts w:hint="eastAsia" w:ascii="方正仿宋_GBK" w:eastAsia="方正仿宋_GBK"/>
          <w:color w:val="000000"/>
          <w:sz w:val="32"/>
          <w:szCs w:val="32"/>
          <w:shd w:val="clear" w:color="auto" w:fill="FFFFFF"/>
        </w:rPr>
        <w:t>。</w:t>
      </w:r>
    </w:p>
    <w:p>
      <w:pPr>
        <w:pStyle w:val="11"/>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lang w:eastAsia="zh-CN"/>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方正仿宋_GBK" w:hAnsi="方正仿宋_GBK" w:eastAsia="方正仿宋_GBK" w:cs="方正仿宋_GBK"/>
          <w:b w:val="0"/>
          <w:bCs/>
          <w:sz w:val="32"/>
          <w:szCs w:val="32"/>
        </w:rPr>
      </w:pPr>
      <w:r>
        <w:rPr>
          <w:rFonts w:hint="eastAsia" w:ascii="Times New Roman" w:hAnsi="Times New Roman" w:eastAsia="方正楷体_GBK" w:cs="Times New Roman"/>
          <w:sz w:val="32"/>
          <w:szCs w:val="32"/>
          <w:lang w:val="en-US" w:eastAsia="zh-CN"/>
        </w:rPr>
        <w:t>本单位</w:t>
      </w:r>
      <w:r>
        <w:rPr>
          <w:rFonts w:hint="default" w:ascii="Times New Roman" w:hAnsi="Times New Roman" w:eastAsia="方正楷体_GBK" w:cs="Times New Roman"/>
          <w:sz w:val="32"/>
          <w:szCs w:val="32"/>
          <w:lang w:val="en-US" w:eastAsia="zh-CN"/>
        </w:rPr>
        <w:t>202</w:t>
      </w:r>
      <w:r>
        <w:rPr>
          <w:rFonts w:hint="eastAsia" w:ascii="Times New Roman" w:hAnsi="Times New Roman" w:eastAsia="方正楷体_GBK" w:cs="Times New Roman"/>
          <w:sz w:val="32"/>
          <w:szCs w:val="32"/>
          <w:lang w:val="en-US" w:eastAsia="zh-CN"/>
        </w:rPr>
        <w:t>3</w:t>
      </w:r>
      <w:r>
        <w:rPr>
          <w:rFonts w:hint="eastAsia" w:ascii="方正仿宋_GBK" w:hAnsi="方正仿宋_GBK" w:eastAsia="方正仿宋_GBK" w:cs="方正仿宋_GBK"/>
          <w:sz w:val="32"/>
          <w:szCs w:val="32"/>
          <w:lang w:val="en-US" w:eastAsia="zh-CN"/>
        </w:rPr>
        <w:t>年度无政府性基金预算财政拨款收支。</w:t>
      </w:r>
    </w:p>
    <w:p>
      <w:pPr>
        <w:pStyle w:val="11"/>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lang w:eastAsia="zh-CN"/>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2023</w:t>
      </w:r>
      <w:r>
        <w:rPr>
          <w:rFonts w:hint="eastAsia" w:ascii="方正仿宋_GBK" w:hAnsi="方正仿宋_GBK" w:eastAsia="方正仿宋_GBK" w:cs="方正仿宋_GBK"/>
          <w:sz w:val="32"/>
          <w:szCs w:val="32"/>
          <w:lang w:val="en-US" w:eastAsia="zh-CN"/>
        </w:rPr>
        <w:t>年度无国有资本经营预算财政拨款支出。</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三、“三公”经费情况说明</w:t>
      </w:r>
    </w:p>
    <w:p>
      <w:pPr>
        <w:pStyle w:val="11"/>
        <w:keepNext w:val="0"/>
        <w:keepLines w:val="0"/>
        <w:pageBreakBefore w:val="0"/>
        <w:kinsoku/>
        <w:wordWrap/>
        <w:overflowPunct/>
        <w:topLinePunct w:val="0"/>
        <w:autoSpaceDE w:val="0"/>
        <w:autoSpaceDN/>
        <w:bidi w:val="0"/>
        <w:adjustRightInd/>
        <w:spacing w:beforeAutospacing="0" w:afterAutospacing="0" w:line="600"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w:t>
      </w:r>
      <w:r>
        <w:rPr>
          <w:rFonts w:hint="eastAsia" w:ascii="方正楷体_GBK" w:hAnsi="方正楷体_GBK" w:eastAsia="方正楷体_GBK" w:cs="方正楷体_GBK"/>
          <w:b w:val="0"/>
          <w:bCs w:val="0"/>
          <w:sz w:val="32"/>
          <w:szCs w:val="32"/>
          <w:shd w:val="clear" w:color="auto" w:fill="FFFFFF"/>
        </w:rPr>
        <w:t>（一）“三公”经费支出总体情况说明</w:t>
      </w:r>
    </w:p>
    <w:p>
      <w:pPr>
        <w:keepNext w:val="0"/>
        <w:keepLines w:val="0"/>
        <w:pageBreakBefore w:val="0"/>
        <w:kinsoku/>
        <w:wordWrap/>
        <w:overflowPunct/>
        <w:topLinePunct w:val="0"/>
        <w:autoSpaceDN/>
        <w:bidi w:val="0"/>
        <w:adjustRightInd/>
        <w:spacing w:beforeAutospacing="0" w:afterAutospacing="0" w:line="600"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49.84</w:t>
      </w:r>
      <w:r>
        <w:rPr>
          <w:rFonts w:ascii="方正仿宋_GBK" w:hAnsi="方正仿宋_GBK" w:eastAsia="方正仿宋_GBK" w:cs="方正仿宋_GBK"/>
          <w:sz w:val="32"/>
          <w:szCs w:val="32"/>
          <w:shd w:val="clear" w:color="auto" w:fill="FFFFFF"/>
        </w:rPr>
        <w:t>万元，较年初预算数减少25.16万元，下降33.55%，主要原因是</w:t>
      </w:r>
      <w:r>
        <w:rPr>
          <w:rFonts w:hint="eastAsia" w:ascii="方正仿宋_GBK" w:eastAsia="方正仿宋_GBK"/>
          <w:sz w:val="32"/>
          <w:szCs w:val="32"/>
        </w:rPr>
        <w:t>财政过紧日子，压缩开支。</w:t>
      </w:r>
      <w:r>
        <w:rPr>
          <w:rFonts w:ascii="方正仿宋_GBK" w:hAnsi="方正仿宋_GBK" w:eastAsia="方正仿宋_GBK" w:cs="方正仿宋_GBK"/>
          <w:sz w:val="32"/>
          <w:szCs w:val="32"/>
          <w:shd w:val="clear" w:color="auto" w:fill="FFFFFF"/>
        </w:rPr>
        <w:t>较上年支出数增加0.31万元，增长0.63%，主要原因是</w:t>
      </w:r>
      <w:r>
        <w:rPr>
          <w:rFonts w:hint="eastAsia" w:ascii="方正仿宋_GBK" w:eastAsia="方正仿宋_GBK"/>
          <w:sz w:val="32"/>
          <w:szCs w:val="32"/>
        </w:rPr>
        <w:t>上年度疫情原因，</w:t>
      </w:r>
      <w:r>
        <w:rPr>
          <w:rFonts w:hint="eastAsia" w:ascii="方正仿宋_GBK" w:eastAsia="方正仿宋_GBK"/>
          <w:sz w:val="32"/>
          <w:szCs w:val="32"/>
          <w:lang w:eastAsia="zh-CN"/>
        </w:rPr>
        <w:t>检查督查工作少，</w:t>
      </w:r>
      <w:r>
        <w:rPr>
          <w:rFonts w:hint="eastAsia" w:ascii="方正仿宋_GBK" w:eastAsia="方正仿宋_GBK"/>
          <w:sz w:val="32"/>
          <w:szCs w:val="32"/>
        </w:rPr>
        <w:t>接待</w:t>
      </w:r>
      <w:r>
        <w:rPr>
          <w:rFonts w:hint="eastAsia" w:ascii="方正仿宋_GBK" w:eastAsia="方正仿宋_GBK"/>
          <w:sz w:val="32"/>
          <w:szCs w:val="32"/>
          <w:lang w:eastAsia="zh-CN"/>
        </w:rPr>
        <w:t>就</w:t>
      </w:r>
      <w:r>
        <w:rPr>
          <w:rFonts w:hint="eastAsia" w:ascii="方正仿宋_GBK" w:eastAsia="方正仿宋_GBK"/>
          <w:sz w:val="32"/>
          <w:szCs w:val="32"/>
        </w:rPr>
        <w:t>较少，</w:t>
      </w:r>
      <w:r>
        <w:rPr>
          <w:rFonts w:hint="eastAsia" w:ascii="方正仿宋_GBK" w:eastAsia="方正仿宋_GBK"/>
          <w:sz w:val="32"/>
          <w:szCs w:val="32"/>
          <w:lang w:eastAsia="zh-CN"/>
        </w:rPr>
        <w:t>所以上年</w:t>
      </w:r>
      <w:r>
        <w:rPr>
          <w:rFonts w:hint="eastAsia" w:ascii="方正仿宋_GBK" w:eastAsia="方正仿宋_GBK"/>
          <w:sz w:val="32"/>
          <w:szCs w:val="32"/>
        </w:rPr>
        <w:t>基数小，今年接待费用</w:t>
      </w:r>
      <w:r>
        <w:rPr>
          <w:rFonts w:hint="eastAsia" w:ascii="方正仿宋_GBK" w:eastAsia="方正仿宋_GBK"/>
          <w:sz w:val="32"/>
          <w:szCs w:val="32"/>
          <w:lang w:eastAsia="zh-CN"/>
        </w:rPr>
        <w:t>虽</w:t>
      </w:r>
      <w:r>
        <w:rPr>
          <w:rFonts w:hint="eastAsia" w:ascii="方正仿宋_GBK" w:eastAsia="方正仿宋_GBK"/>
          <w:sz w:val="32"/>
          <w:szCs w:val="32"/>
        </w:rPr>
        <w:t>有增加，但没超预算。</w:t>
      </w:r>
    </w:p>
    <w:p>
      <w:pPr>
        <w:pStyle w:val="11"/>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48.69</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lang w:val="en-US" w:eastAsia="zh-CN"/>
        </w:rPr>
        <w:t>主要用于公务执法车辆日常监管执法、食品药品抽检送检等市场监管工作中的燃油费、车辆维修费、车辆保险费、通行费、洗车停车费等。</w:t>
      </w:r>
      <w:r>
        <w:rPr>
          <w:rFonts w:ascii="方正仿宋_GBK" w:hAnsi="方正仿宋_GBK" w:eastAsia="方正仿宋_GBK" w:cs="方正仿宋_GBK"/>
          <w:sz w:val="32"/>
          <w:szCs w:val="32"/>
          <w:shd w:val="clear" w:color="auto" w:fill="FFFFFF"/>
        </w:rPr>
        <w:t>费用支出较年初预算数减少23.31万元，下降32.38%，</w:t>
      </w:r>
      <w:r>
        <w:rPr>
          <w:rFonts w:hint="eastAsia" w:ascii="方正仿宋_GBK" w:hAnsi="方正仿宋_GBK" w:eastAsia="方正仿宋_GBK" w:cs="方正仿宋_GBK"/>
          <w:sz w:val="32"/>
          <w:szCs w:val="32"/>
          <w:lang w:val="en-US" w:eastAsia="zh-CN"/>
        </w:rPr>
        <w:t>主要原因是厉行节约，各科室在日常监管执法工作中尽量由办公室统筹安排用车，减少派车频率。</w:t>
      </w:r>
      <w:r>
        <w:rPr>
          <w:rFonts w:ascii="方正仿宋_GBK" w:hAnsi="方正仿宋_GBK" w:eastAsia="方正仿宋_GBK" w:cs="方正仿宋_GBK"/>
          <w:sz w:val="32"/>
          <w:szCs w:val="32"/>
          <w:shd w:val="clear" w:color="auto" w:fill="FFFFFF"/>
        </w:rPr>
        <w:t>较上年支出数减少0.04万元，下降0.08%，</w:t>
      </w:r>
      <w:r>
        <w:rPr>
          <w:rFonts w:hint="eastAsia" w:ascii="方正仿宋_GBK" w:hAnsi="方正仿宋_GBK" w:eastAsia="方正仿宋_GBK" w:cs="方正仿宋_GBK"/>
          <w:sz w:val="32"/>
          <w:szCs w:val="32"/>
          <w:lang w:val="en-US" w:eastAsia="zh-CN"/>
        </w:rPr>
        <w:t>主要原因是厉行节约，各科室在日常监管执法工作中尽量由办公室统筹安排用车，减少派车频率。</w:t>
      </w:r>
    </w:p>
    <w:p>
      <w:pPr>
        <w:keepNext w:val="0"/>
        <w:keepLines w:val="0"/>
        <w:pageBreakBefore w:val="0"/>
        <w:kinsoku/>
        <w:wordWrap/>
        <w:overflowPunct/>
        <w:topLinePunct w:val="0"/>
        <w:autoSpaceDN/>
        <w:bidi w:val="0"/>
        <w:adjustRightInd/>
        <w:spacing w:beforeAutospacing="0" w:afterAutospacing="0" w:line="600"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1.15</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lang w:val="en-US" w:eastAsia="zh-CN"/>
        </w:rPr>
        <w:t>主要用于接待市局专项检查和指导工作等。</w:t>
      </w:r>
      <w:r>
        <w:rPr>
          <w:rFonts w:ascii="方正仿宋_GBK" w:hAnsi="方正仿宋_GBK" w:eastAsia="方正仿宋_GBK" w:cs="方正仿宋_GBK"/>
          <w:sz w:val="32"/>
          <w:szCs w:val="32"/>
          <w:shd w:val="clear" w:color="auto" w:fill="FFFFFF"/>
        </w:rPr>
        <w:t>费用支出较年初预算数减少1.85万元，下降61.67%，</w:t>
      </w:r>
      <w:r>
        <w:rPr>
          <w:rFonts w:hint="eastAsia" w:ascii="方正仿宋_GBK" w:hAnsi="方正仿宋_GBK" w:eastAsia="方正仿宋_GBK" w:cs="方正仿宋_GBK"/>
          <w:sz w:val="32"/>
          <w:szCs w:val="32"/>
          <w:lang w:val="en-US" w:eastAsia="zh-CN"/>
        </w:rPr>
        <w:t>很多工作通过视频会议进行指导和沟通，减少现场检查指导工作的频率。</w:t>
      </w:r>
      <w:r>
        <w:rPr>
          <w:rFonts w:ascii="方正仿宋_GBK" w:hAnsi="方正仿宋_GBK" w:eastAsia="方正仿宋_GBK" w:cs="方正仿宋_GBK"/>
          <w:sz w:val="32"/>
          <w:szCs w:val="32"/>
          <w:shd w:val="clear" w:color="auto" w:fill="FFFFFF"/>
        </w:rPr>
        <w:t>较上年支出数增加0.36万元，增长45.57%，主要原因是</w:t>
      </w:r>
      <w:r>
        <w:rPr>
          <w:rFonts w:hint="eastAsia" w:ascii="方正仿宋_GBK" w:eastAsia="方正仿宋_GBK"/>
          <w:sz w:val="32"/>
          <w:szCs w:val="32"/>
        </w:rPr>
        <w:t>上年度疫情原因，</w:t>
      </w:r>
      <w:r>
        <w:rPr>
          <w:rFonts w:hint="eastAsia" w:ascii="方正仿宋_GBK" w:eastAsia="方正仿宋_GBK"/>
          <w:sz w:val="32"/>
          <w:szCs w:val="32"/>
          <w:lang w:eastAsia="zh-CN"/>
        </w:rPr>
        <w:t>检查督查工作少，</w:t>
      </w:r>
      <w:r>
        <w:rPr>
          <w:rFonts w:hint="eastAsia" w:ascii="方正仿宋_GBK" w:eastAsia="方正仿宋_GBK"/>
          <w:sz w:val="32"/>
          <w:szCs w:val="32"/>
        </w:rPr>
        <w:t>接待</w:t>
      </w:r>
      <w:r>
        <w:rPr>
          <w:rFonts w:hint="eastAsia" w:ascii="方正仿宋_GBK" w:eastAsia="方正仿宋_GBK"/>
          <w:sz w:val="32"/>
          <w:szCs w:val="32"/>
          <w:lang w:eastAsia="zh-CN"/>
        </w:rPr>
        <w:t>就</w:t>
      </w:r>
      <w:r>
        <w:rPr>
          <w:rFonts w:hint="eastAsia" w:ascii="方正仿宋_GBK" w:eastAsia="方正仿宋_GBK"/>
          <w:sz w:val="32"/>
          <w:szCs w:val="32"/>
        </w:rPr>
        <w:t>较少，</w:t>
      </w:r>
      <w:r>
        <w:rPr>
          <w:rFonts w:hint="eastAsia" w:ascii="方正仿宋_GBK" w:eastAsia="方正仿宋_GBK"/>
          <w:sz w:val="32"/>
          <w:szCs w:val="32"/>
          <w:lang w:eastAsia="zh-CN"/>
        </w:rPr>
        <w:t>所以上年</w:t>
      </w:r>
      <w:r>
        <w:rPr>
          <w:rFonts w:hint="eastAsia" w:ascii="方正仿宋_GBK" w:eastAsia="方正仿宋_GBK"/>
          <w:sz w:val="32"/>
          <w:szCs w:val="32"/>
        </w:rPr>
        <w:t>基数小，今年接待费用</w:t>
      </w:r>
      <w:r>
        <w:rPr>
          <w:rFonts w:hint="eastAsia" w:ascii="方正仿宋_GBK" w:eastAsia="方正仿宋_GBK"/>
          <w:sz w:val="32"/>
          <w:szCs w:val="32"/>
          <w:lang w:eastAsia="zh-CN"/>
        </w:rPr>
        <w:t>虽</w:t>
      </w:r>
      <w:r>
        <w:rPr>
          <w:rFonts w:hint="eastAsia" w:ascii="方正仿宋_GBK" w:eastAsia="方正仿宋_GBK"/>
          <w:sz w:val="32"/>
          <w:szCs w:val="32"/>
        </w:rPr>
        <w:t>有增加，但没超预算。</w:t>
      </w:r>
    </w:p>
    <w:p>
      <w:pPr>
        <w:pStyle w:val="11"/>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16</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98</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117.48</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2.21</w:t>
      </w:r>
      <w:r>
        <w:rPr>
          <w:rFonts w:ascii="方正仿宋_GBK" w:hAnsi="方正仿宋_GBK" w:eastAsia="方正仿宋_GBK" w:cs="方正仿宋_GBK"/>
          <w:sz w:val="32"/>
          <w:szCs w:val="32"/>
          <w:shd w:val="clear" w:color="auto" w:fill="FFFFFF"/>
        </w:rPr>
        <w:t>万元。</w:t>
      </w:r>
    </w:p>
    <w:p>
      <w:pPr>
        <w:pStyle w:val="6"/>
        <w:keepNext w:val="0"/>
        <w:keepLines w:val="0"/>
        <w:pageBreakBefore w:val="0"/>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四、其他需要说明的事项</w:t>
      </w:r>
    </w:p>
    <w:p>
      <w:pPr>
        <w:pStyle w:val="11"/>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（一）财政拨款会议费和培训费情况说明</w:t>
      </w:r>
    </w:p>
    <w:p>
      <w:pPr>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0.05</w:t>
      </w:r>
      <w:r>
        <w:rPr>
          <w:rFonts w:ascii="方正仿宋_GBK" w:hAnsi="方正仿宋_GBK" w:eastAsia="方正仿宋_GBK" w:cs="方正仿宋_GBK"/>
          <w:sz w:val="32"/>
          <w:szCs w:val="32"/>
          <w:shd w:val="clear" w:color="auto" w:fill="FFFFFF"/>
        </w:rPr>
        <w:t>万元，较上年决算数减少0.28万元，下降84.85%，主要原因是</w:t>
      </w:r>
      <w:r>
        <w:rPr>
          <w:rFonts w:hint="eastAsia" w:ascii="方正仿宋_GBK" w:eastAsia="方正仿宋_GBK"/>
          <w:sz w:val="32"/>
          <w:szCs w:val="32"/>
        </w:rPr>
        <w:t>今年大部分会议用餐安排在职工食堂。</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26.07</w:t>
      </w:r>
      <w:r>
        <w:rPr>
          <w:rFonts w:ascii="方正仿宋_GBK" w:hAnsi="方正仿宋_GBK" w:eastAsia="方正仿宋_GBK" w:cs="方正仿宋_GBK"/>
          <w:sz w:val="32"/>
          <w:szCs w:val="32"/>
          <w:shd w:val="clear" w:color="auto" w:fill="FFFFFF"/>
        </w:rPr>
        <w:t>万元，较上年决算数减少1.55万元，下降5.61%，主要原因是</w:t>
      </w:r>
      <w:r>
        <w:rPr>
          <w:rFonts w:hint="eastAsia" w:ascii="方正仿宋_GBK" w:eastAsia="方正仿宋_GBK"/>
          <w:sz w:val="32"/>
          <w:szCs w:val="32"/>
        </w:rPr>
        <w:t>市场监管培训业务统筹安排，减少相关费用。</w:t>
      </w:r>
    </w:p>
    <w:p>
      <w:pPr>
        <w:pStyle w:val="11"/>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仿宋_GB2312" w:hAnsi="仿宋" w:eastAsia="仿宋_GB2312" w:cs="仿宋"/>
          <w:color w:val="000000"/>
          <w:sz w:val="32"/>
          <w:szCs w:val="32"/>
          <w:lang w:eastAsia="zh-CN"/>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398.58</w:t>
      </w:r>
      <w:r>
        <w:rPr>
          <w:rFonts w:ascii="方正仿宋_GBK" w:hAnsi="方正仿宋_GBK" w:eastAsia="方正仿宋_GBK" w:cs="方正仿宋_GBK"/>
          <w:sz w:val="32"/>
          <w:szCs w:val="32"/>
          <w:shd w:val="clear" w:color="auto" w:fill="FFFFFF"/>
        </w:rPr>
        <w:t>万元，机关运行经费主要用于购买货物和服务等的各项公用经费，包括办公及印刷费、邮电费、差旅费、会议费、日常维护费、专用材料及一般设备购置费、办公用房水电费、办公用房物业管理费、公务用车运行维护费以及其他费用。机关运行经费较上年支出数增加92.94万元，增长30.41%，</w:t>
      </w:r>
      <w:r>
        <w:rPr>
          <w:rFonts w:hint="eastAsia" w:ascii="仿宋_GB2312" w:hAnsi="仿宋" w:eastAsia="仿宋_GB2312" w:cs="仿宋"/>
          <w:color w:val="000000"/>
          <w:sz w:val="32"/>
          <w:szCs w:val="32"/>
        </w:rPr>
        <w:t>主要原因是2023年新录用公务员10名，及根据市局要求创建了市场监管智慧平台，大大增加了机关运行经费</w:t>
      </w:r>
      <w:r>
        <w:rPr>
          <w:rFonts w:hint="eastAsia" w:ascii="仿宋_GB2312" w:hAnsi="仿宋" w:eastAsia="仿宋_GB2312" w:cs="仿宋"/>
          <w:color w:val="000000"/>
          <w:sz w:val="32"/>
          <w:szCs w:val="32"/>
          <w:lang w:eastAsia="zh-CN"/>
        </w:rPr>
        <w:t>。</w:t>
      </w:r>
    </w:p>
    <w:p>
      <w:pPr>
        <w:pStyle w:val="11"/>
        <w:keepNext w:val="0"/>
        <w:keepLines w:val="0"/>
        <w:pageBreakBefore w:val="0"/>
        <w:kinsoku/>
        <w:wordWrap/>
        <w:overflowPunct/>
        <w:topLinePunct w:val="0"/>
        <w:autoSpaceDE w:val="0"/>
        <w:autoSpaceDN/>
        <w:bidi w:val="0"/>
        <w:adjustRightInd/>
        <w:spacing w:beforeAutospacing="0" w:afterAutospacing="0" w:line="600" w:lineRule="exact"/>
        <w:ind w:left="0" w:leftChars="0"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22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16</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2023年度本单位政府采购支出总额</w:t>
      </w:r>
      <w:r>
        <w:rPr>
          <w:rFonts w:ascii="方正仿宋_GBK" w:hAnsi="方正仿宋_GBK" w:eastAsia="方正仿宋_GBK" w:cs="方正仿宋_GBK"/>
          <w:sz w:val="32"/>
          <w:szCs w:val="32"/>
        </w:rPr>
        <w:t>69.15</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34.55</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34.60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69.15万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69.15</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lang w:val="en-US" w:eastAsia="zh-CN"/>
        </w:rPr>
        <w:t>主要用于采购监管执法办公电脑和打印机等。</w:t>
      </w:r>
    </w:p>
    <w:p>
      <w:pPr>
        <w:pStyle w:val="6"/>
        <w:numPr>
          <w:ilvl w:val="0"/>
          <w:numId w:val="0"/>
        </w:numPr>
        <w:shd w:val="clear" w:color="auto" w:fill="FFFFFF"/>
        <w:spacing w:before="0" w:beforeAutospacing="0" w:after="0" w:afterAutospacing="0"/>
        <w:ind w:firstLine="640" w:firstLineChars="200"/>
        <w:rPr>
          <w:rStyle w:val="10"/>
          <w:rFonts w:hint="eastAsia" w:ascii="方正黑体_GBK" w:hAnsi="方正黑体_GBK" w:eastAsia="方正黑体_GBK" w:cs="方正黑体_GBK"/>
          <w:b w:val="0"/>
          <w:bCs/>
          <w:sz w:val="32"/>
          <w:szCs w:val="32"/>
          <w:shd w:val="clear" w:color="auto" w:fill="FFFFFF"/>
        </w:rPr>
      </w:pPr>
      <w:r>
        <w:rPr>
          <w:rFonts w:hint="eastAsia" w:ascii="方正黑体_GBK" w:hAnsi="方正黑体_GBK" w:eastAsia="方正黑体_GBK" w:cs="方正黑体_GBK"/>
          <w:b w:val="0"/>
          <w:bCs/>
          <w:sz w:val="32"/>
          <w:szCs w:val="32"/>
          <w:shd w:val="clear" w:fill="FFFFFF"/>
          <w:lang w:val="en-US" w:eastAsia="zh-CN" w:bidi="ar-SA"/>
        </w:rPr>
        <w:t>五、</w:t>
      </w:r>
      <w:r>
        <w:rPr>
          <w:rStyle w:val="10"/>
          <w:rFonts w:hint="eastAsia" w:ascii="方正黑体_GBK" w:hAnsi="方正黑体_GBK" w:eastAsia="方正黑体_GBK" w:cs="方正黑体_GBK"/>
          <w:b w:val="0"/>
          <w:bCs/>
          <w:sz w:val="32"/>
          <w:szCs w:val="32"/>
          <w:shd w:val="clear" w:color="auto" w:fill="FFFFFF"/>
        </w:rPr>
        <w:t>预算绩效管理情况说明</w:t>
      </w:r>
    </w:p>
    <w:p>
      <w:pPr>
        <w:pStyle w:val="11"/>
        <w:autoSpaceDE w:val="0"/>
        <w:spacing w:beforeAutospacing="0" w:afterAutospacing="0"/>
        <w:ind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w:t>
      </w:r>
      <w:r>
        <w:rPr>
          <w:rFonts w:hint="eastAsia" w:ascii="方正楷体_GBK" w:hAnsi="方正楷体_GBK" w:eastAsia="方正楷体_GBK" w:cs="方正楷体_GBK"/>
          <w:b w:val="0"/>
          <w:bCs w:val="0"/>
          <w:sz w:val="32"/>
          <w:szCs w:val="32"/>
          <w:shd w:val="clear" w:color="auto" w:fill="FFFFFF"/>
          <w:lang w:eastAsia="zh-CN"/>
        </w:rPr>
        <w:t>部门</w:t>
      </w:r>
      <w:r>
        <w:rPr>
          <w:rFonts w:hint="eastAsia" w:ascii="方正楷体_GBK" w:hAnsi="方正楷体_GBK" w:eastAsia="方正楷体_GBK" w:cs="方正楷体_GBK"/>
          <w:b w:val="0"/>
          <w:bCs w:val="0"/>
          <w:sz w:val="32"/>
          <w:szCs w:val="32"/>
          <w:shd w:val="clear" w:color="auto" w:fill="FFFFFF"/>
        </w:rPr>
        <w:t>自评情况</w:t>
      </w:r>
    </w:p>
    <w:p>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highlight w:val="yellow"/>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w:t>
      </w:r>
      <w:r>
        <w:rPr>
          <w:rFonts w:hint="eastAsia" w:ascii="方正仿宋_GBK" w:hAnsi="方正仿宋_GBK" w:eastAsia="方正仿宋_GBK" w:cs="方正仿宋_GBK"/>
          <w:sz w:val="32"/>
          <w:szCs w:val="32"/>
          <w:shd w:val="clear" w:color="auto" w:fill="FFFFFF"/>
          <w:lang w:eastAsia="zh-CN"/>
        </w:rPr>
        <w:t>部门</w:t>
      </w:r>
      <w:r>
        <w:rPr>
          <w:rFonts w:hint="eastAsia" w:ascii="方正仿宋_GBK" w:hAnsi="方正仿宋_GBK" w:eastAsia="方正仿宋_GBK" w:cs="方正仿宋_GBK"/>
          <w:sz w:val="32"/>
          <w:szCs w:val="32"/>
          <w:shd w:val="clear" w:color="auto" w:fill="FFFFFF"/>
        </w:rPr>
        <w:t>对部门整体</w:t>
      </w:r>
      <w:r>
        <w:rPr>
          <w:rFonts w:hint="eastAsia" w:ascii="方正仿宋_GBK" w:hAnsi="方正仿宋_GBK" w:eastAsia="方正仿宋_GBK" w:cs="方正仿宋_GBK"/>
          <w:sz w:val="32"/>
          <w:szCs w:val="32"/>
          <w:highlight w:val="none"/>
          <w:shd w:val="clear" w:color="auto" w:fill="FFFFFF"/>
          <w:lang w:eastAsia="zh-CN"/>
        </w:rPr>
        <w:t>目标绩效</w:t>
      </w:r>
      <w:r>
        <w:rPr>
          <w:rFonts w:hint="eastAsia"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val="en-US" w:eastAsia="zh-CN"/>
        </w:rPr>
        <w:t>21</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659.83</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hint="eastAsia" w:ascii="楷体" w:hAnsi="楷体" w:eastAsia="楷体" w:cs="楷体"/>
          <w:b/>
          <w:bCs/>
          <w:sz w:val="32"/>
          <w:szCs w:val="32"/>
          <w:shd w:val="clear" w:color="auto" w:fill="FFFFFF"/>
        </w:rPr>
      </w:pPr>
    </w:p>
    <w:p>
      <w:pPr>
        <w:pStyle w:val="11"/>
        <w:autoSpaceDE w:val="0"/>
        <w:ind w:firstLine="643"/>
        <w:rPr>
          <w:rFonts w:hint="eastAsia" w:ascii="楷体" w:hAnsi="楷体" w:eastAsia="楷体" w:cs="楷体"/>
          <w:b/>
          <w:bCs/>
          <w:sz w:val="32"/>
          <w:szCs w:val="32"/>
          <w:shd w:val="clear" w:color="auto" w:fill="FFFFFF"/>
        </w:rPr>
      </w:pPr>
    </w:p>
    <w:p>
      <w:pPr>
        <w:pStyle w:val="11"/>
        <w:autoSpaceDE w:val="0"/>
        <w:ind w:firstLine="643"/>
        <w:rPr>
          <w:rFonts w:hint="eastAsia" w:ascii="楷体" w:hAnsi="楷体" w:eastAsia="楷体" w:cs="楷体"/>
          <w:b/>
          <w:bCs/>
          <w:sz w:val="32"/>
          <w:szCs w:val="32"/>
          <w:shd w:val="clear" w:color="auto" w:fill="FFFFFF"/>
        </w:rPr>
        <w:sectPr>
          <w:footerReference r:id="rId3" w:type="default"/>
          <w:pgSz w:w="11915" w:h="16840"/>
          <w:pgMar w:top="2120" w:right="1463" w:bottom="1497" w:left="1576" w:header="851" w:footer="992" w:gutter="0"/>
          <w:pgNumType w:fmt="numberInDash"/>
          <w:cols w:space="720" w:num="1"/>
          <w:docGrid w:type="lines" w:linePitch="312" w:charSpace="0"/>
        </w:sectPr>
      </w:pPr>
    </w:p>
    <w:p>
      <w:pPr>
        <w:pStyle w:val="11"/>
        <w:keepNext w:val="0"/>
        <w:keepLines w:val="0"/>
        <w:pageBreakBefore w:val="0"/>
        <w:widowControl/>
        <w:kinsoku/>
        <w:wordWrap/>
        <w:overflowPunct/>
        <w:topLinePunct w:val="0"/>
        <w:autoSpaceDE w:val="0"/>
        <w:autoSpaceDN/>
        <w:bidi w:val="0"/>
        <w:adjustRightInd/>
        <w:spacing w:beforeAutospacing="0" w:afterAutospacing="0" w:line="240" w:lineRule="auto"/>
        <w:ind w:firstLine="640" w:firstLineChars="200"/>
        <w:textAlignment w:val="auto"/>
        <w:rPr>
          <w:rFonts w:hint="eastAsia" w:ascii="方正楷体_GBK" w:hAnsi="方正楷体_GBK" w:eastAsia="方正楷体_GBK" w:cs="方正楷体_GBK"/>
          <w:b w:val="0"/>
          <w:bCs w:val="0"/>
          <w:sz w:val="32"/>
          <w:szCs w:val="32"/>
          <w:shd w:val="clear" w:color="auto" w:fill="FFFFFF"/>
        </w:rPr>
      </w:pPr>
    </w:p>
    <w:tbl>
      <w:tblPr>
        <w:tblStyle w:val="7"/>
        <w:tblW w:w="132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80"/>
        <w:gridCol w:w="1005"/>
        <w:gridCol w:w="917"/>
        <w:gridCol w:w="1138"/>
        <w:gridCol w:w="1215"/>
        <w:gridCol w:w="1204"/>
        <w:gridCol w:w="1371"/>
        <w:gridCol w:w="815"/>
        <w:gridCol w:w="985"/>
        <w:gridCol w:w="1500"/>
        <w:gridCol w:w="14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29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32"/>
                <w:szCs w:val="32"/>
                <w:u w:val="none"/>
                <w:lang w:val="en-US" w:eastAsia="zh-CN" w:bidi="ar"/>
              </w:rPr>
              <w:t>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29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ascii="方正仿宋_GB2312" w:hAnsi="方正仿宋_GB2312" w:eastAsia="方正仿宋_GB2312" w:cs="方正仿宋_GB2312"/>
                <w:b/>
                <w:bCs/>
                <w:i w:val="0"/>
                <w:iCs w:val="0"/>
                <w:color w:val="000000"/>
                <w:sz w:val="18"/>
                <w:szCs w:val="18"/>
                <w:u w:val="none"/>
              </w:rPr>
            </w:pPr>
            <w:r>
              <w:rPr>
                <w:rFonts w:hint="eastAsia" w:ascii="方正仿宋_GB2312" w:hAnsi="方正仿宋_GB2312" w:eastAsia="方正仿宋_GB2312" w:cs="方正仿宋_GB2312"/>
                <w:b/>
                <w:bCs/>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项目名称：</w:t>
            </w: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巫溪县市场监督管理局整体自评</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项目编码：</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50023800023P000088</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自评总分：</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100.00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b/>
                <w:bCs/>
                <w:i w:val="0"/>
                <w:iCs w:val="0"/>
                <w:color w:val="000000"/>
                <w:sz w:val="24"/>
                <w:szCs w:val="24"/>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2312" w:hAnsi="方正仿宋_GB2312" w:eastAsia="方正仿宋_GB2312" w:cs="方正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项目主管部门：</w:t>
            </w: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039-巫溪县市场监督管理局</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财政归口科室：</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005-行财科</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部门联系人：</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周小琴</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联系电话：</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51527587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29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808080"/>
                <w:sz w:val="24"/>
                <w:szCs w:val="24"/>
                <w:u w:val="none"/>
              </w:rPr>
            </w:pPr>
            <w:r>
              <w:rPr>
                <w:rFonts w:hint="eastAsia" w:ascii="方正仿宋_GB2312" w:hAnsi="方正仿宋_GB2312" w:eastAsia="方正仿宋_GB2312" w:cs="方正仿宋_GB2312"/>
                <w:b/>
                <w:bCs/>
                <w:i w:val="0"/>
                <w:iCs w:val="0"/>
                <w:color w:val="808080"/>
                <w:kern w:val="0"/>
                <w:sz w:val="32"/>
                <w:szCs w:val="32"/>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2312" w:hAnsi="方正仿宋_GB2312" w:eastAsia="方正仿宋_GB2312" w:cs="方正仿宋_GB2312"/>
                <w:i w:val="0"/>
                <w:iCs w:val="0"/>
                <w:color w:val="000000"/>
                <w:sz w:val="24"/>
                <w:szCs w:val="24"/>
                <w:u w:val="none"/>
              </w:rPr>
            </w:pP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年初预算数</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全年（调整）预算数</w:t>
            </w: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全年执行数</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执行率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执行率权重</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年度总金额</w:t>
            </w:r>
          </w:p>
        </w:tc>
        <w:tc>
          <w:tcPr>
            <w:tcW w:w="100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方正仿宋_GB2312" w:hAnsi="方正仿宋_GB2312" w:eastAsia="方正仿宋_GB2312" w:cs="方正仿宋_GB2312"/>
                <w:i w:val="0"/>
                <w:iCs w:val="0"/>
                <w:color w:val="000000"/>
                <w:sz w:val="24"/>
                <w:szCs w:val="24"/>
                <w:u w:val="none"/>
              </w:rPr>
            </w:pP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 xml:space="preserve">2,926.01 </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 xml:space="preserve">3,558.53 </w:t>
            </w: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 xml:space="preserve">3,558.53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2312" w:hAnsi="方正仿宋_GB2312" w:eastAsia="方正仿宋_GB2312" w:cs="方正仿宋_GB2312"/>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2312" w:hAnsi="方正仿宋_GB2312" w:eastAsia="方正仿宋_GB2312" w:cs="方正仿宋_GB2312"/>
                <w:i w:val="0"/>
                <w:iCs w:val="0"/>
                <w:color w:val="000000"/>
                <w:sz w:val="24"/>
                <w:szCs w:val="24"/>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其中：财政拨款</w:t>
            </w:r>
          </w:p>
        </w:tc>
        <w:tc>
          <w:tcPr>
            <w:tcW w:w="100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方正仿宋_GB2312" w:hAnsi="方正仿宋_GB2312" w:eastAsia="方正仿宋_GB2312" w:cs="方正仿宋_GB2312"/>
                <w:i w:val="0"/>
                <w:iCs w:val="0"/>
                <w:color w:val="000000"/>
                <w:sz w:val="24"/>
                <w:szCs w:val="24"/>
                <w:u w:val="none"/>
              </w:rPr>
            </w:pP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 xml:space="preserve">2,926.01 </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 xml:space="preserve">3,478.53 </w:t>
            </w: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 xml:space="preserve">3,478.53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10.00</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一般公共预算</w:t>
            </w:r>
          </w:p>
        </w:tc>
        <w:tc>
          <w:tcPr>
            <w:tcW w:w="1005" w:type="dxa"/>
            <w:tcBorders>
              <w:top w:val="single" w:color="000000" w:sz="4" w:space="0"/>
              <w:left w:val="nil"/>
              <w:bottom w:val="single" w:color="000000" w:sz="4" w:space="0"/>
              <w:right w:val="single" w:color="000000" w:sz="4" w:space="0"/>
            </w:tcBorders>
            <w:shd w:val="clear" w:color="auto" w:fill="auto"/>
            <w:vAlign w:val="center"/>
          </w:tcPr>
          <w:p>
            <w:pPr>
              <w:rPr>
                <w:rFonts w:hint="eastAsia" w:ascii="方正仿宋_GB2312" w:hAnsi="方正仿宋_GB2312" w:eastAsia="方正仿宋_GB2312" w:cs="方正仿宋_GB2312"/>
                <w:i w:val="0"/>
                <w:iCs w:val="0"/>
                <w:color w:val="000000"/>
                <w:sz w:val="24"/>
                <w:szCs w:val="24"/>
                <w:u w:val="none"/>
              </w:rPr>
            </w:pP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 xml:space="preserve">2,926.01 </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 xml:space="preserve">3,478.53 </w:t>
            </w:r>
          </w:p>
        </w:tc>
        <w:tc>
          <w:tcPr>
            <w:tcW w:w="21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 xml:space="preserve">3,478.53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2312" w:hAnsi="方正仿宋_GB2312" w:eastAsia="方正仿宋_GB2312" w:cs="方正仿宋_GB2312"/>
                <w:i w:val="0"/>
                <w:iCs w:val="0"/>
                <w:color w:val="000000"/>
                <w:sz w:val="24"/>
                <w:szCs w:val="24"/>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方正仿宋_GB2312" w:hAnsi="方正仿宋_GB2312" w:eastAsia="方正仿宋_GB2312" w:cs="方正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29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808080"/>
                <w:sz w:val="24"/>
                <w:szCs w:val="24"/>
                <w:u w:val="none"/>
              </w:rPr>
            </w:pPr>
            <w:r>
              <w:rPr>
                <w:rFonts w:hint="eastAsia" w:ascii="方正仿宋_GB2312" w:hAnsi="方正仿宋_GB2312" w:eastAsia="方正仿宋_GB2312" w:cs="方正仿宋_GB2312"/>
                <w:b/>
                <w:bCs/>
                <w:i w:val="0"/>
                <w:iCs w:val="0"/>
                <w:color w:val="808080"/>
                <w:kern w:val="0"/>
                <w:sz w:val="32"/>
                <w:szCs w:val="32"/>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7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年初绩效目标</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全年（调整）绩效目标</w:t>
            </w:r>
          </w:p>
        </w:tc>
        <w:tc>
          <w:tcPr>
            <w:tcW w:w="3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0" w:hRule="atLeast"/>
        </w:trPr>
        <w:tc>
          <w:tcPr>
            <w:tcW w:w="474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组织机关、各所执法人员开展各项专题培训，职工参与率达100%；提升监管人员政治思想、职业忠诚、行为品质、文化理论、业务技能、依法行政、廉政建设能力水平；"发展市场主体，颁发各类许可证，减少无证无照比例。提高登记许可工作的规范性和登记许可工作人员的业务能力。提高群众对登记许可工作和信用工作的知晓度，放管服改革工作的满意度；促进生产领域、流通领域产品质量安全；全面提高产品质量安全，实施全过程监管，强化日常监管频次，加大生产领域和流通领域的专项整治力度；加强全面质量管理，推进品牌建设，开展质量月活动。保护消费者的合法权益，维护社会经济秩序，促进社会主义市场经济健康发展。强化食品安全日常监管频次，取缔查处无证无照经营，建立食品安全法治体系，稳步推进国家食品安全示范城市创建工作，提高我县餐饮企业“明厨亮灶”率，开展餐饮服务食品安全示范街、示范店、示范食堂创建活动，形成人人参与、人人维护食品安全的社会共治格局，确保全县人民群众“舌尖上”的安全，社会公众和服务对象满意度逐年提高，食品安全知晓度≥ 90%，满意度≥ 80%。</w:t>
            </w:r>
          </w:p>
        </w:tc>
        <w:tc>
          <w:tcPr>
            <w:tcW w:w="460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组织机关、各所执法人员开展各项专题培训，职工参与率达100%；提升监管人员政治思想、职业忠诚、行为品质、文化理论、业务技能、依法行政、廉政建设能力水平；"发展市场主体，颁发各类许可证，减少无证无照比例。提高登记许可工作的规范性和登记许可工作人员的业务能力。提高群众对登记许可工作和信用工作的知晓度，放管服改革工作的满意度；促进生产领域、流通领域产品质量安全；全面提高产品质量安全，实施全过程监管，强化日常监管频次，加大生产领域和流通领域的专项整治力度；加强全面质量管理，推进品牌建设，开展质量月活动。保护消费者的合法权益，维护社会经济秩序，促进社会主义市场经济健康发展。强化食品安全日常监管频次，取缔查处无证无照经营，建立食品安全法治体系，稳步推进国家食品安全示范城市创建工作，提高我县餐饮企业“明厨亮灶”率，开展餐饮服务食品安全示范街、示范店、示范食堂创建活动，形成人人参与、人人维护食品安全的社会共治格局，确保全县人民群众“舌尖上”的安全，社会公众和服务对象满意度逐年提高，食品安全知晓度≥ 90%，满意度≥ 80%。</w:t>
            </w:r>
          </w:p>
        </w:tc>
        <w:tc>
          <w:tcPr>
            <w:tcW w:w="395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组织机关、各所执法人员开展各项专题培训，职工参与率达100%；提升监管人员政治思想、职业忠诚、行为品质、文化理论、业务技能、依法行政、廉政建设能力水平；"发展市场主体，颁发各类许可证，减少无证无照比例。提高登记许可工作的规范性和登记许可工作人员的业务能力。提高群众对登记许可工作和信用工作的知晓度，放管服改革工作的满意度；促进生产领域、流通领域产品质量安全；全面提高产品质量安全，实施全过程监管，强化日常监管频次，加大生产领域和流通领域的专项整治力度；加强全面质量管理，推进品牌建设，开展质量月活动。保护消费者的合法权益，维护社会经济秩序，促进社会主义市场经济健康发展。强化食品安全日常监管频次，取缔查处无证无照经营，建立食品安全法治体系，稳步推进国家食品安全示范城市创建工作，提高我县餐饮企业“明厨亮灶”率，开展餐饮服务食品安全示范街、示范店、示范食堂创建活动，形成人人参与、人人维护食品安全的社会共治格局，确保全县人民群众“舌尖上”的安全，社会公众和服务对象满意度逐年提高，食品安全知晓度≥ 90%，满意度≥ 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29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808080"/>
                <w:sz w:val="18"/>
                <w:szCs w:val="18"/>
                <w:u w:val="none"/>
              </w:rPr>
            </w:pPr>
            <w:r>
              <w:rPr>
                <w:rFonts w:hint="eastAsia" w:ascii="方正仿宋_GB2312" w:hAnsi="方正仿宋_GB2312" w:eastAsia="方正仿宋_GB2312" w:cs="方正仿宋_GB2312"/>
                <w:b/>
                <w:bCs/>
                <w:i w:val="0"/>
                <w:iCs w:val="0"/>
                <w:color w:val="808080"/>
                <w:kern w:val="0"/>
                <w:sz w:val="32"/>
                <w:szCs w:val="32"/>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指标名称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计量单位</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指标性质</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指标值</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全年完成值</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偏离度（%）</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得分系数（%）</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指标权重</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指标得分</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是否核心指标</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“两品一械”市场主体经营许可现场审查</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家</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50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100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是</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2312" w:hAnsi="方正仿宋_GB2312" w:eastAsia="方正仿宋_GB2312" w:cs="方正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案件办结率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100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100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是</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2312" w:hAnsi="方正仿宋_GB2312" w:eastAsia="方正仿宋_GB2312" w:cs="方正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上缴非税征收入库款项</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万元</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289</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189</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100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是</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2312" w:hAnsi="方正仿宋_GB2312" w:eastAsia="方正仿宋_GB2312" w:cs="方正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新增市场主体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户</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4200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100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是</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2312" w:hAnsi="方正仿宋_GB2312" w:eastAsia="方正仿宋_GB2312" w:cs="方正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食品药品安全知晓率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90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90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100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是</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2312" w:hAnsi="方正仿宋_GB2312" w:eastAsia="方正仿宋_GB2312" w:cs="方正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公众满意度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90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90</w:t>
            </w:r>
          </w:p>
        </w:tc>
        <w:tc>
          <w:tcPr>
            <w:tcW w:w="1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100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否</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2312" w:hAnsi="方正仿宋_GB2312" w:eastAsia="方正仿宋_GB2312" w:cs="方正仿宋_GB2312"/>
                <w:i w:val="0"/>
                <w:iCs w:val="0"/>
                <w:color w:val="000000"/>
                <w:sz w:val="24"/>
                <w:szCs w:val="24"/>
                <w:u w:val="none"/>
              </w:rPr>
            </w:pPr>
          </w:p>
        </w:tc>
      </w:tr>
    </w:tbl>
    <w:p>
      <w:pPr>
        <w:rPr>
          <w:sz w:val="24"/>
          <w:szCs w:val="24"/>
        </w:rPr>
      </w:pPr>
    </w:p>
    <w:p>
      <w:pPr>
        <w:pStyle w:val="11"/>
        <w:keepNext w:val="0"/>
        <w:keepLines w:val="0"/>
        <w:pageBreakBefore w:val="0"/>
        <w:widowControl/>
        <w:kinsoku/>
        <w:wordWrap/>
        <w:overflowPunct/>
        <w:topLinePunct w:val="0"/>
        <w:autoSpaceDE w:val="0"/>
        <w:autoSpaceDN/>
        <w:bidi w:val="0"/>
        <w:adjustRightInd/>
        <w:spacing w:beforeAutospacing="0" w:afterAutospacing="0" w:line="240" w:lineRule="auto"/>
        <w:ind w:firstLine="640" w:firstLineChars="200"/>
        <w:textAlignment w:val="auto"/>
        <w:rPr>
          <w:rFonts w:hint="eastAsia" w:ascii="方正楷体_GBK" w:hAnsi="方正楷体_GBK" w:eastAsia="方正楷体_GBK" w:cs="方正楷体_GBK"/>
          <w:b w:val="0"/>
          <w:bCs w:val="0"/>
          <w:sz w:val="32"/>
          <w:szCs w:val="32"/>
          <w:shd w:val="clear" w:color="auto" w:fill="FFFFFF"/>
        </w:rPr>
      </w:pPr>
    </w:p>
    <w:p>
      <w:pPr>
        <w:pStyle w:val="11"/>
        <w:keepNext w:val="0"/>
        <w:keepLines w:val="0"/>
        <w:pageBreakBefore w:val="0"/>
        <w:widowControl/>
        <w:kinsoku/>
        <w:wordWrap/>
        <w:overflowPunct/>
        <w:topLinePunct w:val="0"/>
        <w:autoSpaceDE w:val="0"/>
        <w:autoSpaceDN/>
        <w:bidi w:val="0"/>
        <w:adjustRightInd/>
        <w:spacing w:beforeAutospacing="0" w:afterAutospacing="0" w:line="240" w:lineRule="auto"/>
        <w:ind w:firstLine="640" w:firstLineChars="200"/>
        <w:textAlignment w:val="auto"/>
        <w:rPr>
          <w:rFonts w:hint="eastAsia" w:ascii="方正楷体_GBK" w:hAnsi="方正楷体_GBK" w:eastAsia="方正楷体_GBK" w:cs="方正楷体_GBK"/>
          <w:b w:val="0"/>
          <w:bCs w:val="0"/>
          <w:sz w:val="32"/>
          <w:szCs w:val="32"/>
          <w:shd w:val="clear" w:color="auto" w:fill="FFFFFF"/>
        </w:rPr>
      </w:pPr>
    </w:p>
    <w:p>
      <w:pPr>
        <w:pStyle w:val="11"/>
        <w:keepNext w:val="0"/>
        <w:keepLines w:val="0"/>
        <w:pageBreakBefore w:val="0"/>
        <w:widowControl/>
        <w:kinsoku/>
        <w:wordWrap/>
        <w:overflowPunct/>
        <w:topLinePunct w:val="0"/>
        <w:autoSpaceDE w:val="0"/>
        <w:autoSpaceDN/>
        <w:bidi w:val="0"/>
        <w:adjustRightInd/>
        <w:spacing w:beforeAutospacing="0" w:afterAutospacing="0" w:line="240" w:lineRule="auto"/>
        <w:ind w:firstLine="640" w:firstLineChars="200"/>
        <w:textAlignment w:val="auto"/>
        <w:rPr>
          <w:rFonts w:hint="eastAsia" w:ascii="方正楷体_GBK" w:hAnsi="方正楷体_GBK" w:eastAsia="方正楷体_GBK" w:cs="方正楷体_GBK"/>
          <w:b w:val="0"/>
          <w:bCs w:val="0"/>
          <w:sz w:val="32"/>
          <w:szCs w:val="32"/>
          <w:shd w:val="clear" w:color="auto" w:fill="FFFFFF"/>
        </w:rPr>
      </w:pPr>
    </w:p>
    <w:p>
      <w:pPr>
        <w:pStyle w:val="11"/>
        <w:keepNext w:val="0"/>
        <w:keepLines w:val="0"/>
        <w:pageBreakBefore w:val="0"/>
        <w:widowControl/>
        <w:kinsoku/>
        <w:wordWrap/>
        <w:overflowPunct/>
        <w:topLinePunct w:val="0"/>
        <w:autoSpaceDE w:val="0"/>
        <w:autoSpaceDN/>
        <w:bidi w:val="0"/>
        <w:adjustRightInd/>
        <w:spacing w:beforeAutospacing="0" w:afterAutospacing="0" w:line="240" w:lineRule="auto"/>
        <w:ind w:firstLine="640" w:firstLineChars="200"/>
        <w:textAlignment w:val="auto"/>
        <w:rPr>
          <w:rFonts w:hint="eastAsia" w:ascii="方正楷体_GBK" w:hAnsi="方正楷体_GBK" w:eastAsia="方正楷体_GBK" w:cs="方正楷体_GBK"/>
          <w:b w:val="0"/>
          <w:bCs w:val="0"/>
          <w:sz w:val="32"/>
          <w:szCs w:val="32"/>
          <w:shd w:val="clear" w:color="auto" w:fill="FFFFFF"/>
        </w:rPr>
      </w:pPr>
    </w:p>
    <w:p>
      <w:pPr>
        <w:pStyle w:val="11"/>
        <w:keepNext w:val="0"/>
        <w:keepLines w:val="0"/>
        <w:pageBreakBefore w:val="0"/>
        <w:widowControl/>
        <w:kinsoku/>
        <w:wordWrap/>
        <w:overflowPunct/>
        <w:topLinePunct w:val="0"/>
        <w:autoSpaceDE w:val="0"/>
        <w:autoSpaceDN/>
        <w:bidi w:val="0"/>
        <w:adjustRightInd/>
        <w:spacing w:beforeAutospacing="0" w:afterAutospacing="0" w:line="240" w:lineRule="auto"/>
        <w:ind w:firstLine="640" w:firstLineChars="200"/>
        <w:textAlignment w:val="auto"/>
        <w:rPr>
          <w:rFonts w:hint="eastAsia" w:ascii="方正楷体_GBK" w:hAnsi="方正楷体_GBK" w:eastAsia="方正楷体_GBK" w:cs="方正楷体_GBK"/>
          <w:b w:val="0"/>
          <w:bCs w:val="0"/>
          <w:sz w:val="32"/>
          <w:szCs w:val="32"/>
          <w:shd w:val="clear" w:color="auto" w:fill="FFFFFF"/>
        </w:rPr>
      </w:pPr>
    </w:p>
    <w:p>
      <w:pPr>
        <w:pStyle w:val="11"/>
        <w:keepNext w:val="0"/>
        <w:keepLines w:val="0"/>
        <w:pageBreakBefore w:val="0"/>
        <w:widowControl/>
        <w:kinsoku/>
        <w:wordWrap/>
        <w:overflowPunct/>
        <w:topLinePunct w:val="0"/>
        <w:autoSpaceDE w:val="0"/>
        <w:autoSpaceDN/>
        <w:bidi w:val="0"/>
        <w:adjustRightInd/>
        <w:spacing w:beforeAutospacing="0" w:afterAutospacing="0" w:line="240" w:lineRule="auto"/>
        <w:ind w:left="0" w:leftChars="0" w:firstLine="0" w:firstLineChars="0"/>
        <w:textAlignment w:val="auto"/>
        <w:rPr>
          <w:rFonts w:hint="eastAsia" w:ascii="方正楷体_GBK" w:hAnsi="方正楷体_GBK" w:eastAsia="方正楷体_GBK" w:cs="方正楷体_GBK"/>
          <w:b w:val="0"/>
          <w:bCs w:val="0"/>
          <w:sz w:val="32"/>
          <w:szCs w:val="32"/>
          <w:shd w:val="clear" w:color="auto" w:fill="FFFFFF"/>
        </w:rPr>
      </w:pPr>
    </w:p>
    <w:tbl>
      <w:tblPr>
        <w:tblStyle w:val="7"/>
        <w:tblW w:w="1326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02"/>
        <w:gridCol w:w="943"/>
        <w:gridCol w:w="807"/>
        <w:gridCol w:w="1025"/>
        <w:gridCol w:w="1270"/>
        <w:gridCol w:w="1505"/>
        <w:gridCol w:w="996"/>
        <w:gridCol w:w="782"/>
        <w:gridCol w:w="1136"/>
        <w:gridCol w:w="1446"/>
        <w:gridCol w:w="1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326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32"/>
                <w:szCs w:val="32"/>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26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项目名称：</w:t>
            </w: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2023年市场秩序执法经费</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项目编码：</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50023823T000003454516</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自评总分：</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100.00</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b/>
                <w:bCs/>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2312" w:hAnsi="方正仿宋_GB2312" w:eastAsia="方正仿宋_GB2312" w:cs="方正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项目主管部门：</w:t>
            </w:r>
          </w:p>
        </w:tc>
        <w:tc>
          <w:tcPr>
            <w:tcW w:w="1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039-巫溪县市场监督管理局</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财政归口科室：</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005-行财科</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部门联系人：</w:t>
            </w:r>
          </w:p>
        </w:tc>
        <w:tc>
          <w:tcPr>
            <w:tcW w:w="19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周小琴</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联系电话：</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51527587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26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808080"/>
                <w:sz w:val="24"/>
                <w:szCs w:val="24"/>
                <w:u w:val="none"/>
              </w:rPr>
            </w:pPr>
            <w:r>
              <w:rPr>
                <w:rFonts w:hint="eastAsia" w:ascii="方正仿宋_GB2312" w:hAnsi="方正仿宋_GB2312" w:eastAsia="方正仿宋_GB2312" w:cs="方正仿宋_GB2312"/>
                <w:b/>
                <w:bCs/>
                <w:i w:val="0"/>
                <w:iCs w:val="0"/>
                <w:color w:val="808080"/>
                <w:kern w:val="0"/>
                <w:sz w:val="32"/>
                <w:szCs w:val="32"/>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0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2312" w:hAnsi="方正仿宋_GB2312" w:eastAsia="方正仿宋_GB2312" w:cs="方正仿宋_GB2312"/>
                <w:i w:val="0"/>
                <w:iCs w:val="0"/>
                <w:color w:val="000000"/>
                <w:sz w:val="24"/>
                <w:szCs w:val="24"/>
                <w:u w:val="none"/>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年初预算数</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全年（调整）预算数</w:t>
            </w:r>
          </w:p>
        </w:tc>
        <w:tc>
          <w:tcPr>
            <w:tcW w:w="17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全年执行数</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执行率</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执行率权重</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10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年度总金额</w:t>
            </w:r>
          </w:p>
        </w:tc>
        <w:tc>
          <w:tcPr>
            <w:tcW w:w="943"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方正仿宋_GB2312" w:hAnsi="方正仿宋_GB2312" w:eastAsia="方正仿宋_GB2312" w:cs="方正仿宋_GB2312"/>
                <w:i w:val="0"/>
                <w:iCs w:val="0"/>
                <w:color w:val="000000"/>
                <w:sz w:val="24"/>
                <w:szCs w:val="24"/>
                <w:u w:val="none"/>
              </w:rPr>
            </w:pPr>
          </w:p>
        </w:tc>
        <w:tc>
          <w:tcPr>
            <w:tcW w:w="807"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方正仿宋_GB2312" w:hAnsi="方正仿宋_GB2312" w:eastAsia="方正仿宋_GB2312" w:cs="方正仿宋_GB2312"/>
                <w:i w:val="0"/>
                <w:iCs w:val="0"/>
                <w:color w:val="000000"/>
                <w:sz w:val="24"/>
                <w:szCs w:val="24"/>
                <w:u w:val="none"/>
              </w:rPr>
            </w:pPr>
          </w:p>
        </w:tc>
        <w:tc>
          <w:tcPr>
            <w:tcW w:w="10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 xml:space="preserve">80.00 </w:t>
            </w:r>
          </w:p>
        </w:tc>
        <w:tc>
          <w:tcPr>
            <w:tcW w:w="1270"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方正仿宋_GB2312" w:hAnsi="方正仿宋_GB2312" w:eastAsia="方正仿宋_GB2312" w:cs="方正仿宋_GB2312"/>
                <w:i w:val="0"/>
                <w:iCs w:val="0"/>
                <w:color w:val="000000"/>
                <w:sz w:val="24"/>
                <w:szCs w:val="24"/>
                <w:u w:val="none"/>
              </w:rPr>
            </w:pPr>
          </w:p>
        </w:tc>
        <w:tc>
          <w:tcPr>
            <w:tcW w:w="150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 xml:space="preserve">80.00 </w:t>
            </w:r>
          </w:p>
        </w:tc>
        <w:tc>
          <w:tcPr>
            <w:tcW w:w="17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 xml:space="preserve">80.00 </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2312" w:hAnsi="方正仿宋_GB2312" w:eastAsia="方正仿宋_GB2312" w:cs="方正仿宋_GB2312"/>
                <w:i w:val="0"/>
                <w:iCs w:val="0"/>
                <w:color w:val="000000"/>
                <w:sz w:val="24"/>
                <w:szCs w:val="24"/>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2312" w:hAnsi="方正仿宋_GB2312" w:eastAsia="方正仿宋_GB2312" w:cs="方正仿宋_GB2312"/>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10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其中：财政拨款</w:t>
            </w:r>
          </w:p>
        </w:tc>
        <w:tc>
          <w:tcPr>
            <w:tcW w:w="943"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方正仿宋_GB2312" w:hAnsi="方正仿宋_GB2312" w:eastAsia="方正仿宋_GB2312" w:cs="方正仿宋_GB2312"/>
                <w:i w:val="0"/>
                <w:iCs w:val="0"/>
                <w:color w:val="000000"/>
                <w:sz w:val="24"/>
                <w:szCs w:val="24"/>
                <w:u w:val="none"/>
              </w:rPr>
            </w:pPr>
          </w:p>
        </w:tc>
        <w:tc>
          <w:tcPr>
            <w:tcW w:w="807"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方正仿宋_GB2312" w:hAnsi="方正仿宋_GB2312" w:eastAsia="方正仿宋_GB2312" w:cs="方正仿宋_GB2312"/>
                <w:i w:val="0"/>
                <w:iCs w:val="0"/>
                <w:color w:val="000000"/>
                <w:sz w:val="24"/>
                <w:szCs w:val="24"/>
                <w:u w:val="none"/>
              </w:rPr>
            </w:pPr>
          </w:p>
        </w:tc>
        <w:tc>
          <w:tcPr>
            <w:tcW w:w="10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 xml:space="preserve">80.00 </w:t>
            </w:r>
          </w:p>
        </w:tc>
        <w:tc>
          <w:tcPr>
            <w:tcW w:w="1270"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方正仿宋_GB2312" w:hAnsi="方正仿宋_GB2312" w:eastAsia="方正仿宋_GB2312" w:cs="方正仿宋_GB2312"/>
                <w:i w:val="0"/>
                <w:iCs w:val="0"/>
                <w:color w:val="000000"/>
                <w:sz w:val="24"/>
                <w:szCs w:val="24"/>
                <w:u w:val="none"/>
              </w:rPr>
            </w:pPr>
          </w:p>
        </w:tc>
        <w:tc>
          <w:tcPr>
            <w:tcW w:w="150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 xml:space="preserve">80.00 </w:t>
            </w:r>
          </w:p>
        </w:tc>
        <w:tc>
          <w:tcPr>
            <w:tcW w:w="17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 xml:space="preserve">80.00 </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100</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10.00</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10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一般公共预算</w:t>
            </w:r>
          </w:p>
        </w:tc>
        <w:tc>
          <w:tcPr>
            <w:tcW w:w="943"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方正仿宋_GB2312" w:hAnsi="方正仿宋_GB2312" w:eastAsia="方正仿宋_GB2312" w:cs="方正仿宋_GB2312"/>
                <w:i w:val="0"/>
                <w:iCs w:val="0"/>
                <w:color w:val="000000"/>
                <w:sz w:val="24"/>
                <w:szCs w:val="24"/>
                <w:u w:val="none"/>
              </w:rPr>
            </w:pPr>
          </w:p>
        </w:tc>
        <w:tc>
          <w:tcPr>
            <w:tcW w:w="807"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方正仿宋_GB2312" w:hAnsi="方正仿宋_GB2312" w:eastAsia="方正仿宋_GB2312" w:cs="方正仿宋_GB2312"/>
                <w:i w:val="0"/>
                <w:iCs w:val="0"/>
                <w:color w:val="000000"/>
                <w:sz w:val="24"/>
                <w:szCs w:val="24"/>
                <w:u w:val="none"/>
              </w:rPr>
            </w:pPr>
          </w:p>
        </w:tc>
        <w:tc>
          <w:tcPr>
            <w:tcW w:w="10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 xml:space="preserve">80.00 </w:t>
            </w:r>
          </w:p>
        </w:tc>
        <w:tc>
          <w:tcPr>
            <w:tcW w:w="1270"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方正仿宋_GB2312" w:hAnsi="方正仿宋_GB2312" w:eastAsia="方正仿宋_GB2312" w:cs="方正仿宋_GB2312"/>
                <w:i w:val="0"/>
                <w:iCs w:val="0"/>
                <w:color w:val="000000"/>
                <w:sz w:val="24"/>
                <w:szCs w:val="24"/>
                <w:u w:val="none"/>
              </w:rPr>
            </w:pPr>
          </w:p>
        </w:tc>
        <w:tc>
          <w:tcPr>
            <w:tcW w:w="150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 xml:space="preserve">80.00 </w:t>
            </w:r>
          </w:p>
        </w:tc>
        <w:tc>
          <w:tcPr>
            <w:tcW w:w="17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 xml:space="preserve">80.00 </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100</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方正仿宋_GB2312" w:hAnsi="方正仿宋_GB2312" w:eastAsia="方正仿宋_GB2312" w:cs="方正仿宋_GB2312"/>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方正仿宋_GB2312" w:hAnsi="方正仿宋_GB2312" w:eastAsia="方正仿宋_GB2312" w:cs="方正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26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808080"/>
                <w:sz w:val="24"/>
                <w:szCs w:val="24"/>
                <w:u w:val="none"/>
              </w:rPr>
            </w:pPr>
            <w:r>
              <w:rPr>
                <w:rFonts w:hint="eastAsia" w:ascii="方正仿宋_GB2312" w:hAnsi="方正仿宋_GB2312" w:eastAsia="方正仿宋_GB2312" w:cs="方正仿宋_GB2312"/>
                <w:b/>
                <w:bCs/>
                <w:i w:val="0"/>
                <w:iCs w:val="0"/>
                <w:color w:val="808080"/>
                <w:kern w:val="0"/>
                <w:sz w:val="32"/>
                <w:szCs w:val="32"/>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87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年初绩效目标</w:t>
            </w:r>
          </w:p>
        </w:tc>
        <w:tc>
          <w:tcPr>
            <w:tcW w:w="455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全年（调整）绩效目标</w:t>
            </w:r>
          </w:p>
        </w:tc>
        <w:tc>
          <w:tcPr>
            <w:tcW w:w="38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9" w:hRule="atLeast"/>
        </w:trPr>
        <w:tc>
          <w:tcPr>
            <w:tcW w:w="487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1.有效打击各类生产经营违法行为，进一步优化我县市场环境。</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2.切实加强执法力量建设，打造过硬执法队伍。</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3.坚持“谁执法、谁普法”，加强各种专项行动的法律宣传，提升市场主体法治意识。</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 xml:space="preserve">4.加强辖区知识产权保护，推动企业知识产权经济发展。                                                                                                                       5.开展消费纠纷诉源治理活动，支持消费者集体诉讼1起以上。                                                                                                                             6.深入推进打造无传销社区工作，打造无传销网络平台3家以上。                                                                                                                              </w:t>
            </w:r>
            <w:r>
              <w:rPr>
                <w:rFonts w:ascii="Arial" w:hAnsi="Arial" w:eastAsia="方正仿宋_GB2312" w:cs="Arial"/>
                <w:i w:val="0"/>
                <w:iCs w:val="0"/>
                <w:color w:val="000000"/>
                <w:kern w:val="0"/>
                <w:sz w:val="24"/>
                <w:szCs w:val="24"/>
                <w:u w:val="none"/>
                <w:lang w:val="en-US" w:eastAsia="zh-CN" w:bidi="ar"/>
              </w:rPr>
              <w:t xml:space="preserve">    </w:t>
            </w:r>
          </w:p>
        </w:tc>
        <w:tc>
          <w:tcPr>
            <w:tcW w:w="455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1.有效打击各类生产经营违法行为，进一步优化我市场环境。</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2.切实加强执法力量建设，打造过硬执法队伍。</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3.坚持“谁执法、谁普法”，加强各种专项行动的法律宣传，提升市场主体法治意识。</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4.加强辖区知识产权保护，推动企业知识产权经济发展。                                                                                                                       5.开展消费纠</w:t>
            </w:r>
            <w:bookmarkStart w:id="0" w:name="_GoBack"/>
            <w:bookmarkEnd w:id="0"/>
            <w:r>
              <w:rPr>
                <w:rFonts w:hint="eastAsia" w:ascii="方正仿宋_GB2312" w:hAnsi="方正仿宋_GB2312" w:eastAsia="方正仿宋_GB2312" w:cs="方正仿宋_GB2312"/>
                <w:i w:val="0"/>
                <w:iCs w:val="0"/>
                <w:color w:val="000000"/>
                <w:kern w:val="0"/>
                <w:sz w:val="24"/>
                <w:szCs w:val="24"/>
                <w:u w:val="none"/>
                <w:lang w:val="en-US" w:eastAsia="zh-CN" w:bidi="ar"/>
              </w:rPr>
              <w:t xml:space="preserve">纷诉源治理活动，支持消费者集体诉讼1起以上。                                                                                                                             6.深入推进打造无传销社区工作，打造无传销网络平台3家以上。                                                                                                                              </w:t>
            </w:r>
            <w:r>
              <w:rPr>
                <w:rFonts w:ascii="Arial" w:hAnsi="Arial" w:eastAsia="方正仿宋_GB2312" w:cs="Arial"/>
                <w:i w:val="0"/>
                <w:iCs w:val="0"/>
                <w:color w:val="000000"/>
                <w:kern w:val="0"/>
                <w:sz w:val="24"/>
                <w:szCs w:val="24"/>
                <w:u w:val="none"/>
                <w:lang w:val="en-US" w:eastAsia="zh-CN" w:bidi="ar"/>
              </w:rPr>
              <w:t xml:space="preserve">     </w:t>
            </w:r>
          </w:p>
        </w:tc>
        <w:tc>
          <w:tcPr>
            <w:tcW w:w="383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1.有效打击各类生产经营违法行为，进一步优化我先市场环境。</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2.切实加强执法力量建设，打造过硬执法队伍。</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3.坚持“谁执法、谁普法”，加强各种专项行动的法律宣传，提升市场主体法治意识。</w:t>
            </w:r>
            <w:r>
              <w:rPr>
                <w:rFonts w:hint="eastAsia" w:ascii="方正仿宋_GB2312" w:hAnsi="方正仿宋_GB2312" w:eastAsia="方正仿宋_GB2312" w:cs="方正仿宋_GB2312"/>
                <w:i w:val="0"/>
                <w:iCs w:val="0"/>
                <w:color w:val="000000"/>
                <w:kern w:val="0"/>
                <w:sz w:val="24"/>
                <w:szCs w:val="24"/>
                <w:u w:val="none"/>
                <w:lang w:val="en-US" w:eastAsia="zh-CN" w:bidi="ar"/>
              </w:rPr>
              <w:br w:type="textWrapping"/>
            </w:r>
            <w:r>
              <w:rPr>
                <w:rFonts w:hint="eastAsia" w:ascii="方正仿宋_GB2312" w:hAnsi="方正仿宋_GB2312" w:eastAsia="方正仿宋_GB2312" w:cs="方正仿宋_GB2312"/>
                <w:i w:val="0"/>
                <w:iCs w:val="0"/>
                <w:color w:val="000000"/>
                <w:kern w:val="0"/>
                <w:sz w:val="24"/>
                <w:szCs w:val="24"/>
                <w:u w:val="none"/>
                <w:lang w:val="en-US" w:eastAsia="zh-CN" w:bidi="ar"/>
              </w:rPr>
              <w:t xml:space="preserve">4.加强辖区知识产权保护，推动企业知识产权经济发展。                                                                                                                       5.开展消费纠纷诉源治理活动，支持消费者集体诉讼1起以上。                                                                                                                             6.深入推进打造无传销社区工作，打造无传销网络平台3家以上。                                                                                                                             </w:t>
            </w:r>
            <w:r>
              <w:rPr>
                <w:rFonts w:ascii="Arial" w:hAnsi="Arial" w:eastAsia="方正仿宋_GB2312" w:cs="Arial"/>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1326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808080"/>
                <w:sz w:val="24"/>
                <w:szCs w:val="24"/>
                <w:u w:val="none"/>
              </w:rPr>
            </w:pPr>
            <w:r>
              <w:rPr>
                <w:rFonts w:hint="eastAsia" w:ascii="方正仿宋_GB2312" w:hAnsi="方正仿宋_GB2312" w:eastAsia="方正仿宋_GB2312" w:cs="方正仿宋_GB2312"/>
                <w:b/>
                <w:bCs/>
                <w:i w:val="0"/>
                <w:iCs w:val="0"/>
                <w:color w:val="808080"/>
                <w:kern w:val="0"/>
                <w:sz w:val="32"/>
                <w:szCs w:val="32"/>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指标名称</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计量单位</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指标性质</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指标值</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全年完成值</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偏离度（%）</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得分系数（%）</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指标权重</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指标得分</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是否核心指标</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4"/>
                <w:szCs w:val="24"/>
                <w:u w:val="none"/>
              </w:rPr>
            </w:pPr>
            <w:r>
              <w:rPr>
                <w:rFonts w:hint="eastAsia" w:ascii="方正仿宋_GB2312" w:hAnsi="方正仿宋_GB2312" w:eastAsia="方正仿宋_GB2312" w:cs="方正仿宋_GB2312"/>
                <w:b/>
                <w:bCs/>
                <w:i w:val="0"/>
                <w:iCs w:val="0"/>
                <w:color w:val="000000"/>
                <w:kern w:val="0"/>
                <w:sz w:val="24"/>
                <w:szCs w:val="24"/>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投诉举报办结率</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100</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100</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否</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2312" w:hAnsi="方正仿宋_GB2312" w:eastAsia="方正仿宋_GB2312" w:cs="方正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无传销网络平台创建家数</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家</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3</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否</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2312" w:hAnsi="方正仿宋_GB2312" w:eastAsia="方正仿宋_GB2312" w:cs="方正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执法立案率</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100</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100</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否</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2312" w:hAnsi="方正仿宋_GB2312" w:eastAsia="方正仿宋_GB2312" w:cs="方正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开展消费纠纷诉源治理活动，支持消费者集体诉讼次数</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次</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20</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否</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2312" w:hAnsi="方正仿宋_GB2312" w:eastAsia="方正仿宋_GB2312" w:cs="方正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社会公众和服务对象满意度</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95</w:t>
            </w:r>
          </w:p>
        </w:tc>
        <w:tc>
          <w:tcPr>
            <w:tcW w:w="1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95</w:t>
            </w:r>
          </w:p>
        </w:tc>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0</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100</w:t>
            </w:r>
          </w:p>
        </w:tc>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10</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10</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center"/>
              <w:textAlignment w:val="center"/>
              <w:rPr>
                <w:rFonts w:hint="eastAsia" w:ascii="方正仿宋_GB2312" w:hAnsi="方正仿宋_GB2312" w:eastAsia="方正仿宋_GB2312" w:cs="方正仿宋_GB2312"/>
                <w:i w:val="0"/>
                <w:iCs w:val="0"/>
                <w:color w:val="000000"/>
                <w:sz w:val="24"/>
                <w:szCs w:val="24"/>
                <w:u w:val="none"/>
              </w:rPr>
            </w:pPr>
            <w:r>
              <w:rPr>
                <w:rFonts w:hint="eastAsia" w:ascii="方正仿宋_GB2312" w:hAnsi="方正仿宋_GB2312" w:eastAsia="方正仿宋_GB2312" w:cs="方正仿宋_GB2312"/>
                <w:i w:val="0"/>
                <w:iCs w:val="0"/>
                <w:color w:val="000000"/>
                <w:kern w:val="0"/>
                <w:sz w:val="24"/>
                <w:szCs w:val="24"/>
                <w:u w:val="none"/>
                <w:lang w:val="en-US" w:eastAsia="zh-CN" w:bidi="ar"/>
              </w:rPr>
              <w:t>否</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2312" w:hAnsi="方正仿宋_GB2312" w:eastAsia="方正仿宋_GB2312" w:cs="方正仿宋_GB2312"/>
                <w:i w:val="0"/>
                <w:iCs w:val="0"/>
                <w:color w:val="000000"/>
                <w:sz w:val="24"/>
                <w:szCs w:val="24"/>
                <w:u w:val="none"/>
              </w:rPr>
            </w:pPr>
          </w:p>
        </w:tc>
      </w:tr>
    </w:tbl>
    <w:p>
      <w:pPr>
        <w:pStyle w:val="11"/>
        <w:keepNext w:val="0"/>
        <w:keepLines w:val="0"/>
        <w:pageBreakBefore w:val="0"/>
        <w:widowControl/>
        <w:kinsoku/>
        <w:wordWrap/>
        <w:overflowPunct/>
        <w:topLinePunct w:val="0"/>
        <w:autoSpaceDE w:val="0"/>
        <w:autoSpaceDN/>
        <w:bidi w:val="0"/>
        <w:adjustRightInd/>
        <w:spacing w:beforeAutospacing="0" w:afterAutospacing="0" w:line="240" w:lineRule="auto"/>
        <w:ind w:left="0" w:leftChars="0" w:firstLine="0" w:firstLineChars="0"/>
        <w:textAlignment w:val="auto"/>
        <w:rPr>
          <w:rFonts w:hint="eastAsia" w:ascii="方正楷体_GBK" w:hAnsi="方正楷体_GBK" w:eastAsia="方正楷体_GBK" w:cs="方正楷体_GBK"/>
          <w:b w:val="0"/>
          <w:bCs w:val="0"/>
          <w:sz w:val="32"/>
          <w:szCs w:val="32"/>
          <w:shd w:val="clear" w:color="auto" w:fill="FFFFFF"/>
        </w:rPr>
        <w:sectPr>
          <w:pgSz w:w="16840" w:h="11915" w:orient="landscape"/>
          <w:pgMar w:top="1576" w:right="2120" w:bottom="1463" w:left="1497" w:header="851" w:footer="992" w:gutter="0"/>
          <w:pgNumType w:fmt="numberInDash"/>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（二）单位绩效评价情况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我单位</w:t>
      </w:r>
      <w:r>
        <w:rPr>
          <w:rFonts w:hint="eastAsia" w:ascii="方正仿宋_GBK" w:hAnsi="方正仿宋_GBK" w:eastAsia="方正仿宋_GBK" w:cs="方正仿宋_GBK"/>
          <w:sz w:val="32"/>
          <w:szCs w:val="32"/>
          <w:lang w:eastAsia="zh-CN"/>
        </w:rPr>
        <w:t>未组织</w:t>
      </w:r>
      <w:r>
        <w:rPr>
          <w:rFonts w:hint="eastAsia" w:ascii="方正仿宋_GBK" w:hAnsi="方正仿宋_GBK" w:eastAsia="方正仿宋_GBK" w:cs="方正仿宋_GBK"/>
          <w:sz w:val="32"/>
          <w:szCs w:val="32"/>
        </w:rPr>
        <w:t>开展绩效评价</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（三）财政绩效评价情况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财政局</w:t>
      </w:r>
      <w:r>
        <w:rPr>
          <w:rFonts w:hint="eastAsia" w:ascii="方正仿宋_GBK" w:hAnsi="方正仿宋_GBK" w:eastAsia="方正仿宋_GBK" w:cs="方正仿宋_GBK"/>
          <w:sz w:val="32"/>
          <w:szCs w:val="32"/>
          <w:lang w:eastAsia="zh-CN"/>
        </w:rPr>
        <w:t>未</w:t>
      </w:r>
      <w:r>
        <w:rPr>
          <w:rFonts w:hint="eastAsia" w:ascii="方正仿宋_GBK" w:hAnsi="方正仿宋_GBK" w:eastAsia="方正仿宋_GBK" w:cs="方正仿宋_GBK"/>
          <w:sz w:val="32"/>
          <w:szCs w:val="32"/>
        </w:rPr>
        <w:t>委托第三方对我单位开展绩效评价</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六、专业名词解释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（一）财政拨款收入：指本年度从本级财政部门取得的财政拨款，包括一般公共预算财政拨款和政府性基金预算财政拨款。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（二）事业收入：指事业单位开展专业业务活动及其辅助活动取得的现金流入；事业单位收到的财政专户实际核拨的教育收费等资金在此反映。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（三）经营收入：指事业单位在专业业务活动及其辅助活动之外开展非独立核算经营活动取得的现金流入。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（五）使用非财政拨款结余：指单位在当年的“财政拨款收入”、“事业收入”、“经营收入”、“其他收入”等不足以安排当年支出的情况下，使用以前年度积累的非财政拨款结余弥补</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本年度收支缺口的资金。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（六）年初结转和结余：指单位上年结转本年使用的基本支出结转、项目支出结转和结余、经营结余。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（七）结余分配：指单位按照国家有关规定，缴纳所得税、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提取专用基金、转入非财政拨款结余等当年结余的分配情况。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（八）年末结转和结余：指单位结转下年的基本支出结转、项目支出结转和结余、经营结余。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（十一）经营支出：指事业单位在专业业务活动及其辅助活动之外开展非独立核算经营活动发生的支出。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（十四）工资福利支出（支出经济分类科目类级）：反映单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（十五）商品和服务支出（支出经济分类科目类级）：反映单位购买商品和服务的支出（不包括用于购置固定资产的支出、战略性和应急储备支出）。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（十六）对个人和家庭的补助（支出经济分类科目类级）：反映用于对个人和家庭的补助支出。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七、决算公开联系方式及信息反馈渠道</w:t>
      </w:r>
    </w:p>
    <w:p>
      <w:pPr>
        <w:keepNext w:val="0"/>
        <w:keepLines w:val="0"/>
        <w:pageBreakBefore w:val="0"/>
        <w:widowControl/>
        <w:kinsoku/>
        <w:wordWrap/>
        <w:overflowPunct/>
        <w:topLinePunct w:val="0"/>
        <w:autoSpaceDE/>
        <w:autoSpaceDN/>
        <w:bidi w:val="0"/>
        <w:adjustRightInd/>
        <w:snapToGrid/>
        <w:spacing w:line="600" w:lineRule="exact"/>
        <w:ind w:firstLine="632" w:firstLineChars="200"/>
        <w:textAlignment w:val="auto"/>
        <w:rPr>
          <w:rFonts w:hint="eastAsia" w:ascii="方正仿宋_GBK" w:hAnsi="方正仿宋_GBK" w:eastAsia="方正仿宋_GBK" w:cs="方正仿宋_GBK"/>
          <w:w w:val="99"/>
          <w:sz w:val="32"/>
          <w:szCs w:val="32"/>
          <w:lang w:val="en-US" w:eastAsia="zh-CN"/>
        </w:rPr>
        <w:sectPr>
          <w:pgSz w:w="11915" w:h="16840"/>
          <w:pgMar w:top="2120" w:right="1463" w:bottom="1497" w:left="1576" w:header="851" w:footer="992" w:gutter="0"/>
          <w:pgNumType w:fmt="numberInDash"/>
          <w:cols w:space="720" w:num="1"/>
          <w:docGrid w:type="lines" w:linePitch="312" w:charSpace="0"/>
        </w:sectPr>
      </w:pPr>
      <w:r>
        <w:rPr>
          <w:rFonts w:hint="eastAsia" w:ascii="方正仿宋_GBK" w:hAnsi="方正仿宋_GBK" w:eastAsia="方正仿宋_GBK" w:cs="方正仿宋_GBK"/>
          <w:w w:val="99"/>
          <w:sz w:val="32"/>
          <w:szCs w:val="32"/>
        </w:rPr>
        <w:t>本单位决算公开信息反馈和联系方式：</w:t>
      </w:r>
      <w:r>
        <w:rPr>
          <w:rFonts w:hint="eastAsia" w:ascii="方正仿宋_GBK" w:hAnsi="方正仿宋_GBK" w:eastAsia="方正仿宋_GBK" w:cs="方正仿宋_GBK"/>
          <w:w w:val="99"/>
          <w:sz w:val="32"/>
          <w:szCs w:val="32"/>
          <w:lang w:eastAsia="zh-CN"/>
        </w:rPr>
        <w:t>周小琴</w:t>
      </w:r>
      <w:r>
        <w:rPr>
          <w:rFonts w:hint="eastAsia" w:ascii="方正仿宋_GBK" w:hAnsi="方正仿宋_GBK" w:eastAsia="方正仿宋_GBK" w:cs="方正仿宋_GBK"/>
          <w:w w:val="99"/>
          <w:sz w:val="32"/>
          <w:szCs w:val="32"/>
          <w:lang w:val="en-US" w:eastAsia="zh-CN"/>
        </w:rPr>
        <w:t>023-51527587</w:t>
      </w:r>
    </w:p>
    <w:p>
      <w:pPr>
        <w:rPr>
          <w:rFonts w:hint="default" w:cs="宋体"/>
          <w:sz w:val="21"/>
          <w:szCs w:val="21"/>
        </w:rPr>
      </w:pPr>
    </w:p>
    <w:tbl>
      <w:tblPr>
        <w:tblStyle w:val="7"/>
        <w:tblW w:w="4577" w:type="pct"/>
        <w:tblInd w:w="0" w:type="dxa"/>
        <w:tblLayout w:type="autofit"/>
        <w:tblCellMar>
          <w:top w:w="0" w:type="dxa"/>
          <w:left w:w="0" w:type="dxa"/>
          <w:bottom w:w="0" w:type="dxa"/>
          <w:right w:w="0" w:type="dxa"/>
        </w:tblCellMar>
      </w:tblPr>
      <w:tblGrid>
        <w:gridCol w:w="5115"/>
        <w:gridCol w:w="2019"/>
        <w:gridCol w:w="4800"/>
        <w:gridCol w:w="2143"/>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81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71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70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760"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534"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w:t>
            </w:r>
            <w:r>
              <w:rPr>
                <w:rFonts w:hint="eastAsia" w:cs="宋体"/>
                <w:sz w:val="20"/>
                <w:szCs w:val="20"/>
                <w:lang w:eastAsia="zh-CN"/>
              </w:rPr>
              <w:t>部门</w:t>
            </w:r>
            <w:r>
              <w:rPr>
                <w:rFonts w:cs="宋体"/>
                <w:sz w:val="20"/>
                <w:szCs w:val="20"/>
              </w:rPr>
              <w:t>：</w:t>
            </w:r>
            <w:r>
              <w:rPr>
                <w:sz w:val="20"/>
                <w:u w:color="auto"/>
              </w:rPr>
              <w:t>重庆市巫溪县市场监督管理局</w:t>
            </w:r>
          </w:p>
        </w:tc>
        <w:tc>
          <w:tcPr>
            <w:tcW w:w="170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760"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53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465"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8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7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70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76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8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3,249.82</w:t>
            </w:r>
            <w:r>
              <w:rPr>
                <w:color w:val="000000"/>
                <w:sz w:val="20"/>
                <w:u w:color="auto"/>
              </w:rPr>
              <w:t xml:space="preserve"> </w:t>
            </w:r>
          </w:p>
        </w:tc>
        <w:tc>
          <w:tcPr>
            <w:tcW w:w="170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7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2,414.04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8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70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7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8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70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7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8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70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7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8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70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7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8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70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7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8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70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7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8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71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70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7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608.00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8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70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7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87.09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8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70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7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8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70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7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8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70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7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8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70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7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8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70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7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8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70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7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8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70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7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8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70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7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8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70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7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8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70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7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170.29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8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70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7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8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70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7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8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70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7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8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70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7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8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70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7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8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70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7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8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70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7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8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3,249.82</w:t>
            </w:r>
            <w:r>
              <w:rPr>
                <w:color w:val="000000"/>
                <w:sz w:val="20"/>
                <w:u w:color="auto"/>
              </w:rPr>
              <w:t xml:space="preserve"> </w:t>
            </w:r>
          </w:p>
        </w:tc>
        <w:tc>
          <w:tcPr>
            <w:tcW w:w="170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7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3,279.42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8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70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7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8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7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29.60</w:t>
            </w:r>
            <w:r>
              <w:rPr>
                <w:color w:val="000000"/>
                <w:sz w:val="20"/>
                <w:u w:color="auto"/>
              </w:rPr>
              <w:t xml:space="preserve"> </w:t>
            </w:r>
          </w:p>
        </w:tc>
        <w:tc>
          <w:tcPr>
            <w:tcW w:w="170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760"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817"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7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3,279.42</w:t>
            </w:r>
            <w:r>
              <w:rPr>
                <w:color w:val="000000"/>
                <w:sz w:val="20"/>
                <w:u w:color="auto"/>
              </w:rPr>
              <w:t xml:space="preserve"> </w:t>
            </w:r>
          </w:p>
        </w:tc>
        <w:tc>
          <w:tcPr>
            <w:tcW w:w="1705"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76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3,279.42</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4570" w:type="pct"/>
        <w:tblInd w:w="0" w:type="dxa"/>
        <w:tblLayout w:type="fixed"/>
        <w:tblCellMar>
          <w:top w:w="0" w:type="dxa"/>
          <w:left w:w="0" w:type="dxa"/>
          <w:bottom w:w="0" w:type="dxa"/>
          <w:right w:w="0" w:type="dxa"/>
        </w:tblCellMar>
      </w:tblPr>
      <w:tblGrid>
        <w:gridCol w:w="1390"/>
        <w:gridCol w:w="2955"/>
        <w:gridCol w:w="1305"/>
        <w:gridCol w:w="1455"/>
        <w:gridCol w:w="1065"/>
        <w:gridCol w:w="1020"/>
        <w:gridCol w:w="1395"/>
        <w:gridCol w:w="1136"/>
        <w:gridCol w:w="1168"/>
        <w:gridCol w:w="1168"/>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2009"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sz w:val="20"/>
                <w:szCs w:val="20"/>
              </w:rPr>
              <w:t>：</w:t>
            </w:r>
            <w:r>
              <w:rPr>
                <w:sz w:val="20"/>
                <w:u w:color="auto"/>
              </w:rPr>
              <w:t>重庆市巫溪县市场监督管理局</w:t>
            </w:r>
          </w:p>
        </w:tc>
        <w:tc>
          <w:tcPr>
            <w:tcW w:w="5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6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200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6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9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45"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6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94"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5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6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6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94"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5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94"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5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94"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5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6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7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45"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3,249.82</w:t>
            </w:r>
            <w:r>
              <w:rPr>
                <w:b/>
                <w:color w:val="000000"/>
                <w:sz w:val="20"/>
                <w:u w:color="auto"/>
              </w:rPr>
              <w:t xml:space="preserve"> </w:t>
            </w:r>
          </w:p>
        </w:tc>
        <w:tc>
          <w:tcPr>
            <w:tcW w:w="5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3,249.82</w:t>
            </w:r>
            <w:r>
              <w:rPr>
                <w:b/>
                <w:color w:val="000000"/>
                <w:sz w:val="20"/>
                <w:u w:color="auto"/>
              </w:rPr>
              <w:t xml:space="preserve"> </w:t>
            </w:r>
          </w:p>
        </w:tc>
        <w:tc>
          <w:tcPr>
            <w:tcW w:w="3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4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2,384.44</w:t>
            </w:r>
            <w:r>
              <w:rPr>
                <w:b/>
                <w:color w:val="000000"/>
                <w:sz w:val="20"/>
                <w:u w:color="auto"/>
              </w:rPr>
              <w:t xml:space="preserve"> </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2,384.44</w:t>
            </w:r>
            <w:r>
              <w:rPr>
                <w:b/>
                <w:color w:val="000000"/>
                <w:sz w:val="20"/>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4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10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2,384.44</w:t>
            </w:r>
            <w:r>
              <w:rPr>
                <w:b/>
                <w:color w:val="000000"/>
                <w:sz w:val="20"/>
                <w:u w:color="auto"/>
              </w:rPr>
              <w:t xml:space="preserve"> </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2,384.44</w:t>
            </w:r>
            <w:r>
              <w:rPr>
                <w:b/>
                <w:color w:val="000000"/>
                <w:sz w:val="20"/>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4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2013801</w:t>
            </w:r>
          </w:p>
        </w:tc>
        <w:tc>
          <w:tcPr>
            <w:tcW w:w="10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1,696.90</w:t>
            </w:r>
            <w:r>
              <w:rPr>
                <w:color w:val="000000"/>
                <w:sz w:val="20"/>
                <w:u w:color="auto"/>
              </w:rPr>
              <w:t xml:space="preserve"> </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1,696.90</w:t>
            </w:r>
            <w:r>
              <w:rPr>
                <w:color w:val="000000"/>
                <w:sz w:val="20"/>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4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2013802</w:t>
            </w:r>
          </w:p>
        </w:tc>
        <w:tc>
          <w:tcPr>
            <w:tcW w:w="10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4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2013804</w:t>
            </w:r>
          </w:p>
        </w:tc>
        <w:tc>
          <w:tcPr>
            <w:tcW w:w="10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市场主体管理</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4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2013805</w:t>
            </w:r>
          </w:p>
        </w:tc>
        <w:tc>
          <w:tcPr>
            <w:tcW w:w="10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市场秩序执法</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80.00</w:t>
            </w:r>
            <w:r>
              <w:rPr>
                <w:color w:val="000000"/>
                <w:sz w:val="20"/>
                <w:u w:color="auto"/>
              </w:rPr>
              <w:t xml:space="preserve"> </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80.00</w:t>
            </w:r>
            <w:r>
              <w:rPr>
                <w:color w:val="000000"/>
                <w:sz w:val="20"/>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4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2013810</w:t>
            </w:r>
          </w:p>
        </w:tc>
        <w:tc>
          <w:tcPr>
            <w:tcW w:w="10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质量基础</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34.00</w:t>
            </w:r>
            <w:r>
              <w:rPr>
                <w:color w:val="000000"/>
                <w:sz w:val="20"/>
                <w:u w:color="auto"/>
              </w:rPr>
              <w:t xml:space="preserve"> </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34.00</w:t>
            </w:r>
            <w:r>
              <w:rPr>
                <w:color w:val="000000"/>
                <w:sz w:val="20"/>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4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2013812</w:t>
            </w:r>
          </w:p>
        </w:tc>
        <w:tc>
          <w:tcPr>
            <w:tcW w:w="10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药品事务</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55.50</w:t>
            </w:r>
            <w:r>
              <w:rPr>
                <w:color w:val="000000"/>
                <w:sz w:val="20"/>
                <w:u w:color="auto"/>
              </w:rPr>
              <w:t xml:space="preserve"> </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55.50</w:t>
            </w:r>
            <w:r>
              <w:rPr>
                <w:color w:val="000000"/>
                <w:sz w:val="20"/>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4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2013814</w:t>
            </w:r>
          </w:p>
        </w:tc>
        <w:tc>
          <w:tcPr>
            <w:tcW w:w="10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化妆品事务</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3.04</w:t>
            </w:r>
            <w:r>
              <w:rPr>
                <w:color w:val="000000"/>
                <w:sz w:val="20"/>
                <w:u w:color="auto"/>
              </w:rPr>
              <w:t xml:space="preserve"> </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3.04</w:t>
            </w:r>
            <w:r>
              <w:rPr>
                <w:color w:val="000000"/>
                <w:sz w:val="20"/>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4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2013815</w:t>
            </w:r>
          </w:p>
        </w:tc>
        <w:tc>
          <w:tcPr>
            <w:tcW w:w="10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质量安全监管</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4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10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347.70</w:t>
            </w:r>
            <w:r>
              <w:rPr>
                <w:color w:val="000000"/>
                <w:sz w:val="20"/>
                <w:u w:color="auto"/>
              </w:rPr>
              <w:t xml:space="preserve"> </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347.70</w:t>
            </w:r>
            <w:r>
              <w:rPr>
                <w:color w:val="000000"/>
                <w:sz w:val="20"/>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4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2013850</w:t>
            </w:r>
          </w:p>
        </w:tc>
        <w:tc>
          <w:tcPr>
            <w:tcW w:w="10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57.30</w:t>
            </w:r>
            <w:r>
              <w:rPr>
                <w:color w:val="000000"/>
                <w:sz w:val="20"/>
                <w:u w:color="auto"/>
              </w:rPr>
              <w:t xml:space="preserve"> </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57.30</w:t>
            </w:r>
            <w:r>
              <w:rPr>
                <w:color w:val="000000"/>
                <w:sz w:val="20"/>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4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608.00</w:t>
            </w:r>
            <w:r>
              <w:rPr>
                <w:b/>
                <w:color w:val="000000"/>
                <w:sz w:val="20"/>
                <w:u w:color="auto"/>
              </w:rPr>
              <w:t xml:space="preserve"> </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608.00</w:t>
            </w:r>
            <w:r>
              <w:rPr>
                <w:b/>
                <w:color w:val="000000"/>
                <w:sz w:val="20"/>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4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503.33</w:t>
            </w:r>
            <w:r>
              <w:rPr>
                <w:b/>
                <w:color w:val="000000"/>
                <w:sz w:val="20"/>
                <w:u w:color="auto"/>
              </w:rPr>
              <w:t xml:space="preserve"> </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503.33</w:t>
            </w:r>
            <w:r>
              <w:rPr>
                <w:b/>
                <w:color w:val="000000"/>
                <w:sz w:val="20"/>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4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144.10</w:t>
            </w:r>
            <w:r>
              <w:rPr>
                <w:color w:val="000000"/>
                <w:sz w:val="20"/>
                <w:u w:color="auto"/>
              </w:rPr>
              <w:t xml:space="preserve"> </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144.10</w:t>
            </w:r>
            <w:r>
              <w:rPr>
                <w:color w:val="000000"/>
                <w:sz w:val="20"/>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4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0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2.41</w:t>
            </w:r>
            <w:r>
              <w:rPr>
                <w:color w:val="000000"/>
                <w:sz w:val="20"/>
                <w:u w:color="auto"/>
              </w:rPr>
              <w:t xml:space="preserve"> </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2.41</w:t>
            </w:r>
            <w:r>
              <w:rPr>
                <w:color w:val="000000"/>
                <w:sz w:val="20"/>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4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239.84</w:t>
            </w:r>
            <w:r>
              <w:rPr>
                <w:color w:val="000000"/>
                <w:sz w:val="20"/>
                <w:u w:color="auto"/>
              </w:rPr>
              <w:t xml:space="preserve"> </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239.84</w:t>
            </w:r>
            <w:r>
              <w:rPr>
                <w:color w:val="000000"/>
                <w:sz w:val="20"/>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4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116.98</w:t>
            </w:r>
            <w:r>
              <w:rPr>
                <w:color w:val="000000"/>
                <w:sz w:val="20"/>
                <w:u w:color="auto"/>
              </w:rPr>
              <w:t xml:space="preserve"> </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116.98</w:t>
            </w:r>
            <w:r>
              <w:rPr>
                <w:color w:val="000000"/>
                <w:sz w:val="20"/>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4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104.66</w:t>
            </w:r>
            <w:r>
              <w:rPr>
                <w:b/>
                <w:color w:val="000000"/>
                <w:sz w:val="20"/>
                <w:u w:color="auto"/>
              </w:rPr>
              <w:t xml:space="preserve"> </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104.66</w:t>
            </w:r>
            <w:r>
              <w:rPr>
                <w:b/>
                <w:color w:val="000000"/>
                <w:sz w:val="20"/>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4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0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104.66</w:t>
            </w:r>
            <w:r>
              <w:rPr>
                <w:color w:val="000000"/>
                <w:sz w:val="20"/>
                <w:u w:color="auto"/>
              </w:rPr>
              <w:t xml:space="preserve"> </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104.66</w:t>
            </w:r>
            <w:r>
              <w:rPr>
                <w:color w:val="000000"/>
                <w:sz w:val="20"/>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4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87.09</w:t>
            </w:r>
            <w:r>
              <w:rPr>
                <w:b/>
                <w:color w:val="000000"/>
                <w:sz w:val="20"/>
                <w:u w:color="auto"/>
              </w:rPr>
              <w:t xml:space="preserve"> </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87.09</w:t>
            </w:r>
            <w:r>
              <w:rPr>
                <w:b/>
                <w:color w:val="000000"/>
                <w:sz w:val="20"/>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4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87.09</w:t>
            </w:r>
            <w:r>
              <w:rPr>
                <w:b/>
                <w:color w:val="000000"/>
                <w:sz w:val="20"/>
                <w:u w:color="auto"/>
              </w:rPr>
              <w:t xml:space="preserve"> </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87.09</w:t>
            </w:r>
            <w:r>
              <w:rPr>
                <w:b/>
                <w:color w:val="000000"/>
                <w:sz w:val="20"/>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4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84.07</w:t>
            </w:r>
            <w:r>
              <w:rPr>
                <w:color w:val="000000"/>
                <w:sz w:val="20"/>
                <w:u w:color="auto"/>
              </w:rPr>
              <w:t xml:space="preserve"> </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84.07</w:t>
            </w:r>
            <w:r>
              <w:rPr>
                <w:color w:val="000000"/>
                <w:sz w:val="20"/>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4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3.02</w:t>
            </w:r>
            <w:r>
              <w:rPr>
                <w:color w:val="000000"/>
                <w:sz w:val="20"/>
                <w:u w:color="auto"/>
              </w:rPr>
              <w:t xml:space="preserve"> </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3.02</w:t>
            </w:r>
            <w:r>
              <w:rPr>
                <w:color w:val="000000"/>
                <w:sz w:val="20"/>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4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170.29</w:t>
            </w:r>
            <w:r>
              <w:rPr>
                <w:b/>
                <w:color w:val="000000"/>
                <w:sz w:val="20"/>
                <w:u w:color="auto"/>
              </w:rPr>
              <w:t xml:space="preserve"> </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170.29</w:t>
            </w:r>
            <w:r>
              <w:rPr>
                <w:b/>
                <w:color w:val="000000"/>
                <w:sz w:val="20"/>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4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170.29</w:t>
            </w:r>
            <w:r>
              <w:rPr>
                <w:b/>
                <w:color w:val="000000"/>
                <w:sz w:val="20"/>
                <w:u w:color="auto"/>
              </w:rPr>
              <w:t xml:space="preserve"> </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170.29</w:t>
            </w:r>
            <w:r>
              <w:rPr>
                <w:b/>
                <w:color w:val="000000"/>
                <w:sz w:val="20"/>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49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170.29</w:t>
            </w:r>
            <w:r>
              <w:rPr>
                <w:color w:val="000000"/>
                <w:sz w:val="20"/>
                <w:u w:color="auto"/>
              </w:rPr>
              <w:t xml:space="preserve"> </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170.29</w:t>
            </w:r>
            <w:r>
              <w:rPr>
                <w:color w:val="000000"/>
                <w:sz w:val="20"/>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4549" w:type="pct"/>
        <w:tblInd w:w="0" w:type="dxa"/>
        <w:tblLayout w:type="autofit"/>
        <w:tblCellMar>
          <w:top w:w="0" w:type="dxa"/>
          <w:left w:w="0" w:type="dxa"/>
          <w:bottom w:w="0" w:type="dxa"/>
          <w:right w:w="0" w:type="dxa"/>
        </w:tblCellMar>
      </w:tblPr>
      <w:tblGrid>
        <w:gridCol w:w="1793"/>
        <w:gridCol w:w="3355"/>
        <w:gridCol w:w="1699"/>
        <w:gridCol w:w="1690"/>
        <w:gridCol w:w="1690"/>
        <w:gridCol w:w="1497"/>
        <w:gridCol w:w="1142"/>
        <w:gridCol w:w="1125"/>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44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sz w:val="20"/>
                <w:szCs w:val="20"/>
              </w:rPr>
              <w:t>：</w:t>
            </w:r>
            <w:r>
              <w:rPr>
                <w:sz w:val="20"/>
                <w:u w:color="auto"/>
              </w:rPr>
              <w:t>重庆市巫溪县市场监督管理局</w:t>
            </w:r>
          </w:p>
        </w:tc>
        <w:tc>
          <w:tcPr>
            <w:tcW w:w="60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0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9"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44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0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0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99"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840"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6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6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3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39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641"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98"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641"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198"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641"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198"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641"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198"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6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3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9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84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3,279.42</w:t>
            </w:r>
            <w:r>
              <w:rPr>
                <w:b/>
                <w:color w:val="000000"/>
                <w:sz w:val="20"/>
                <w:u w:color="auto"/>
              </w:rPr>
              <w:t xml:space="preserve"> </w:t>
            </w:r>
          </w:p>
        </w:tc>
        <w:tc>
          <w:tcPr>
            <w:tcW w:w="6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2,619.59</w:t>
            </w:r>
            <w:r>
              <w:rPr>
                <w:b/>
                <w:color w:val="000000"/>
                <w:sz w:val="20"/>
                <w:u w:color="auto"/>
              </w:rPr>
              <w:t xml:space="preserve"> </w:t>
            </w:r>
          </w:p>
        </w:tc>
        <w:tc>
          <w:tcPr>
            <w:tcW w:w="6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659.83</w:t>
            </w:r>
            <w:r>
              <w:rPr>
                <w:b/>
                <w:color w:val="000000"/>
                <w:sz w:val="20"/>
                <w:u w:color="auto"/>
              </w:rPr>
              <w:t xml:space="preserve"> </w:t>
            </w:r>
          </w:p>
        </w:tc>
        <w:tc>
          <w:tcPr>
            <w:tcW w:w="5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6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2,414.04</w:t>
            </w:r>
            <w:r>
              <w:rPr>
                <w:b/>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1,754.21</w:t>
            </w:r>
            <w:r>
              <w:rPr>
                <w:b/>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659.83</w:t>
            </w:r>
            <w:r>
              <w:rPr>
                <w:b/>
                <w:color w:val="000000"/>
                <w:sz w:val="20"/>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11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2,414.04</w:t>
            </w:r>
            <w:r>
              <w:rPr>
                <w:b/>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1,754.21</w:t>
            </w:r>
            <w:r>
              <w:rPr>
                <w:b/>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659.83</w:t>
            </w:r>
            <w:r>
              <w:rPr>
                <w:b/>
                <w:color w:val="000000"/>
                <w:sz w:val="20"/>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2013801</w:t>
            </w:r>
          </w:p>
        </w:tc>
        <w:tc>
          <w:tcPr>
            <w:tcW w:w="11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1,696.90</w:t>
            </w: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1,696.90</w:t>
            </w: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2013802</w:t>
            </w:r>
          </w:p>
        </w:tc>
        <w:tc>
          <w:tcPr>
            <w:tcW w:w="11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2013804</w:t>
            </w:r>
          </w:p>
        </w:tc>
        <w:tc>
          <w:tcPr>
            <w:tcW w:w="11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市场主体管理</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2013805</w:t>
            </w:r>
          </w:p>
        </w:tc>
        <w:tc>
          <w:tcPr>
            <w:tcW w:w="11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市场秩序执法</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80.00</w:t>
            </w: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80.00</w:t>
            </w:r>
            <w:r>
              <w:rPr>
                <w:color w:val="000000"/>
                <w:sz w:val="20"/>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2013810</w:t>
            </w:r>
          </w:p>
        </w:tc>
        <w:tc>
          <w:tcPr>
            <w:tcW w:w="11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质量基础</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34.00</w:t>
            </w: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34.00</w:t>
            </w:r>
            <w:r>
              <w:rPr>
                <w:color w:val="000000"/>
                <w:sz w:val="20"/>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2013812</w:t>
            </w:r>
          </w:p>
        </w:tc>
        <w:tc>
          <w:tcPr>
            <w:tcW w:w="11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药品事务</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55.50</w:t>
            </w: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55.50</w:t>
            </w:r>
            <w:r>
              <w:rPr>
                <w:color w:val="000000"/>
                <w:sz w:val="20"/>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2013814</w:t>
            </w:r>
          </w:p>
        </w:tc>
        <w:tc>
          <w:tcPr>
            <w:tcW w:w="11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化妆品事务</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3.04</w:t>
            </w: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3.04</w:t>
            </w:r>
            <w:r>
              <w:rPr>
                <w:color w:val="000000"/>
                <w:sz w:val="20"/>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2013815</w:t>
            </w:r>
          </w:p>
        </w:tc>
        <w:tc>
          <w:tcPr>
            <w:tcW w:w="11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质量安全监管</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11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369.14</w:t>
            </w: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369.14</w:t>
            </w:r>
            <w:r>
              <w:rPr>
                <w:color w:val="000000"/>
                <w:sz w:val="20"/>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2013850</w:t>
            </w:r>
          </w:p>
        </w:tc>
        <w:tc>
          <w:tcPr>
            <w:tcW w:w="11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57.30</w:t>
            </w: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57.30</w:t>
            </w: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2013899</w:t>
            </w:r>
          </w:p>
        </w:tc>
        <w:tc>
          <w:tcPr>
            <w:tcW w:w="11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其他市场监督管理事务</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8.16</w:t>
            </w: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8.16</w:t>
            </w:r>
            <w:r>
              <w:rPr>
                <w:color w:val="000000"/>
                <w:sz w:val="20"/>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608.00</w:t>
            </w:r>
            <w:r>
              <w:rPr>
                <w:b/>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608.00</w:t>
            </w:r>
            <w:r>
              <w:rPr>
                <w:b/>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503.33</w:t>
            </w:r>
            <w:r>
              <w:rPr>
                <w:b/>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503.33</w:t>
            </w:r>
            <w:r>
              <w:rPr>
                <w:b/>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1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144.10</w:t>
            </w: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144.10</w:t>
            </w: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1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2.41</w:t>
            </w: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2.41</w:t>
            </w: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239.84</w:t>
            </w: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239.84</w:t>
            </w: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116.98</w:t>
            </w: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116.98</w:t>
            </w: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1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104.66</w:t>
            </w:r>
            <w:r>
              <w:rPr>
                <w:b/>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104.66</w:t>
            </w:r>
            <w:r>
              <w:rPr>
                <w:b/>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1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104.66</w:t>
            </w: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104.66</w:t>
            </w: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87.09</w:t>
            </w:r>
            <w:r>
              <w:rPr>
                <w:b/>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87.09</w:t>
            </w:r>
            <w:r>
              <w:rPr>
                <w:b/>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87.09</w:t>
            </w:r>
            <w:r>
              <w:rPr>
                <w:b/>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87.09</w:t>
            </w:r>
            <w:r>
              <w:rPr>
                <w:b/>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84.07</w:t>
            </w: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84.07</w:t>
            </w: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3.02</w:t>
            </w: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3.02</w:t>
            </w: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170.29</w:t>
            </w:r>
            <w:r>
              <w:rPr>
                <w:b/>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170.29</w:t>
            </w:r>
            <w:r>
              <w:rPr>
                <w:b/>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170.29</w:t>
            </w:r>
            <w:r>
              <w:rPr>
                <w:b/>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170.29</w:t>
            </w:r>
            <w:r>
              <w:rPr>
                <w:b/>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6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170.29</w:t>
            </w: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170.29</w:t>
            </w:r>
            <w:r>
              <w:rPr>
                <w:color w:val="000000"/>
                <w:sz w:val="20"/>
                <w:u w:color="auto"/>
              </w:rPr>
              <w:t xml:space="preserve">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605" w:type="pct"/>
        <w:tblInd w:w="0" w:type="dxa"/>
        <w:tblLayout w:type="autofit"/>
        <w:tblCellMar>
          <w:top w:w="0" w:type="dxa"/>
          <w:left w:w="0" w:type="dxa"/>
          <w:bottom w:w="0" w:type="dxa"/>
          <w:right w:w="0" w:type="dxa"/>
        </w:tblCellMar>
      </w:tblPr>
      <w:tblGrid>
        <w:gridCol w:w="2976"/>
        <w:gridCol w:w="1526"/>
        <w:gridCol w:w="3190"/>
        <w:gridCol w:w="1700"/>
        <w:gridCol w:w="1700"/>
        <w:gridCol w:w="1700"/>
        <w:gridCol w:w="1371"/>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716"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w:t>
            </w:r>
            <w:r>
              <w:rPr>
                <w:rFonts w:hint="eastAsia" w:cs="宋体"/>
                <w:sz w:val="20"/>
                <w:szCs w:val="20"/>
                <w:lang w:eastAsia="zh-CN"/>
              </w:rPr>
              <w:t>部门</w:t>
            </w:r>
            <w:r>
              <w:rPr>
                <w:rFonts w:cs="宋体"/>
                <w:sz w:val="20"/>
                <w:szCs w:val="20"/>
              </w:rPr>
              <w:t>：</w:t>
            </w:r>
            <w:r>
              <w:rPr>
                <w:sz w:val="20"/>
                <w:u w:color="auto"/>
              </w:rPr>
              <w:t>重庆市巫溪县市场监督管理局</w:t>
            </w:r>
          </w:p>
        </w:tc>
        <w:tc>
          <w:tcPr>
            <w:tcW w:w="60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0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0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2"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716"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0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0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0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9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09"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5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3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1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283"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5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0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60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60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48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3,249.82</w:t>
            </w:r>
            <w:r>
              <w:rPr>
                <w:color w:val="000000"/>
                <w:sz w:val="18"/>
                <w:u w:color="auto"/>
              </w:rPr>
              <w:t xml:space="preserve"> </w:t>
            </w:r>
          </w:p>
        </w:tc>
        <w:tc>
          <w:tcPr>
            <w:tcW w:w="11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2,414.04</w:t>
            </w: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2,414.04</w:t>
            </w: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608.00</w:t>
            </w: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608.00</w:t>
            </w: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87.09</w:t>
            </w: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87.09</w:t>
            </w: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170.29</w:t>
            </w: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170.29</w:t>
            </w: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1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3,249.82</w:t>
            </w:r>
            <w:r>
              <w:rPr>
                <w:color w:val="000000"/>
                <w:sz w:val="18"/>
                <w:u w:color="auto"/>
              </w:rPr>
              <w:t xml:space="preserve"> </w:t>
            </w:r>
          </w:p>
        </w:tc>
        <w:tc>
          <w:tcPr>
            <w:tcW w:w="11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3,279.42</w:t>
            </w: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3,279.42</w:t>
            </w: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29.60</w:t>
            </w:r>
            <w:r>
              <w:rPr>
                <w:color w:val="000000"/>
                <w:sz w:val="18"/>
                <w:u w:color="auto"/>
              </w:rPr>
              <w:t xml:space="preserve"> </w:t>
            </w:r>
          </w:p>
        </w:tc>
        <w:tc>
          <w:tcPr>
            <w:tcW w:w="11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29.60</w:t>
            </w:r>
            <w:r>
              <w:rPr>
                <w:color w:val="000000"/>
                <w:sz w:val="18"/>
                <w:u w:color="auto"/>
              </w:rPr>
              <w:t xml:space="preserve"> </w:t>
            </w:r>
          </w:p>
        </w:tc>
        <w:tc>
          <w:tcPr>
            <w:tcW w:w="1126"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1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3,279.42</w:t>
            </w:r>
            <w:r>
              <w:rPr>
                <w:color w:val="000000"/>
                <w:sz w:val="18"/>
                <w:u w:color="auto"/>
              </w:rPr>
              <w:t xml:space="preserve"> </w:t>
            </w:r>
          </w:p>
        </w:tc>
        <w:tc>
          <w:tcPr>
            <w:tcW w:w="11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3,279.42</w:t>
            </w: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3,279.42</w:t>
            </w:r>
            <w:r>
              <w:rPr>
                <w:color w:val="000000"/>
                <w:sz w:val="18"/>
                <w:u w:color="auto"/>
              </w:rPr>
              <w:t xml:space="preserve"> </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4556" w:type="pct"/>
        <w:tblInd w:w="0" w:type="dxa"/>
        <w:tblLayout w:type="autofit"/>
        <w:tblCellMar>
          <w:top w:w="0" w:type="dxa"/>
          <w:left w:w="0" w:type="dxa"/>
          <w:bottom w:w="0" w:type="dxa"/>
          <w:right w:w="0" w:type="dxa"/>
        </w:tblCellMar>
      </w:tblPr>
      <w:tblGrid>
        <w:gridCol w:w="1852"/>
        <w:gridCol w:w="3548"/>
        <w:gridCol w:w="3318"/>
        <w:gridCol w:w="3315"/>
        <w:gridCol w:w="1979"/>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3111"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sz w:val="20"/>
                <w:szCs w:val="20"/>
              </w:rPr>
              <w:t>：</w:t>
            </w:r>
            <w:r>
              <w:rPr>
                <w:sz w:val="20"/>
                <w:u w:color="auto"/>
              </w:rPr>
              <w:t>重庆市巫溪县市场监督管理局</w:t>
            </w:r>
          </w:p>
        </w:tc>
        <w:tc>
          <w:tcPr>
            <w:tcW w:w="118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3111"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8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92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07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61"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26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1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70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61"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6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70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61"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6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70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92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3,279.42</w:t>
            </w:r>
            <w:r>
              <w:rPr>
                <w:b/>
                <w:color w:val="000000"/>
                <w:sz w:val="20"/>
                <w:u w:color="auto"/>
              </w:rPr>
              <w:t xml:space="preserve"> </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2,619.59</w:t>
            </w:r>
            <w:r>
              <w:rPr>
                <w:b/>
                <w:color w:val="000000"/>
                <w:sz w:val="20"/>
                <w:u w:color="auto"/>
              </w:rPr>
              <w:t xml:space="preserve"> </w:t>
            </w:r>
          </w:p>
        </w:tc>
        <w:tc>
          <w:tcPr>
            <w:tcW w:w="7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659.83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2,414.04</w:t>
            </w:r>
            <w:r>
              <w:rPr>
                <w:b/>
                <w:color w:val="000000"/>
                <w:sz w:val="20"/>
                <w:u w:color="auto"/>
              </w:rPr>
              <w:t xml:space="preserve"> </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1,754.21</w:t>
            </w:r>
            <w:r>
              <w:rPr>
                <w:b/>
                <w:color w:val="000000"/>
                <w:sz w:val="20"/>
                <w:u w:color="auto"/>
              </w:rPr>
              <w:t xml:space="preserve"> </w:t>
            </w:r>
          </w:p>
        </w:tc>
        <w:tc>
          <w:tcPr>
            <w:tcW w:w="7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659.83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1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2,414.04</w:t>
            </w:r>
            <w:r>
              <w:rPr>
                <w:b/>
                <w:color w:val="000000"/>
                <w:sz w:val="20"/>
                <w:u w:color="auto"/>
              </w:rPr>
              <w:t xml:space="preserve"> </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1,754.21</w:t>
            </w:r>
            <w:r>
              <w:rPr>
                <w:b/>
                <w:color w:val="000000"/>
                <w:sz w:val="20"/>
                <w:u w:color="auto"/>
              </w:rPr>
              <w:t xml:space="preserve"> </w:t>
            </w:r>
          </w:p>
        </w:tc>
        <w:tc>
          <w:tcPr>
            <w:tcW w:w="7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659.83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2013801</w:t>
            </w:r>
          </w:p>
        </w:tc>
        <w:tc>
          <w:tcPr>
            <w:tcW w:w="1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1,696.90</w:t>
            </w:r>
            <w:r>
              <w:rPr>
                <w:color w:val="000000"/>
                <w:sz w:val="20"/>
                <w:u w:color="auto"/>
              </w:rPr>
              <w:t xml:space="preserve"> </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1,696.90</w:t>
            </w:r>
            <w:r>
              <w:rPr>
                <w:color w:val="000000"/>
                <w:sz w:val="20"/>
                <w:u w:color="auto"/>
              </w:rPr>
              <w:t xml:space="preserve"> </w:t>
            </w:r>
          </w:p>
        </w:tc>
        <w:tc>
          <w:tcPr>
            <w:tcW w:w="7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2013802</w:t>
            </w:r>
          </w:p>
        </w:tc>
        <w:tc>
          <w:tcPr>
            <w:tcW w:w="1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30.00</w:t>
            </w:r>
            <w:r>
              <w:rPr>
                <w:color w:val="000000"/>
                <w:sz w:val="20"/>
                <w:u w:color="auto"/>
              </w:rPr>
              <w:t xml:space="preserve"> </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7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2013804</w:t>
            </w:r>
          </w:p>
        </w:tc>
        <w:tc>
          <w:tcPr>
            <w:tcW w:w="1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市场主体管理</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50.00</w:t>
            </w:r>
            <w:r>
              <w:rPr>
                <w:color w:val="000000"/>
                <w:sz w:val="20"/>
                <w:u w:color="auto"/>
              </w:rPr>
              <w:t xml:space="preserve"> </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7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2013805</w:t>
            </w:r>
          </w:p>
        </w:tc>
        <w:tc>
          <w:tcPr>
            <w:tcW w:w="1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市场秩序执法</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80.00</w:t>
            </w:r>
            <w:r>
              <w:rPr>
                <w:color w:val="000000"/>
                <w:sz w:val="20"/>
                <w:u w:color="auto"/>
              </w:rPr>
              <w:t xml:space="preserve"> </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7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2013810</w:t>
            </w:r>
          </w:p>
        </w:tc>
        <w:tc>
          <w:tcPr>
            <w:tcW w:w="1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质量基础</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34.00</w:t>
            </w:r>
            <w:r>
              <w:rPr>
                <w:color w:val="000000"/>
                <w:sz w:val="20"/>
                <w:u w:color="auto"/>
              </w:rPr>
              <w:t xml:space="preserve"> </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7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2013812</w:t>
            </w:r>
          </w:p>
        </w:tc>
        <w:tc>
          <w:tcPr>
            <w:tcW w:w="1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药品事务</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55.50</w:t>
            </w:r>
            <w:r>
              <w:rPr>
                <w:color w:val="000000"/>
                <w:sz w:val="20"/>
                <w:u w:color="auto"/>
              </w:rPr>
              <w:t xml:space="preserve"> </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7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55.50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2013814</w:t>
            </w:r>
          </w:p>
        </w:tc>
        <w:tc>
          <w:tcPr>
            <w:tcW w:w="1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化妆品事务</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3.04</w:t>
            </w:r>
            <w:r>
              <w:rPr>
                <w:color w:val="000000"/>
                <w:sz w:val="20"/>
                <w:u w:color="auto"/>
              </w:rPr>
              <w:t xml:space="preserve"> </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7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2013815</w:t>
            </w:r>
          </w:p>
        </w:tc>
        <w:tc>
          <w:tcPr>
            <w:tcW w:w="1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质量安全监管</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30.00</w:t>
            </w:r>
            <w:r>
              <w:rPr>
                <w:color w:val="000000"/>
                <w:sz w:val="20"/>
                <w:u w:color="auto"/>
              </w:rPr>
              <w:t xml:space="preserve"> </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7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2013816</w:t>
            </w:r>
          </w:p>
        </w:tc>
        <w:tc>
          <w:tcPr>
            <w:tcW w:w="1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食品安全监管</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369.14</w:t>
            </w:r>
            <w:r>
              <w:rPr>
                <w:color w:val="000000"/>
                <w:sz w:val="20"/>
                <w:u w:color="auto"/>
              </w:rPr>
              <w:t xml:space="preserve"> </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7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369.14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2013850</w:t>
            </w:r>
          </w:p>
        </w:tc>
        <w:tc>
          <w:tcPr>
            <w:tcW w:w="1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57.30</w:t>
            </w:r>
            <w:r>
              <w:rPr>
                <w:color w:val="000000"/>
                <w:sz w:val="20"/>
                <w:u w:color="auto"/>
              </w:rPr>
              <w:t xml:space="preserve"> </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57.30</w:t>
            </w:r>
            <w:r>
              <w:rPr>
                <w:color w:val="000000"/>
                <w:sz w:val="20"/>
                <w:u w:color="auto"/>
              </w:rPr>
              <w:t xml:space="preserve"> </w:t>
            </w:r>
          </w:p>
        </w:tc>
        <w:tc>
          <w:tcPr>
            <w:tcW w:w="7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2013899</w:t>
            </w:r>
          </w:p>
        </w:tc>
        <w:tc>
          <w:tcPr>
            <w:tcW w:w="1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其他市场监督管理事务</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8.16</w:t>
            </w:r>
            <w:r>
              <w:rPr>
                <w:color w:val="000000"/>
                <w:sz w:val="20"/>
                <w:u w:color="auto"/>
              </w:rPr>
              <w:t xml:space="preserve"> </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7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608.00</w:t>
            </w:r>
            <w:r>
              <w:rPr>
                <w:b/>
                <w:color w:val="000000"/>
                <w:sz w:val="20"/>
                <w:u w:color="auto"/>
              </w:rPr>
              <w:t xml:space="preserve"> </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608.00</w:t>
            </w:r>
            <w:r>
              <w:rPr>
                <w:b/>
                <w:color w:val="000000"/>
                <w:sz w:val="20"/>
                <w:u w:color="auto"/>
              </w:rPr>
              <w:t xml:space="preserve"> </w:t>
            </w:r>
          </w:p>
        </w:tc>
        <w:tc>
          <w:tcPr>
            <w:tcW w:w="7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503.33</w:t>
            </w:r>
            <w:r>
              <w:rPr>
                <w:b/>
                <w:color w:val="000000"/>
                <w:sz w:val="20"/>
                <w:u w:color="auto"/>
              </w:rPr>
              <w:t xml:space="preserve"> </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503.33</w:t>
            </w:r>
            <w:r>
              <w:rPr>
                <w:b/>
                <w:color w:val="000000"/>
                <w:sz w:val="20"/>
                <w:u w:color="auto"/>
              </w:rPr>
              <w:t xml:space="preserve"> </w:t>
            </w:r>
          </w:p>
        </w:tc>
        <w:tc>
          <w:tcPr>
            <w:tcW w:w="7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144.10</w:t>
            </w:r>
            <w:r>
              <w:rPr>
                <w:color w:val="000000"/>
                <w:sz w:val="20"/>
                <w:u w:color="auto"/>
              </w:rPr>
              <w:t xml:space="preserve"> </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144.10</w:t>
            </w:r>
            <w:r>
              <w:rPr>
                <w:color w:val="000000"/>
                <w:sz w:val="20"/>
                <w:u w:color="auto"/>
              </w:rPr>
              <w:t xml:space="preserve"> </w:t>
            </w:r>
          </w:p>
        </w:tc>
        <w:tc>
          <w:tcPr>
            <w:tcW w:w="7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2.41</w:t>
            </w:r>
            <w:r>
              <w:rPr>
                <w:color w:val="000000"/>
                <w:sz w:val="20"/>
                <w:u w:color="auto"/>
              </w:rPr>
              <w:t xml:space="preserve"> </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2.41</w:t>
            </w:r>
            <w:r>
              <w:rPr>
                <w:color w:val="000000"/>
                <w:sz w:val="20"/>
                <w:u w:color="auto"/>
              </w:rPr>
              <w:t xml:space="preserve"> </w:t>
            </w:r>
          </w:p>
        </w:tc>
        <w:tc>
          <w:tcPr>
            <w:tcW w:w="7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239.84</w:t>
            </w:r>
            <w:r>
              <w:rPr>
                <w:color w:val="000000"/>
                <w:sz w:val="20"/>
                <w:u w:color="auto"/>
              </w:rPr>
              <w:t xml:space="preserve"> </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239.84</w:t>
            </w:r>
            <w:r>
              <w:rPr>
                <w:color w:val="000000"/>
                <w:sz w:val="20"/>
                <w:u w:color="auto"/>
              </w:rPr>
              <w:t xml:space="preserve"> </w:t>
            </w:r>
          </w:p>
        </w:tc>
        <w:tc>
          <w:tcPr>
            <w:tcW w:w="7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116.98</w:t>
            </w:r>
            <w:r>
              <w:rPr>
                <w:color w:val="000000"/>
                <w:sz w:val="20"/>
                <w:u w:color="auto"/>
              </w:rPr>
              <w:t xml:space="preserve"> </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116.98</w:t>
            </w:r>
            <w:r>
              <w:rPr>
                <w:color w:val="000000"/>
                <w:sz w:val="20"/>
                <w:u w:color="auto"/>
              </w:rPr>
              <w:t xml:space="preserve"> </w:t>
            </w:r>
          </w:p>
        </w:tc>
        <w:tc>
          <w:tcPr>
            <w:tcW w:w="7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104.66</w:t>
            </w:r>
            <w:r>
              <w:rPr>
                <w:b/>
                <w:color w:val="000000"/>
                <w:sz w:val="20"/>
                <w:u w:color="auto"/>
              </w:rPr>
              <w:t xml:space="preserve"> </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104.66</w:t>
            </w:r>
            <w:r>
              <w:rPr>
                <w:b/>
                <w:color w:val="000000"/>
                <w:sz w:val="20"/>
                <w:u w:color="auto"/>
              </w:rPr>
              <w:t xml:space="preserve"> </w:t>
            </w:r>
          </w:p>
        </w:tc>
        <w:tc>
          <w:tcPr>
            <w:tcW w:w="7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104.66</w:t>
            </w:r>
            <w:r>
              <w:rPr>
                <w:color w:val="000000"/>
                <w:sz w:val="20"/>
                <w:u w:color="auto"/>
              </w:rPr>
              <w:t xml:space="preserve"> </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104.66</w:t>
            </w:r>
            <w:r>
              <w:rPr>
                <w:color w:val="000000"/>
                <w:sz w:val="20"/>
                <w:u w:color="auto"/>
              </w:rPr>
              <w:t xml:space="preserve"> </w:t>
            </w:r>
          </w:p>
        </w:tc>
        <w:tc>
          <w:tcPr>
            <w:tcW w:w="7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87.09</w:t>
            </w:r>
            <w:r>
              <w:rPr>
                <w:b/>
                <w:color w:val="000000"/>
                <w:sz w:val="20"/>
                <w:u w:color="auto"/>
              </w:rPr>
              <w:t xml:space="preserve"> </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87.09</w:t>
            </w:r>
            <w:r>
              <w:rPr>
                <w:b/>
                <w:color w:val="000000"/>
                <w:sz w:val="20"/>
                <w:u w:color="auto"/>
              </w:rPr>
              <w:t xml:space="preserve"> </w:t>
            </w:r>
          </w:p>
        </w:tc>
        <w:tc>
          <w:tcPr>
            <w:tcW w:w="7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87.09</w:t>
            </w:r>
            <w:r>
              <w:rPr>
                <w:b/>
                <w:color w:val="000000"/>
                <w:sz w:val="20"/>
                <w:u w:color="auto"/>
              </w:rPr>
              <w:t xml:space="preserve"> </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87.09</w:t>
            </w:r>
            <w:r>
              <w:rPr>
                <w:b/>
                <w:color w:val="000000"/>
                <w:sz w:val="20"/>
                <w:u w:color="auto"/>
              </w:rPr>
              <w:t xml:space="preserve"> </w:t>
            </w:r>
          </w:p>
        </w:tc>
        <w:tc>
          <w:tcPr>
            <w:tcW w:w="7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84.07</w:t>
            </w:r>
            <w:r>
              <w:rPr>
                <w:color w:val="000000"/>
                <w:sz w:val="20"/>
                <w:u w:color="auto"/>
              </w:rPr>
              <w:t xml:space="preserve"> </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84.07</w:t>
            </w:r>
            <w:r>
              <w:rPr>
                <w:color w:val="000000"/>
                <w:sz w:val="20"/>
                <w:u w:color="auto"/>
              </w:rPr>
              <w:t xml:space="preserve"> </w:t>
            </w:r>
          </w:p>
        </w:tc>
        <w:tc>
          <w:tcPr>
            <w:tcW w:w="7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3.02</w:t>
            </w:r>
            <w:r>
              <w:rPr>
                <w:color w:val="000000"/>
                <w:sz w:val="20"/>
                <w:u w:color="auto"/>
              </w:rPr>
              <w:t xml:space="preserve"> </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3.02</w:t>
            </w:r>
            <w:r>
              <w:rPr>
                <w:color w:val="000000"/>
                <w:sz w:val="20"/>
                <w:u w:color="auto"/>
              </w:rPr>
              <w:t xml:space="preserve"> </w:t>
            </w:r>
          </w:p>
        </w:tc>
        <w:tc>
          <w:tcPr>
            <w:tcW w:w="7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170.29</w:t>
            </w:r>
            <w:r>
              <w:rPr>
                <w:b/>
                <w:color w:val="000000"/>
                <w:sz w:val="20"/>
                <w:u w:color="auto"/>
              </w:rPr>
              <w:t xml:space="preserve"> </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170.29</w:t>
            </w:r>
            <w:r>
              <w:rPr>
                <w:b/>
                <w:color w:val="000000"/>
                <w:sz w:val="20"/>
                <w:u w:color="auto"/>
              </w:rPr>
              <w:t xml:space="preserve"> </w:t>
            </w:r>
          </w:p>
        </w:tc>
        <w:tc>
          <w:tcPr>
            <w:tcW w:w="7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170.29</w:t>
            </w:r>
            <w:r>
              <w:rPr>
                <w:b/>
                <w:color w:val="000000"/>
                <w:sz w:val="20"/>
                <w:u w:color="auto"/>
              </w:rPr>
              <w:t xml:space="preserve"> </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170.29</w:t>
            </w:r>
            <w:r>
              <w:rPr>
                <w:b/>
                <w:color w:val="000000"/>
                <w:sz w:val="20"/>
                <w:u w:color="auto"/>
              </w:rPr>
              <w:t xml:space="preserve"> </w:t>
            </w:r>
          </w:p>
        </w:tc>
        <w:tc>
          <w:tcPr>
            <w:tcW w:w="7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2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1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170.29</w:t>
            </w:r>
            <w:r>
              <w:rPr>
                <w:color w:val="000000"/>
                <w:sz w:val="20"/>
                <w:u w:color="auto"/>
              </w:rPr>
              <w:t xml:space="preserve"> </w:t>
            </w:r>
          </w:p>
        </w:tc>
        <w:tc>
          <w:tcPr>
            <w:tcW w:w="11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170.29</w:t>
            </w:r>
            <w:r>
              <w:rPr>
                <w:color w:val="000000"/>
                <w:sz w:val="20"/>
                <w:u w:color="auto"/>
              </w:rPr>
              <w:t xml:space="preserve"> </w:t>
            </w:r>
          </w:p>
        </w:tc>
        <w:tc>
          <w:tcPr>
            <w:tcW w:w="7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734" w:type="pct"/>
        <w:tblInd w:w="0" w:type="dxa"/>
        <w:tblLayout w:type="fixed"/>
        <w:tblCellMar>
          <w:top w:w="0" w:type="dxa"/>
          <w:left w:w="0" w:type="dxa"/>
          <w:bottom w:w="0" w:type="dxa"/>
          <w:right w:w="0" w:type="dxa"/>
        </w:tblCellMar>
      </w:tblPr>
      <w:tblGrid>
        <w:gridCol w:w="605"/>
        <w:gridCol w:w="2740"/>
        <w:gridCol w:w="1376"/>
        <w:gridCol w:w="836"/>
        <w:gridCol w:w="1923"/>
        <w:gridCol w:w="1284"/>
        <w:gridCol w:w="1180"/>
        <w:gridCol w:w="3527"/>
        <w:gridCol w:w="1090"/>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908"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w:t>
            </w:r>
            <w:r>
              <w:rPr>
                <w:rFonts w:hint="eastAsia" w:cs="宋体"/>
                <w:sz w:val="20"/>
                <w:szCs w:val="20"/>
                <w:lang w:eastAsia="zh-CN"/>
              </w:rPr>
              <w:t>部门</w:t>
            </w:r>
            <w:r>
              <w:rPr>
                <w:rFonts w:cs="宋体"/>
                <w:sz w:val="20"/>
                <w:szCs w:val="20"/>
              </w:rPr>
              <w:t>：</w:t>
            </w:r>
            <w:r>
              <w:rPr>
                <w:sz w:val="20"/>
                <w:u w:color="auto"/>
              </w:rPr>
              <w:t>重庆市巫溪县市场监督管理局</w:t>
            </w:r>
          </w:p>
        </w:tc>
        <w:tc>
          <w:tcPr>
            <w:tcW w:w="66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4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21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74"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908"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6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40"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21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74"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21"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378"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0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4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7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8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405"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21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37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0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94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7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8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6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0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21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9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1,974.05</w:t>
            </w: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398.58</w:t>
            </w:r>
            <w:r>
              <w:rPr>
                <w:color w:val="000000"/>
                <w:sz w:val="18"/>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2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9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489.93</w:t>
            </w: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26.36</w:t>
            </w:r>
            <w:r>
              <w:rPr>
                <w:color w:val="000000"/>
                <w:sz w:val="18"/>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2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9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317.38</w:t>
            </w: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2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9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495.95</w:t>
            </w: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2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9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2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9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27.70</w:t>
            </w: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1.14</w:t>
            </w:r>
            <w:r>
              <w:rPr>
                <w:color w:val="000000"/>
                <w:sz w:val="18"/>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2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9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239.84</w:t>
            </w: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4.28</w:t>
            </w:r>
            <w:r>
              <w:rPr>
                <w:color w:val="000000"/>
                <w:sz w:val="18"/>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2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9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116.98</w:t>
            </w: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0.71</w:t>
            </w:r>
            <w:r>
              <w:rPr>
                <w:color w:val="000000"/>
                <w:sz w:val="18"/>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2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9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87.09</w:t>
            </w: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2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9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8.50</w:t>
            </w:r>
            <w:r>
              <w:rPr>
                <w:color w:val="000000"/>
                <w:sz w:val="18"/>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2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9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4.36</w:t>
            </w: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15.85</w:t>
            </w:r>
            <w:r>
              <w:rPr>
                <w:color w:val="000000"/>
                <w:sz w:val="18"/>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2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9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170.29</w:t>
            </w: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2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9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24.52</w:t>
            </w: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2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9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2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9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246.96</w:t>
            </w: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2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9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2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9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133.40</w:t>
            </w: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w:t>
            </w:r>
            <w:r>
              <w:rPr>
                <w:color w:val="000000"/>
                <w:sz w:val="18"/>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2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9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2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9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103.19</w:t>
            </w: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2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9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3.89</w:t>
            </w: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2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9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24.37</w:t>
            </w:r>
            <w:r>
              <w:rPr>
                <w:color w:val="000000"/>
                <w:sz w:val="18"/>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2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9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6.49</w:t>
            </w: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2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9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47.20</w:t>
            </w:r>
            <w:r>
              <w:rPr>
                <w:color w:val="000000"/>
                <w:sz w:val="18"/>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2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9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11.66</w:t>
            </w:r>
            <w:r>
              <w:rPr>
                <w:color w:val="000000"/>
                <w:sz w:val="18"/>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2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9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48.69</w:t>
            </w:r>
            <w:r>
              <w:rPr>
                <w:color w:val="000000"/>
                <w:sz w:val="18"/>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2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9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90.89</w:t>
            </w:r>
            <w:r>
              <w:rPr>
                <w:color w:val="000000"/>
                <w:sz w:val="18"/>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2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9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2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117.71</w:t>
            </w:r>
            <w:r>
              <w:rPr>
                <w:color w:val="000000"/>
                <w:sz w:val="18"/>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2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2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2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2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2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0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94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2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148"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7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2,221.01</w:t>
            </w:r>
            <w:r>
              <w:rPr>
                <w:color w:val="000000"/>
                <w:sz w:val="18"/>
                <w:u w:color="auto"/>
              </w:rPr>
              <w:t xml:space="preserve"> </w:t>
            </w:r>
          </w:p>
        </w:tc>
        <w:tc>
          <w:tcPr>
            <w:tcW w:w="3004"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3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398.58</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4640" w:type="pct"/>
        <w:tblInd w:w="0" w:type="dxa"/>
        <w:tblLayout w:type="autofit"/>
        <w:tblCellMar>
          <w:top w:w="0" w:type="dxa"/>
          <w:left w:w="0" w:type="dxa"/>
          <w:bottom w:w="0" w:type="dxa"/>
          <w:right w:w="0" w:type="dxa"/>
        </w:tblCellMar>
      </w:tblPr>
      <w:tblGrid>
        <w:gridCol w:w="1849"/>
        <w:gridCol w:w="3088"/>
        <w:gridCol w:w="1707"/>
        <w:gridCol w:w="1707"/>
        <w:gridCol w:w="1707"/>
        <w:gridCol w:w="1353"/>
        <w:gridCol w:w="1247"/>
        <w:gridCol w:w="1613"/>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328"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sz w:val="20"/>
                <w:szCs w:val="20"/>
              </w:rPr>
              <w:t>：</w:t>
            </w:r>
            <w:r>
              <w:rPr>
                <w:sz w:val="20"/>
                <w:u w:color="auto"/>
              </w:rPr>
              <w:t>重庆市巫溪县市场监督管理局</w:t>
            </w:r>
          </w:p>
        </w:tc>
        <w:tc>
          <w:tcPr>
            <w:tcW w:w="59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3"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328"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3"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730"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98"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9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509"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6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8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98"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7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43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6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8"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8"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3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730"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4640" w:type="pct"/>
        <w:tblInd w:w="0" w:type="dxa"/>
        <w:tblLayout w:type="autofit"/>
        <w:tblCellMar>
          <w:top w:w="0" w:type="dxa"/>
          <w:left w:w="0" w:type="dxa"/>
          <w:bottom w:w="0" w:type="dxa"/>
          <w:right w:w="0" w:type="dxa"/>
        </w:tblCellMar>
      </w:tblPr>
      <w:tblGrid>
        <w:gridCol w:w="1880"/>
        <w:gridCol w:w="3057"/>
        <w:gridCol w:w="3274"/>
        <w:gridCol w:w="197"/>
        <w:gridCol w:w="3471"/>
        <w:gridCol w:w="80"/>
        <w:gridCol w:w="2312"/>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87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sz w:val="20"/>
                <w:szCs w:val="20"/>
              </w:rPr>
              <w:t>：</w:t>
            </w:r>
            <w:r>
              <w:rPr>
                <w:sz w:val="20"/>
                <w:u w:color="auto"/>
              </w:rPr>
              <w:t>重庆市巫溪县市场监督管理局</w:t>
            </w:r>
          </w:p>
        </w:tc>
        <w:tc>
          <w:tcPr>
            <w:tcW w:w="1313"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87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13"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8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730"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269"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59"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7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216"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1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837"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59"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16"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1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37"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59"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16"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1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37"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59"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16"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1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837"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730"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1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83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685" w:type="pct"/>
        <w:tblInd w:w="0" w:type="dxa"/>
        <w:tblLayout w:type="fixed"/>
        <w:tblCellMar>
          <w:top w:w="0" w:type="dxa"/>
          <w:left w:w="170" w:type="dxa"/>
          <w:bottom w:w="0" w:type="dxa"/>
          <w:right w:w="170" w:type="dxa"/>
        </w:tblCellMar>
      </w:tblPr>
      <w:tblGrid>
        <w:gridCol w:w="4040"/>
        <w:gridCol w:w="2166"/>
        <w:gridCol w:w="2115"/>
        <w:gridCol w:w="4523"/>
        <w:gridCol w:w="1565"/>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402"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51"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3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69"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54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153"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sz w:val="20"/>
                <w:szCs w:val="20"/>
              </w:rPr>
              <w:t>：</w:t>
            </w:r>
            <w:r>
              <w:rPr>
                <w:sz w:val="20"/>
                <w:u w:color="auto"/>
              </w:rPr>
              <w:t>重庆市巫溪县市场监督管理局</w:t>
            </w:r>
          </w:p>
        </w:tc>
        <w:tc>
          <w:tcPr>
            <w:tcW w:w="733"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6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542"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40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51"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3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6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54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40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6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5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398.58</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0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49.84</w:t>
            </w:r>
            <w:r>
              <w:rPr>
                <w:color w:val="000000"/>
                <w:sz w:val="16"/>
                <w:u w:color="auto"/>
              </w:rPr>
              <w:t xml:space="preserve"> </w:t>
            </w:r>
          </w:p>
        </w:tc>
        <w:tc>
          <w:tcPr>
            <w:tcW w:w="7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49.84</w:t>
            </w:r>
            <w:r>
              <w:rPr>
                <w:color w:val="000000"/>
                <w:sz w:val="16"/>
                <w:u w:color="auto"/>
              </w:rPr>
              <w:t xml:space="preserve"> </w:t>
            </w:r>
          </w:p>
        </w:tc>
        <w:tc>
          <w:tcPr>
            <w:tcW w:w="156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5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398.58</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0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6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5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0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48.69</w:t>
            </w:r>
            <w:r>
              <w:rPr>
                <w:color w:val="000000"/>
                <w:sz w:val="16"/>
                <w:u w:color="auto"/>
              </w:rPr>
              <w:t xml:space="preserve"> </w:t>
            </w:r>
          </w:p>
        </w:tc>
        <w:tc>
          <w:tcPr>
            <w:tcW w:w="7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48.69</w:t>
            </w:r>
            <w:r>
              <w:rPr>
                <w:color w:val="000000"/>
                <w:sz w:val="16"/>
                <w:u w:color="auto"/>
              </w:rPr>
              <w:t xml:space="preserve"> </w:t>
            </w:r>
          </w:p>
        </w:tc>
        <w:tc>
          <w:tcPr>
            <w:tcW w:w="156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5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40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69"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5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22   </w:t>
            </w:r>
          </w:p>
        </w:tc>
      </w:tr>
      <w:tr>
        <w:tblPrEx>
          <w:tblCellMar>
            <w:top w:w="0" w:type="dxa"/>
            <w:left w:w="170" w:type="dxa"/>
            <w:bottom w:w="0" w:type="dxa"/>
            <w:right w:w="170" w:type="dxa"/>
          </w:tblCellMar>
        </w:tblPrEx>
        <w:trPr>
          <w:trHeight w:val="292" w:hRule="atLeast"/>
        </w:trPr>
        <w:tc>
          <w:tcPr>
            <w:tcW w:w="140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48.69</w:t>
            </w:r>
            <w:r>
              <w:rPr>
                <w:color w:val="000000"/>
                <w:sz w:val="16"/>
                <w:u w:color="auto"/>
              </w:rPr>
              <w:t xml:space="preserve"> </w:t>
            </w:r>
          </w:p>
        </w:tc>
        <w:tc>
          <w:tcPr>
            <w:tcW w:w="7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48.69</w:t>
            </w:r>
            <w:r>
              <w:rPr>
                <w:color w:val="000000"/>
                <w:sz w:val="16"/>
                <w:u w:color="auto"/>
              </w:rPr>
              <w:t xml:space="preserve"> </w:t>
            </w:r>
          </w:p>
        </w:tc>
        <w:tc>
          <w:tcPr>
            <w:tcW w:w="1569"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5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0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1.15</w:t>
            </w:r>
            <w:r>
              <w:rPr>
                <w:color w:val="000000"/>
                <w:sz w:val="16"/>
                <w:u w:color="auto"/>
              </w:rPr>
              <w:t xml:space="preserve"> </w:t>
            </w:r>
          </w:p>
        </w:tc>
        <w:tc>
          <w:tcPr>
            <w:tcW w:w="7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1.15</w:t>
            </w:r>
            <w:r>
              <w:rPr>
                <w:color w:val="000000"/>
                <w:sz w:val="16"/>
                <w:u w:color="auto"/>
              </w:rPr>
              <w:t xml:space="preserve"> </w:t>
            </w:r>
          </w:p>
        </w:tc>
        <w:tc>
          <w:tcPr>
            <w:tcW w:w="1569"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5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0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1.15</w:t>
            </w:r>
            <w:r>
              <w:rPr>
                <w:color w:val="000000"/>
                <w:sz w:val="16"/>
                <w:u w:color="auto"/>
              </w:rPr>
              <w:t xml:space="preserve"> </w:t>
            </w:r>
          </w:p>
        </w:tc>
        <w:tc>
          <w:tcPr>
            <w:tcW w:w="1569"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5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0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69"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5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0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69"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5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16</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0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69"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5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0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33"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69"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5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0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33"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69"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5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0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33"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69"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5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0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33"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22</w:t>
            </w:r>
            <w:r>
              <w:rPr>
                <w:color w:val="000000"/>
                <w:sz w:val="16"/>
                <w:u w:color="auto"/>
              </w:rPr>
              <w:t xml:space="preserve"> </w:t>
            </w:r>
          </w:p>
        </w:tc>
        <w:tc>
          <w:tcPr>
            <w:tcW w:w="156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5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40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33"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16</w:t>
            </w:r>
            <w:r>
              <w:rPr>
                <w:color w:val="000000"/>
                <w:sz w:val="16"/>
                <w:u w:color="auto"/>
              </w:rPr>
              <w:t xml:space="preserve"> </w:t>
            </w:r>
          </w:p>
        </w:tc>
        <w:tc>
          <w:tcPr>
            <w:tcW w:w="156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5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69.15</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0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33"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6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5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34.55</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0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33"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98</w:t>
            </w:r>
            <w:r>
              <w:rPr>
                <w:color w:val="000000"/>
                <w:sz w:val="16"/>
                <w:u w:color="auto"/>
              </w:rPr>
              <w:t xml:space="preserve"> </w:t>
            </w:r>
          </w:p>
        </w:tc>
        <w:tc>
          <w:tcPr>
            <w:tcW w:w="156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5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0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33"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6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5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34.60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0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33"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6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5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69.15</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402"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33"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6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5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69.15</w:t>
            </w: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40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0.05</w:t>
            </w:r>
            <w:r>
              <w:rPr>
                <w:color w:val="000000"/>
                <w:sz w:val="16"/>
                <w:u w:color="auto"/>
              </w:rPr>
              <w:t xml:space="preserve"> </w:t>
            </w:r>
          </w:p>
        </w:tc>
        <w:tc>
          <w:tcPr>
            <w:tcW w:w="156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5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40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26.07</w:t>
            </w:r>
            <w:r>
              <w:rPr>
                <w:color w:val="000000"/>
                <w:sz w:val="16"/>
                <w:u w:color="auto"/>
              </w:rPr>
              <w:t xml:space="preserve"> </w:t>
            </w:r>
          </w:p>
        </w:tc>
        <w:tc>
          <w:tcPr>
            <w:tcW w:w="1569"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5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cs="宋体"/>
          <w:sz w:val="20"/>
          <w:szCs w:val="20"/>
        </w:rPr>
      </w:pPr>
      <w:r>
        <w:rPr>
          <w:rFonts w:cs="宋体"/>
          <w:sz w:val="20"/>
          <w:szCs w:val="20"/>
        </w:rPr>
        <w:t>备注：1.本表反映单位本年度财政拨款“三公”经费支出预决算情况。其中，预算数为“三公”经费全年预算数，反映按规定程序调整后的预算数；决算数为包括本</w:t>
      </w:r>
    </w:p>
    <w:p>
      <w:pPr>
        <w:rPr>
          <w:rFonts w:hint="default" w:cs="宋体"/>
          <w:sz w:val="21"/>
          <w:szCs w:val="21"/>
        </w:rPr>
      </w:pPr>
      <w:r>
        <w:rPr>
          <w:rFonts w:cs="宋体"/>
          <w:sz w:val="20"/>
          <w:szCs w:val="20"/>
        </w:rPr>
        <w:t>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NJWO7QAAAABQEAAA8AAAAAAAAAAQAgAAAAIgAAAGRycy9kb3ducmV2&#10;LnhtbFBLAQIUABQAAAAIAIdO4kCknH8YywEAAHkDAAAOAAAAAAAAAAEAIAAAAB8BAABkcnMvZTJv&#10;RG9jLnhtbFBLBQYAAAAABgAGAFkBAABc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vert="horz" wrap="none" lIns="0" tIns="0" rIns="0" bIns="0" anchor="t" anchorCtr="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NJWO7QAAAABQEAAA8AAAAAAAAAAQAgAAAAIgAAAGRycy9kb3ducmV2&#10;LnhtbFBLAQIUABQAAAAIAIdO4kC7LWvrywEAAHkDAAAOAAAAAAAAAAEAIAAAAB8BAABkcnMvZTJv&#10;RG9jLnhtbFBLBQYAAAAABgAGAFkBAABcBQ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4Njg5YmU5MGE1N2Q3MDRjMzk5ZTNmMGQ3YzJjNzM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2B31B14"/>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CBA6C2F"/>
    <w:rsid w:val="0CF87658"/>
    <w:rsid w:val="0D25459D"/>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DC59A2"/>
    <w:rsid w:val="163A6CEE"/>
    <w:rsid w:val="173708E3"/>
    <w:rsid w:val="17A71234"/>
    <w:rsid w:val="17C374FC"/>
    <w:rsid w:val="17E740E4"/>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1FCD6C57"/>
    <w:rsid w:val="20642787"/>
    <w:rsid w:val="21556F04"/>
    <w:rsid w:val="22403BD3"/>
    <w:rsid w:val="23C25C72"/>
    <w:rsid w:val="24B92327"/>
    <w:rsid w:val="24C14514"/>
    <w:rsid w:val="24E567F1"/>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3FC76B3"/>
    <w:rsid w:val="342D7BC6"/>
    <w:rsid w:val="352930DB"/>
    <w:rsid w:val="35573069"/>
    <w:rsid w:val="355F6038"/>
    <w:rsid w:val="358C217E"/>
    <w:rsid w:val="36C9128A"/>
    <w:rsid w:val="37841E99"/>
    <w:rsid w:val="37BF1123"/>
    <w:rsid w:val="383C3F15"/>
    <w:rsid w:val="388D6D53"/>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A46DF1"/>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763949"/>
    <w:rsid w:val="469D6AD4"/>
    <w:rsid w:val="471E6C84"/>
    <w:rsid w:val="4748792B"/>
    <w:rsid w:val="475D719D"/>
    <w:rsid w:val="47674801"/>
    <w:rsid w:val="48225EF7"/>
    <w:rsid w:val="488F422B"/>
    <w:rsid w:val="48E36915"/>
    <w:rsid w:val="48EB6572"/>
    <w:rsid w:val="49233B80"/>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E41F0D"/>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70136C"/>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0F088C"/>
    <w:rsid w:val="68407834"/>
    <w:rsid w:val="6883293E"/>
    <w:rsid w:val="688412AD"/>
    <w:rsid w:val="68EB1B71"/>
    <w:rsid w:val="6A6C7940"/>
    <w:rsid w:val="6AAD2300"/>
    <w:rsid w:val="6B474EF5"/>
    <w:rsid w:val="6C0A5AC5"/>
    <w:rsid w:val="6C560CAE"/>
    <w:rsid w:val="6C576495"/>
    <w:rsid w:val="6D903FF5"/>
    <w:rsid w:val="6DA955B8"/>
    <w:rsid w:val="6DE346AB"/>
    <w:rsid w:val="6DE5391A"/>
    <w:rsid w:val="6EA621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57C36F5"/>
    <w:rsid w:val="764F62AB"/>
    <w:rsid w:val="765C45EC"/>
    <w:rsid w:val="768A7619"/>
    <w:rsid w:val="772E1EBA"/>
    <w:rsid w:val="781926BC"/>
    <w:rsid w:val="796D60A4"/>
    <w:rsid w:val="79A031D5"/>
    <w:rsid w:val="7A1525F7"/>
    <w:rsid w:val="7B420052"/>
    <w:rsid w:val="7BD06A28"/>
    <w:rsid w:val="7C3A7C0B"/>
    <w:rsid w:val="7C5248E4"/>
    <w:rsid w:val="7C566698"/>
    <w:rsid w:val="7C5866A3"/>
    <w:rsid w:val="7CDD0ED5"/>
    <w:rsid w:val="7D7406BB"/>
    <w:rsid w:val="7D7A1D16"/>
    <w:rsid w:val="7D99109C"/>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font81"/>
    <w:basedOn w:val="9"/>
    <w:qFormat/>
    <w:uiPriority w:val="0"/>
    <w:rPr>
      <w:rFonts w:ascii="Arial" w:hAnsi="Arial" w:cs="Arial"/>
      <w:color w:val="000000"/>
      <w:sz w:val="18"/>
      <w:szCs w:val="18"/>
      <w:u w:val="none"/>
    </w:rPr>
  </w:style>
  <w:style w:type="character" w:customStyle="1" w:styleId="17">
    <w:name w:val="font41"/>
    <w:basedOn w:val="9"/>
    <w:qFormat/>
    <w:uiPriority w:val="0"/>
    <w:rPr>
      <w:rFonts w:hint="eastAsia" w:ascii="宋体" w:hAnsi="宋体" w:eastAsia="宋体" w:cs="宋体"/>
      <w:color w:val="000000"/>
      <w:sz w:val="18"/>
      <w:szCs w:val="18"/>
      <w:u w:val="none"/>
    </w:rPr>
  </w:style>
  <w:style w:type="character" w:customStyle="1" w:styleId="18">
    <w:name w:val="font71"/>
    <w:basedOn w:val="9"/>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13681</Words>
  <Characters>16714</Characters>
  <Lines>190</Lines>
  <Paragraphs>53</Paragraphs>
  <TotalTime>30</TotalTime>
  <ScaleCrop>false</ScaleCrop>
  <LinksUpToDate>false</LinksUpToDate>
  <CharactersWithSpaces>19131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郑燕</cp:lastModifiedBy>
  <dcterms:modified xsi:type="dcterms:W3CDTF">2024-10-08T02:27:00Z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252B8B86AD544D929B460BF170DF5A3C_13</vt:lpwstr>
  </property>
</Properties>
</file>