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left"/>
        <w:textAlignment w:val="auto"/>
        <w:rPr>
          <w:rFonts w:hint="eastAsia" w:ascii="方正小标宋_GBK" w:hAnsi="方正小标宋_GBK" w:eastAsia="方正小标宋_GBK" w:cs="方正小标宋_GBK"/>
          <w:b w:val="0"/>
          <w:bCs w:val="0"/>
          <w:sz w:val="36"/>
          <w:szCs w:val="36"/>
          <w:lang w:eastAsia="zh-CN"/>
        </w:rPr>
      </w:pPr>
      <w:r>
        <w:rPr>
          <w:rFonts w:hint="eastAsia" w:ascii="方正小标宋_GBK" w:hAnsi="方正小标宋_GBK" w:eastAsia="方正小标宋_GBK" w:cs="方正小标宋_GBK"/>
          <w:b w:val="0"/>
          <w:bCs w:val="0"/>
          <w:sz w:val="36"/>
          <w:szCs w:val="36"/>
          <w:lang w:eastAsia="zh-CN"/>
        </w:rPr>
        <w:t>本部门及下属单位公开内容真实、准确、完整，不存在意识形态问题。</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720" w:firstLineChars="200"/>
        <w:jc w:val="center"/>
        <w:textAlignment w:val="auto"/>
        <w:rPr>
          <w:rFonts w:hint="default" w:ascii="方正小标宋_GBK" w:hAnsi="方正小标宋_GBK" w:eastAsia="方正小标宋_GBK" w:cs="方正小标宋_GBK"/>
          <w:b w:val="0"/>
          <w:bCs w:val="0"/>
          <w:sz w:val="36"/>
          <w:szCs w:val="36"/>
          <w:lang w:val="en-US" w:eastAsia="zh-CN"/>
        </w:rPr>
      </w:pPr>
    </w:p>
    <w:p>
      <w:pPr>
        <w:pStyle w:val="5"/>
        <w:spacing w:before="0" w:beforeAutospacing="0" w:after="0" w:afterAutospacing="0" w:line="596" w:lineRule="exact"/>
        <w:jc w:val="center"/>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巫溪县市场监督管理局</w:t>
      </w:r>
    </w:p>
    <w:p>
      <w:pPr>
        <w:pStyle w:val="5"/>
        <w:spacing w:before="0" w:beforeAutospacing="0" w:after="0" w:afterAutospacing="0" w:line="596" w:lineRule="exact"/>
        <w:jc w:val="center"/>
        <w:rPr>
          <w:rFonts w:hint="default"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eastAsia="zh-CN"/>
        </w:rPr>
        <w:t>部门</w:t>
      </w:r>
      <w:r>
        <w:rPr>
          <w:rFonts w:hint="eastAsia" w:ascii="黑体" w:hAnsi="黑体" w:eastAsia="黑体" w:cs="黑体"/>
          <w:sz w:val="32"/>
          <w:szCs w:val="32"/>
        </w:rPr>
        <w:t>基本情况</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（一）职能职责</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负责市场综合监督管理。贯彻执行市场监督管理有关法律、法规、规章、标准和安全技术规范，贯彻落实市场监督管理有关政策、规划和地方标准。组织实施质量强国战略、食品安全战略和标准化战略。规范和维护市场秩序，营造诚实守信、公平竞争的市场环境。</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负责食品药品安全监督管理综合协调。贯彻落实食品药品安全政策措施。负责食品药品安全应急体系建设，组织实施食品药品安全事件应急处置和调查处理工作，监督实施食品药品问题产品召回制度，承担食品药品电子监管追溯体系和信息化建设。落实食品安全重要信息直报制度。承担巫溪县食品药品安全委员会日常工作。</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负责食品安全监督管理。建立覆盖食品、食品添加剂及食品相关产品生产、流通、消费全过程的监督检查制度和隐患排查治理机制并组织实施，防范区域性、系统性食品安全风险。推动食品、食品添加剂及食品相关产品生产经营者落实主体责任。组织开展食品、食品添加剂及食品相关产品安全监督抽检、风险监测、核查处置和风险预警、风险交流工作，收集上报食品安全信息。组织实施特殊食品监督管理。负责食品、食品添加剂及食品相关产品生产、加工、经营及餐饮行政许可管理。负责重大活动食品安全保障工作。</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4.负责药品、医疗器械、化妆品安全监督管理。实施药品和医疗器械标准、分类管理制度。负责药品零售和医疗器械经营的许可（备案）、检查和处罚，以及化妆品经营监督和药品、医疗器械使用环节质量的检查、处罚。负责药品、化妆品不良反应和医疗器械不良事件监测和报告的管理工作。负责疫苗配送、存储质量管理。</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5.负责宏观质量管理。拟订并组织实施质量发展的制度措施。会同有关部门组织实施重大工程设备质量监理制度。参与重大质量事故调查。实施缺陷产品召回制度。监督管理产品防伪工作。</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6.负责产品质量安全监督管理。组织实施产品质量安全风险监控，承担产品质量监督抽查相关工作。负责产品质量安全应急体系建设，组织实施产品质量安全事件应急处置和调查处理工作。组织实施质量分级制度、质量安全追溯制度。负责工业产品生产许可管理。负责纤维质量监督工作。</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7.负责特种设备安全监督管理。综合管理特种设备安全监察、监督工作。负责县市场监督管理局管辖或市市场监督管理局授权、委托范围内的特种设备行政许可工作，负责特种设备生产、经营、使用、气瓶和移动式压力容器充装检验检测等监督管理，负责接受特种设备安装、改造、维修的开工告知，负责特种设备安全应急体系建设，负责特种设备事故情况核实、报告和按规定权限进行调查并依法处理。监督检查高耗能特种设备节能标准和锅炉环境保护标准的执行情况。负责重大活动特种设备安全保障工作。</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8.负责市场主体统一登记注册。依法或根据国家市场监督管理总局、市市场监督管理局授权，开展各类企业、农民专业合作社和从事经营活动的单位、个体工商户以及外国（地区）企业常驻代表机构等市场主体的登记注册工作。承担市场主体统一社会信用代码工作。</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9.负责推动市场主体信用体系建设。承担辖区内市场主体信用信息归集工作。建立市场主体信息公示和共享机制，依法公示和共享有关信息。建立违法失信企业名录库，推进建立对失信市场主体的联合惩戒机制和信用修复机制，加强市场主体信用监管工作。</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10.负责规范和监督管理市场秩序。依法监督管理市场交易、网络商品交易及有关服务的行为。统筹推进竞争政策实施，实施公平竞争审查制度。查处价格收费违法违规、不正当竞争、违法直销、传销、侵犯商标专利知识产权和制售假冒伪劣行为。指导广告业发展，监督管理广告活动。负责合同行政监督管理。依法查处无照生产经营和相关无证生产经营行为。</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11.负责消费者权益保护工作。指导消费环境建设，组织开展消费维权工作，保护经营者、消费者合法权益。指导消费教育，引导健康消费，推动消费升级。指导巫溪县消费者权益保护委员会开展消费维权工作。</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12.负责统一管理计量工作。推行法定计量单位和国家计量制度，依法管理计量器具及量值传递、量值溯源工作。依法实施计量监督检查，监督计量技术机构，规范和监督商品量、市场计量行为，负责能源计量工作和产品能效标识、水效标识的监督管理。</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13.负责统一管理标准化工作。组织实施国家标准、行业标准、地方标准，负责推动团体标准、企业标准自我声明公开和监督检查。负责开展标准化试点示范项目建设，负责商品条码工作和标准化信息管理工作。</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14.负责统一管理认证认可和检验检测工作。贯彻落实国家统一的认证认可和检验检测监督管理制度。对检验检测机构实施监督管理，对认证活动实施监督管理。推进检验检测机构改革，规范检验检测市场。</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15.负责知识产权发展与保护工作。贯彻落实国家和全市知识产权强国、强市建设的方针政策。拟订并组织实施知识产权发展规划、计划。组织实施强化知识产权创造运用保护的管理政策和措施。</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16.负责开展市场监管综合执法工作。负责市场监管领域综合执法工作，具体执法交由巫溪县市场监管综合行政执法支队承担，并以部门名义统一执法。规范市场监管行政执法行为。</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17.协助指导小微企业、个体工商户、专业市场党建工作，负责机关、直属单位党建工作。</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18.完成县委、县政府交办的其他任务。</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（二）机构设置</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县市场监督管理局有内设机构</w:t>
      </w:r>
      <w:r>
        <w:rPr>
          <w:rFonts w:hint="eastAsia" w:ascii="方正仿宋_GBK" w:hAnsi="方正仿宋_GBK" w:eastAsia="方正仿宋_GBK" w:cs="方正仿宋_GBK"/>
          <w:sz w:val="32"/>
          <w:szCs w:val="32"/>
          <w:lang w:val="en-US" w:eastAsia="zh-CN"/>
        </w:rPr>
        <w:t>17个，分别是办公室、法制科、组织人事科、财务科、风险管理科（巫溪县食品药品安全委员会办公室）、食品安全监督管理一科、食品安全监督管理二科、药品监督管理科（不良反应监测科）、产品质量监督管理和质量发展科、特种设备安全监察科、注册和许可科、价格监督检查和反不正当竞争科（消费者权益保护科）、计量和认证认可监督管理科、信用和网络交易监督管理科、企业监督管理科、知识产权管理科（标准化管理科）、机关党委。</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从预算单位构成看，纳入本部门202</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年度决算编制的二级预算单位主要包括重庆市巫溪县消费者权益保护委员会、巫溪县市场监管综合行政执法支队等，巫溪县市场监管综合行政执法支队由巫溪县市场监督管理局集中核算。</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w:t>
      </w:r>
      <w:r>
        <w:rPr>
          <w:rFonts w:hint="eastAsia" w:ascii="黑体" w:hAnsi="黑体" w:eastAsia="黑体" w:cs="黑体"/>
          <w:sz w:val="32"/>
          <w:szCs w:val="32"/>
          <w:lang w:eastAsia="zh-CN"/>
        </w:rPr>
        <w:t>部门</w:t>
      </w:r>
      <w:r>
        <w:rPr>
          <w:rFonts w:hint="eastAsia" w:ascii="黑体" w:hAnsi="黑体" w:eastAsia="黑体" w:cs="黑体"/>
          <w:sz w:val="32"/>
          <w:szCs w:val="32"/>
        </w:rPr>
        <w:t>决算</w:t>
      </w:r>
      <w:r>
        <w:rPr>
          <w:rFonts w:hint="eastAsia" w:ascii="黑体" w:hAnsi="黑体" w:eastAsia="黑体" w:cs="黑体"/>
          <w:sz w:val="32"/>
          <w:szCs w:val="32"/>
          <w:lang w:eastAsia="zh-CN"/>
        </w:rPr>
        <w:t>收支</w:t>
      </w:r>
      <w:r>
        <w:rPr>
          <w:rFonts w:hint="eastAsia" w:ascii="黑体" w:hAnsi="黑体" w:eastAsia="黑体" w:cs="黑体"/>
          <w:sz w:val="32"/>
          <w:szCs w:val="32"/>
        </w:rPr>
        <w:t>情况说明</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（一）收入支出决算总体情况说明。</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1.总体情况。</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度收入总计3227.53万元，支出总计3227.53万元。收、支与2023年度相比，减少51.89万元，下降1.6%，主要原因</w:t>
      </w:r>
      <w:r>
        <w:rPr>
          <w:rFonts w:hint="eastAsia" w:ascii="方正仿宋_GBK" w:hAnsi="方正仿宋_GBK" w:eastAsia="方正仿宋_GBK" w:cs="方正仿宋_GBK"/>
          <w:sz w:val="32"/>
          <w:szCs w:val="32"/>
          <w:lang w:eastAsia="zh-CN"/>
        </w:rPr>
        <w:t>是退休人员增加，在职人员减少，人员经费、公用经费和一般项目预算减少，所以收支出减少。</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2.收入情况。</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度收入合计3227.53万元，与2023年度相比，减少22.29万元，下降0.7%，主要原因</w:t>
      </w:r>
      <w:r>
        <w:rPr>
          <w:rFonts w:hint="eastAsia" w:ascii="方正仿宋_GBK" w:hAnsi="方正仿宋_GBK" w:eastAsia="方正仿宋_GBK" w:cs="方正仿宋_GBK"/>
          <w:sz w:val="32"/>
          <w:szCs w:val="32"/>
          <w:lang w:eastAsia="zh-CN"/>
        </w:rPr>
        <w:t>是退休人员增加，在职人员减少，人员经费、公用经费和一般项目预算减少，所以收入减少。</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其中：财政拨款收入3227.53万元，占100.00%；事业收入0.00万元，占0.00%；经营收入0.00万元，占0.00%；其他收入0.00万元，占0.00%。此外，使用非财政拨款结余和专用结余0.00万元，年初结转和结余0.00万元。</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3.支出情况。</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度支出合计3227.53万元，与2023年度相比，减少51.89万元，下降1.6%，主要原因</w:t>
      </w:r>
      <w:r>
        <w:rPr>
          <w:rFonts w:hint="eastAsia" w:ascii="方正仿宋_GBK" w:hAnsi="方正仿宋_GBK" w:eastAsia="方正仿宋_GBK" w:cs="方正仿宋_GBK"/>
          <w:sz w:val="32"/>
          <w:szCs w:val="32"/>
          <w:lang w:eastAsia="zh-CN"/>
        </w:rPr>
        <w:t>是退休人员增加，在职人员减少，人员经费、公用经费和一般项目预算减少，所以支出减少</w:t>
      </w:r>
      <w:r>
        <w:rPr>
          <w:rFonts w:hint="eastAsia" w:ascii="方正仿宋_GBK" w:hAnsi="方正仿宋_GBK" w:eastAsia="方正仿宋_GBK" w:cs="方正仿宋_GBK"/>
          <w:sz w:val="32"/>
          <w:szCs w:val="32"/>
        </w:rPr>
        <w:t>。其中：基本支出2666.63万元，占82.62%；项目支出560.90万元，占17.38%；经营支出0.00万元，占0.00%。此外，结余分配0.00万元。</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4.结转结余情况。</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度年末结转和结余0.00万元，与2023年度相比，无增减，主要原因是</w:t>
      </w:r>
      <w:r>
        <w:rPr>
          <w:rFonts w:hint="eastAsia" w:ascii="方正仿宋_GBK" w:hAnsi="方正仿宋_GBK" w:eastAsia="方正仿宋_GBK" w:cs="方正仿宋_GBK"/>
          <w:sz w:val="32"/>
          <w:szCs w:val="32"/>
          <w:lang w:eastAsia="zh-CN"/>
        </w:rPr>
        <w:t>严格执行预算，有预算才能支出，所以无结转结余。</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（二）财政拨款收入支出决算总体情况说明</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度财政拨款收、支总计3227.53万元。与202</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年相比，财政拨款收、支总计各减少51.89万元，下降1.6%。主要原因</w:t>
      </w:r>
      <w:r>
        <w:rPr>
          <w:rFonts w:hint="eastAsia" w:ascii="方正仿宋_GBK" w:hAnsi="方正仿宋_GBK" w:eastAsia="方正仿宋_GBK" w:cs="方正仿宋_GBK"/>
          <w:sz w:val="32"/>
          <w:szCs w:val="32"/>
          <w:lang w:eastAsia="zh-CN"/>
        </w:rPr>
        <w:t>是退休人员增加，在职人员减少，人员经费、公用经费和一般项目预算减少，所以财政拨款收入支出减少。</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（三）一般公共预算财政拨款收入支出决算情况说明</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1.收入情况。</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度一般公共预算财政拨款收入3227.53万元，与2023年度相比，减少22.29万元，下降0.7%。主要原因</w:t>
      </w:r>
      <w:r>
        <w:rPr>
          <w:rFonts w:hint="eastAsia" w:ascii="方正仿宋_GBK" w:hAnsi="方正仿宋_GBK" w:eastAsia="方正仿宋_GBK" w:cs="方正仿宋_GBK"/>
          <w:sz w:val="32"/>
          <w:szCs w:val="32"/>
          <w:lang w:eastAsia="zh-CN"/>
        </w:rPr>
        <w:t>是退休人员增加，在职人员减少，人员经费、公用经费和一般项目预算减少，所以</w:t>
      </w:r>
      <w:r>
        <w:rPr>
          <w:rFonts w:hint="eastAsia" w:ascii="方正仿宋_GBK" w:hAnsi="方正仿宋_GBK" w:eastAsia="方正仿宋_GBK" w:cs="方正仿宋_GBK"/>
          <w:sz w:val="32"/>
          <w:szCs w:val="32"/>
        </w:rPr>
        <w:t>一般公共预算财政拨款收入</w:t>
      </w:r>
      <w:r>
        <w:rPr>
          <w:rFonts w:hint="eastAsia" w:ascii="方正仿宋_GBK" w:hAnsi="方正仿宋_GBK" w:eastAsia="方正仿宋_GBK" w:cs="方正仿宋_GBK"/>
          <w:sz w:val="32"/>
          <w:szCs w:val="32"/>
          <w:lang w:eastAsia="zh-CN"/>
        </w:rPr>
        <w:t>减少</w:t>
      </w:r>
      <w:r>
        <w:rPr>
          <w:rFonts w:hint="eastAsia" w:ascii="方正仿宋_GBK" w:hAnsi="方正仿宋_GBK" w:eastAsia="方正仿宋_GBK" w:cs="方正仿宋_GBK"/>
          <w:sz w:val="32"/>
          <w:szCs w:val="32"/>
        </w:rPr>
        <w:t>。较年初预算数增加294.24万元，增长10.0%。主要原因是</w:t>
      </w:r>
      <w:r>
        <w:rPr>
          <w:rFonts w:hint="eastAsia" w:ascii="方正仿宋_GBK" w:hAnsi="方正仿宋_GBK" w:eastAsia="方正仿宋_GBK" w:cs="方正仿宋_GBK"/>
          <w:sz w:val="32"/>
          <w:szCs w:val="32"/>
          <w:lang w:eastAsia="zh-CN"/>
        </w:rPr>
        <w:t>市局追加了食品药品安全监管经费，县财政追加了执法办案经费和新录用人员经费</w:t>
      </w:r>
      <w:r>
        <w:rPr>
          <w:rFonts w:hint="eastAsia" w:ascii="方正仿宋_GBK" w:hAnsi="方正仿宋_GBK" w:eastAsia="方正仿宋_GBK" w:cs="方正仿宋_GBK"/>
          <w:sz w:val="32"/>
          <w:szCs w:val="32"/>
        </w:rPr>
        <w:t>。此外，年初财政拨款结转和结余0.00万元。</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2.支出情况。</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度一般公共预算财政拨款支出3227.53万元，与2023年度相比，减少51.89万元，下降1.6%。主要原因</w:t>
      </w:r>
      <w:r>
        <w:rPr>
          <w:rFonts w:hint="eastAsia" w:ascii="方正仿宋_GBK" w:hAnsi="方正仿宋_GBK" w:eastAsia="方正仿宋_GBK" w:cs="方正仿宋_GBK"/>
          <w:sz w:val="32"/>
          <w:szCs w:val="32"/>
          <w:lang w:eastAsia="zh-CN"/>
        </w:rPr>
        <w:t>是退休人员增加，在职人员减少，人员经费、公用经费和一般项目预算减少，所以</w:t>
      </w:r>
      <w:r>
        <w:rPr>
          <w:rFonts w:hint="eastAsia" w:ascii="方正仿宋_GBK" w:hAnsi="方正仿宋_GBK" w:eastAsia="方正仿宋_GBK" w:cs="方正仿宋_GBK"/>
          <w:sz w:val="32"/>
          <w:szCs w:val="32"/>
        </w:rPr>
        <w:t>一般公共预算财政拨款</w:t>
      </w:r>
      <w:r>
        <w:rPr>
          <w:rFonts w:hint="eastAsia" w:ascii="方正仿宋_GBK" w:hAnsi="方正仿宋_GBK" w:eastAsia="方正仿宋_GBK" w:cs="方正仿宋_GBK"/>
          <w:sz w:val="32"/>
          <w:szCs w:val="32"/>
          <w:lang w:eastAsia="zh-CN"/>
        </w:rPr>
        <w:t>支出减少</w:t>
      </w:r>
      <w:r>
        <w:rPr>
          <w:rFonts w:hint="eastAsia" w:ascii="方正仿宋_GBK" w:hAnsi="方正仿宋_GBK" w:eastAsia="方正仿宋_GBK" w:cs="方正仿宋_GBK"/>
          <w:sz w:val="32"/>
          <w:szCs w:val="32"/>
        </w:rPr>
        <w:t>。较年初预算数增加294.24万元，增长10.0%。主要原因是</w:t>
      </w:r>
      <w:r>
        <w:rPr>
          <w:rFonts w:hint="eastAsia" w:ascii="方正仿宋_GBK" w:hAnsi="方正仿宋_GBK" w:eastAsia="方正仿宋_GBK" w:cs="方正仿宋_GBK"/>
          <w:sz w:val="32"/>
          <w:szCs w:val="32"/>
          <w:lang w:eastAsia="zh-CN"/>
        </w:rPr>
        <w:t>市局追加了食品药品安全监管经费，县财政追加了执法办案经费和新录用人员经费</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3.结转结余情况。</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度年末一般公共预算财政拨款结转和结余0.00万元，与2023年度相比，无增减。</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4.比较情况。本部门</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度一般公共预算财政拨款支出主要用于以下几个方面：</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（1）一般公共服务支出2438.36万元，占75.55%，较年初预算数增加259.84万元，增长11.9%，主要原因是</w:t>
      </w:r>
      <w:r>
        <w:rPr>
          <w:rFonts w:hint="eastAsia" w:ascii="方正仿宋_GBK" w:hAnsi="方正仿宋_GBK" w:eastAsia="方正仿宋_GBK" w:cs="方正仿宋_GBK"/>
          <w:sz w:val="32"/>
          <w:szCs w:val="32"/>
          <w:lang w:eastAsia="zh-CN"/>
        </w:rPr>
        <w:t>市局追加了食品药品安全监管经费，县财政追加了执法办案经费和新录用人员经费</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）社会保障与就业支出484.88万元，占15.02%，较年初预算数增加34.41万元，增长7.6%，主要原因是</w:t>
      </w:r>
      <w:r>
        <w:rPr>
          <w:rFonts w:hint="eastAsia" w:ascii="方正仿宋_GBK" w:hAnsi="方正仿宋_GBK" w:eastAsia="方正仿宋_GBK" w:cs="方正仿宋_GBK"/>
          <w:sz w:val="32"/>
          <w:szCs w:val="32"/>
          <w:lang w:eastAsia="zh-CN"/>
        </w:rPr>
        <w:t>增加了新录用人员，追加了</w:t>
      </w:r>
      <w:r>
        <w:rPr>
          <w:rFonts w:hint="eastAsia" w:ascii="方正仿宋_GBK" w:hAnsi="方正仿宋_GBK" w:eastAsia="方正仿宋_GBK" w:cs="方正仿宋_GBK"/>
          <w:sz w:val="32"/>
          <w:szCs w:val="32"/>
        </w:rPr>
        <w:t>社会保障与就业</w:t>
      </w:r>
      <w:r>
        <w:rPr>
          <w:rFonts w:hint="eastAsia" w:ascii="方正仿宋_GBK" w:hAnsi="方正仿宋_GBK" w:eastAsia="方正仿宋_GBK" w:cs="方正仿宋_GBK"/>
          <w:sz w:val="32"/>
          <w:szCs w:val="32"/>
          <w:lang w:eastAsia="zh-CN"/>
        </w:rPr>
        <w:t>经费。</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）卫生健康支出130.22万元，占4.03%，较年初预算数无增减。</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）住房保障支出174.08万元，占5.39%，较年初预算数无增减。</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（四）一般公共预算财政拨款基本支出决算情况说明</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度一般公共财政拨款基本支出2666.63万元。其中：人员经费2278.09万元，与2023年度相比，增加57.08万元，增长2.6%，主要原因是</w:t>
      </w:r>
      <w:r>
        <w:rPr>
          <w:rFonts w:hint="eastAsia" w:ascii="方正仿宋_GBK" w:hAnsi="方正仿宋_GBK" w:eastAsia="方正仿宋_GBK" w:cs="方正仿宋_GBK"/>
          <w:sz w:val="32"/>
          <w:szCs w:val="32"/>
          <w:lang w:eastAsia="zh-CN"/>
        </w:rPr>
        <w:t>新录用人员增加，相应的社会保障、医疗保障、住房保障均增加。</w:t>
      </w:r>
      <w:r>
        <w:rPr>
          <w:rFonts w:hint="eastAsia" w:ascii="方正仿宋_GBK" w:hAnsi="方正仿宋_GBK" w:eastAsia="方正仿宋_GBK" w:cs="方正仿宋_GBK"/>
          <w:sz w:val="32"/>
          <w:szCs w:val="32"/>
        </w:rPr>
        <w:t>人员经费用途主要包括基本工资、津贴补贴、奖金、社会保障缴费、绩效工资、住房公积金、 其他工资福利支出、对个人和家庭的补助等。公用经费388.54万元，与2023年度相比，减少10.04万元，下降2.5%，主要原因是</w:t>
      </w:r>
      <w:r>
        <w:rPr>
          <w:rFonts w:hint="eastAsia" w:ascii="方正仿宋_GBK" w:hAnsi="方正仿宋_GBK" w:eastAsia="方正仿宋_GBK" w:cs="方正仿宋_GBK"/>
          <w:sz w:val="32"/>
          <w:szCs w:val="32"/>
          <w:lang w:eastAsia="zh-CN"/>
        </w:rPr>
        <w:t>退休人数增加，</w:t>
      </w:r>
      <w:r>
        <w:rPr>
          <w:rFonts w:hint="eastAsia" w:ascii="方正仿宋_GBK" w:hAnsi="方正仿宋_GBK" w:eastAsia="方正仿宋_GBK" w:cs="方正仿宋_GBK"/>
          <w:sz w:val="32"/>
          <w:szCs w:val="32"/>
        </w:rPr>
        <w:t>新录用公务员</w:t>
      </w:r>
      <w:r>
        <w:rPr>
          <w:rFonts w:hint="eastAsia" w:ascii="方正仿宋_GBK" w:hAnsi="方正仿宋_GBK" w:eastAsia="方正仿宋_GBK" w:cs="方正仿宋_GBK"/>
          <w:sz w:val="32"/>
          <w:szCs w:val="32"/>
          <w:lang w:eastAsia="zh-CN"/>
        </w:rPr>
        <w:t>较上年减少，相应的公用经费拨款也减少</w:t>
      </w:r>
      <w:r>
        <w:rPr>
          <w:rFonts w:hint="eastAsia" w:ascii="方正仿宋_GBK" w:hAnsi="方正仿宋_GBK" w:eastAsia="方正仿宋_GBK" w:cs="方正仿宋_GBK"/>
          <w:sz w:val="32"/>
          <w:szCs w:val="32"/>
        </w:rPr>
        <w:t>。公用经费用途主要包括办公费、印刷费、咨询费、手续费、水费、电费、 差旅费 、维修（护）费、公务接待费、劳务费、工会经费、福利费、公务用车运行维护费、其他商品和服务支出</w:t>
      </w:r>
      <w:r>
        <w:rPr>
          <w:rFonts w:hint="eastAsia" w:ascii="方正仿宋_GBK" w:hAnsi="方正仿宋_GBK" w:eastAsia="方正仿宋_GBK" w:cs="方正仿宋_GBK"/>
          <w:sz w:val="32"/>
          <w:szCs w:val="32"/>
          <w:lang w:eastAsia="zh-CN"/>
        </w:rPr>
        <w:t>等</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（五）政府性基金预算收支决算情况说明</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度政府性基金预算财政拨款年初结转结余0.00万元，年末结转结余0.00万元。本年收入0.00万元，与2023年度相比，无增减。本年支出0.00万元，与2023年度相比，无增减。</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本单位</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度无政府性基金预算财政拨款收支。</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rPr>
      </w:pPr>
      <w:r>
        <w:rPr>
          <w:rFonts w:hint="eastAsia" w:ascii="方正楷体简体" w:hAnsi="方正楷体简体" w:eastAsia="方正楷体简体" w:cs="方正楷体简体"/>
          <w:sz w:val="32"/>
          <w:szCs w:val="32"/>
        </w:rPr>
        <w:t>（六）国有资本经营预算财政拨款支出决算情况说明</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度国有资本经营预算财政拨本年支出0.00万元，基本支出0.00万元，项目支出0.00万元。本单位</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度无国有资本经营预算财政拨款支出。</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w:t>
      </w:r>
      <w:r>
        <w:rPr>
          <w:rFonts w:hint="eastAsia" w:ascii="方正黑体_GBK" w:hAnsi="方正黑体_GBK" w:eastAsia="方正黑体_GBK" w:cs="方正黑体_GBK"/>
          <w:sz w:val="32"/>
          <w:szCs w:val="32"/>
          <w:lang w:eastAsia="zh-CN"/>
        </w:rPr>
        <w:t>财政拨款</w:t>
      </w:r>
      <w:r>
        <w:rPr>
          <w:rFonts w:hint="eastAsia" w:ascii="方正黑体_GBK" w:hAnsi="方正黑体_GBK" w:eastAsia="方正黑体_GBK" w:cs="方正黑体_GBK"/>
          <w:sz w:val="32"/>
          <w:szCs w:val="32"/>
        </w:rPr>
        <w:t>“三公”经费情况说明</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 （一）“三公”经费支出总体情况说明</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度“三公”经费支出共计64.12万元，较年初预算数减少1.88万元，下降2.9%，主要原因是财政过紧日子，</w:t>
      </w:r>
      <w:r>
        <w:rPr>
          <w:rFonts w:hint="eastAsia" w:ascii="方正仿宋_GBK" w:hAnsi="方正仿宋_GBK" w:eastAsia="方正仿宋_GBK" w:cs="方正仿宋_GBK"/>
          <w:sz w:val="32"/>
          <w:szCs w:val="32"/>
          <w:lang w:eastAsia="zh-CN"/>
        </w:rPr>
        <w:t>减少了预算</w:t>
      </w:r>
      <w:r>
        <w:rPr>
          <w:rFonts w:hint="eastAsia" w:ascii="方正仿宋_GBK" w:hAnsi="方正仿宋_GBK" w:eastAsia="方正仿宋_GBK" w:cs="方正仿宋_GBK"/>
          <w:sz w:val="32"/>
          <w:szCs w:val="32"/>
        </w:rPr>
        <w:t>。较上年支出数增加14.28万元，增长28.7%，主要原因是</w:t>
      </w:r>
      <w:r>
        <w:rPr>
          <w:rFonts w:hint="eastAsia" w:ascii="方正仿宋_GBK" w:hAnsi="方正仿宋_GBK" w:eastAsia="方正仿宋_GBK" w:cs="方正仿宋_GBK"/>
          <w:sz w:val="32"/>
          <w:szCs w:val="32"/>
          <w:lang w:eastAsia="zh-CN"/>
        </w:rPr>
        <w:t>专项检查督查频率和系统交流学习次数增加</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（二）“三公”经费分项支出情况</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度本部门因公出国（境）费用0.00万元。费用支出较年初预算数无增减。与2023年度相比，无增减。</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公务车购置费0.00万元。费用支出较年初预算数无增减。与2023年度相比，无增减。</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公务车运行维护费63.00万元，</w:t>
      </w:r>
      <w:r>
        <w:rPr>
          <w:rFonts w:hint="eastAsia" w:ascii="方正仿宋_GBK" w:hAnsi="方正仿宋_GBK" w:eastAsia="方正仿宋_GBK" w:cs="方正仿宋_GBK"/>
          <w:sz w:val="32"/>
          <w:szCs w:val="32"/>
          <w:lang w:val="en-US" w:eastAsia="zh-CN"/>
        </w:rPr>
        <w:t>主要用于公务执法车辆日常监管执法、食品药品抽检送检等市场监管工作中的燃油费、车辆维修费、车辆保险费、通行费、洗车停车费等</w:t>
      </w:r>
      <w:r>
        <w:rPr>
          <w:rFonts w:hint="eastAsia" w:ascii="方正仿宋_GBK" w:hAnsi="方正仿宋_GBK" w:eastAsia="方正仿宋_GBK" w:cs="方正仿宋_GBK"/>
          <w:sz w:val="32"/>
          <w:szCs w:val="32"/>
        </w:rPr>
        <w:t>。费用支出较年初预算数无增减</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较上年支出数增加14.31万元，增长29.4%，主要原因是</w:t>
      </w:r>
      <w:r>
        <w:rPr>
          <w:rFonts w:hint="eastAsia" w:ascii="方正仿宋_GBK" w:hAnsi="方正仿宋_GBK" w:eastAsia="方正仿宋_GBK" w:cs="方正仿宋_GBK"/>
          <w:sz w:val="32"/>
          <w:szCs w:val="32"/>
          <w:lang w:eastAsia="zh-CN"/>
        </w:rPr>
        <w:t>执法及专项检查任务增加，出车的频率增加，以及车辆老化，维修费相应增加</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公务接待费1.12万元，</w:t>
      </w:r>
      <w:r>
        <w:rPr>
          <w:rFonts w:hint="eastAsia" w:ascii="方正仿宋_GBK" w:hAnsi="方正仿宋_GBK" w:eastAsia="方正仿宋_GBK" w:cs="方正仿宋_GBK"/>
          <w:sz w:val="32"/>
          <w:szCs w:val="32"/>
          <w:lang w:val="en-US" w:eastAsia="zh-CN"/>
        </w:rPr>
        <w:t>主要用于接待市局专项检查和指导工作等。</w:t>
      </w:r>
      <w:r>
        <w:rPr>
          <w:rFonts w:hint="eastAsia" w:ascii="方正仿宋_GBK" w:hAnsi="方正仿宋_GBK" w:eastAsia="方正仿宋_GBK" w:cs="方正仿宋_GBK"/>
          <w:sz w:val="32"/>
          <w:szCs w:val="32"/>
        </w:rPr>
        <w:t>费用支出较年初预算数减少1.88万元，下降62.7%，主要原因是</w:t>
      </w:r>
      <w:r>
        <w:rPr>
          <w:rFonts w:hint="eastAsia" w:ascii="方正仿宋_GBK" w:hAnsi="方正仿宋_GBK" w:eastAsia="方正仿宋_GBK" w:cs="方正仿宋_GBK"/>
          <w:sz w:val="32"/>
          <w:szCs w:val="32"/>
          <w:lang w:eastAsia="zh-CN"/>
        </w:rPr>
        <w:t>财政</w:t>
      </w:r>
      <w:r>
        <w:rPr>
          <w:rFonts w:hint="eastAsia" w:ascii="方正仿宋_GBK" w:hAnsi="方正仿宋_GBK" w:eastAsia="方正仿宋_GBK" w:cs="方正仿宋_GBK"/>
          <w:sz w:val="32"/>
          <w:szCs w:val="32"/>
        </w:rPr>
        <w:t>过紧日子</w:t>
      </w:r>
      <w:r>
        <w:rPr>
          <w:rFonts w:hint="eastAsia" w:ascii="方正仿宋_GBK" w:hAnsi="方正仿宋_GBK" w:eastAsia="方正仿宋_GBK" w:cs="方正仿宋_GBK"/>
          <w:sz w:val="32"/>
          <w:szCs w:val="32"/>
          <w:lang w:eastAsia="zh-CN"/>
        </w:rPr>
        <w:t>、节约开支，有条件时就在机关食堂用餐</w:t>
      </w:r>
      <w:r>
        <w:rPr>
          <w:rFonts w:hint="eastAsia" w:ascii="方正仿宋_GBK" w:hAnsi="方正仿宋_GBK" w:eastAsia="方正仿宋_GBK" w:cs="方正仿宋_GBK"/>
          <w:sz w:val="32"/>
          <w:szCs w:val="32"/>
        </w:rPr>
        <w:t>。较上年支出数减少0.03万元，下降2.6%，主主要原因是</w:t>
      </w:r>
      <w:r>
        <w:rPr>
          <w:rFonts w:hint="eastAsia" w:ascii="方正仿宋_GBK" w:hAnsi="方正仿宋_GBK" w:eastAsia="方正仿宋_GBK" w:cs="方正仿宋_GBK"/>
          <w:sz w:val="32"/>
          <w:szCs w:val="32"/>
          <w:lang w:eastAsia="zh-CN"/>
        </w:rPr>
        <w:t>财政</w:t>
      </w:r>
      <w:r>
        <w:rPr>
          <w:rFonts w:hint="eastAsia" w:ascii="方正仿宋_GBK" w:hAnsi="方正仿宋_GBK" w:eastAsia="方正仿宋_GBK" w:cs="方正仿宋_GBK"/>
          <w:sz w:val="32"/>
          <w:szCs w:val="32"/>
        </w:rPr>
        <w:t>过紧日子</w:t>
      </w:r>
      <w:r>
        <w:rPr>
          <w:rFonts w:hint="eastAsia" w:ascii="方正仿宋_GBK" w:hAnsi="方正仿宋_GBK" w:eastAsia="方正仿宋_GBK" w:cs="方正仿宋_GBK"/>
          <w:sz w:val="32"/>
          <w:szCs w:val="32"/>
          <w:lang w:eastAsia="zh-CN"/>
        </w:rPr>
        <w:t>、节约开支，有条件时就在机关食堂用餐</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（三）“三公”经费实物量情况</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度本部门因公出国（境）共计0个团组，0人；公务用车购置0辆，公务车保有量为18辆；国内公务接待15批次65人，其中：国内外事接待0批次，0人；国（境）外公务接待0批次，0人。</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本部门人均接待费172.55元，车均购置费0万元，车均维护费3.50万元。</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四、其他需要说明的事项</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（一）财政拨款会议费和培训费情况说明</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本年度会议费支出0.41万元，与2023年度相比，增加0.36万元，增长720.0%，主要原因是</w:t>
      </w:r>
      <w:r>
        <w:rPr>
          <w:rFonts w:hint="eastAsia" w:ascii="方正仿宋_GBK" w:hAnsi="方正仿宋_GBK" w:eastAsia="方正仿宋_GBK" w:cs="方正仿宋_GBK"/>
          <w:sz w:val="32"/>
          <w:szCs w:val="32"/>
          <w:lang w:eastAsia="zh-CN"/>
        </w:rPr>
        <w:t>市局要求召开的会议增加，资料由本单位自己印制</w:t>
      </w:r>
      <w:r>
        <w:rPr>
          <w:rFonts w:hint="eastAsia" w:ascii="方正仿宋_GBK" w:hAnsi="方正仿宋_GBK" w:eastAsia="方正仿宋_GBK" w:cs="方正仿宋_GBK"/>
          <w:sz w:val="32"/>
          <w:szCs w:val="32"/>
        </w:rPr>
        <w:t>。本年度培训费支出19.99万元，与2023年度相比，减少6.08万元，下降23.3%，主要原因是市场监管培训业务统筹安排，</w:t>
      </w:r>
      <w:r>
        <w:rPr>
          <w:rFonts w:hint="eastAsia" w:ascii="方正仿宋_GBK" w:hAnsi="方正仿宋_GBK" w:eastAsia="方正仿宋_GBK" w:cs="方正仿宋_GBK"/>
          <w:sz w:val="32"/>
          <w:szCs w:val="32"/>
          <w:lang w:eastAsia="zh-CN"/>
        </w:rPr>
        <w:t>有时以会代训，</w:t>
      </w:r>
      <w:r>
        <w:rPr>
          <w:rFonts w:hint="eastAsia" w:ascii="方正仿宋_GBK" w:hAnsi="方正仿宋_GBK" w:eastAsia="方正仿宋_GBK" w:cs="方正仿宋_GBK"/>
          <w:sz w:val="32"/>
          <w:szCs w:val="32"/>
        </w:rPr>
        <w:t>减少相关费用。</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（二）机关运行经费情况说明</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本部门机关运行经费支出379.54万元，机关运行经费主要用于购买货物和服务等的各项公用经费，包括办公及印刷费、邮电费、差旅费、会议费、日常维护费、专用材料及一般设备购置费、办公用房水电费、办公用房物业管理费、公务用车运行维护费以及其他费用。机关运行经费较上年支出数减少19.04万元，下降4.8%，主要原因是</w:t>
      </w:r>
      <w:r>
        <w:rPr>
          <w:rFonts w:hint="eastAsia" w:ascii="方正仿宋_GBK" w:hAnsi="方正仿宋_GBK" w:eastAsia="方正仿宋_GBK" w:cs="方正仿宋_GBK"/>
          <w:sz w:val="32"/>
          <w:szCs w:val="32"/>
          <w:lang w:eastAsia="zh-CN"/>
        </w:rPr>
        <w:t>遵循过紧日子的要求，节约开支</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（三）国有资产占用情况说明</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截至</w:t>
      </w: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12月31日，本部门共有车辆18辆，其中，副部（省）级及以上领导用车0辆、主要负责人用车0辆、机要通信用车1辆、应急保障用车3辆、执法执勤用车13辆，特种专业技术用车1辆，离退休干部用车0辆。单价100万元（含）以上专用设备0台（套）。</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（四）政府采购支出情况说明</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2024年</w:t>
      </w:r>
      <w:r>
        <w:rPr>
          <w:rFonts w:hint="eastAsia" w:ascii="方正仿宋_GBK" w:hAnsi="方正仿宋_GBK" w:eastAsia="方正仿宋_GBK" w:cs="方正仿宋_GBK"/>
          <w:sz w:val="32"/>
          <w:szCs w:val="32"/>
        </w:rPr>
        <w:t>度本部门政府采购支出总额3.14万元，其中：政府采购货物支出3.14万元、政府采购工程支出0.00万元、政府采购服务支出0.00万元。授予中小企业合同金额1.22万元，占政府采购支出总额的38.79%，其中：授予小微企业合同金额1.22万元，占政府采购支出总额的38.79 %。</w:t>
      </w:r>
      <w:r>
        <w:rPr>
          <w:rFonts w:hint="eastAsia" w:ascii="方正仿宋_GBK" w:hAnsi="方正仿宋_GBK" w:eastAsia="方正仿宋_GBK" w:cs="方正仿宋_GBK"/>
          <w:sz w:val="32"/>
          <w:szCs w:val="32"/>
          <w:lang w:val="en-US" w:eastAsia="zh-CN"/>
        </w:rPr>
        <w:t>主要用于采购监管执法办公电脑和打印机等。</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五、2024年度预算绩效管理情况说明</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（一）单位自评情况</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根据预算绩效管理要求，我部门（单位）对部门整体和</w:t>
      </w:r>
      <w:r>
        <w:rPr>
          <w:rFonts w:hint="eastAsia" w:ascii="方正仿宋_GBK" w:hAnsi="方正仿宋_GBK" w:eastAsia="方正仿宋_GBK" w:cs="方正仿宋_GBK"/>
          <w:sz w:val="32"/>
          <w:szCs w:val="32"/>
          <w:lang w:val="en-US" w:eastAsia="zh-CN"/>
        </w:rPr>
        <w:t>13</w:t>
      </w:r>
      <w:r>
        <w:rPr>
          <w:rFonts w:hint="eastAsia" w:ascii="方正仿宋_GBK" w:hAnsi="方正仿宋_GBK" w:eastAsia="方正仿宋_GBK" w:cs="方正仿宋_GBK"/>
          <w:sz w:val="32"/>
          <w:szCs w:val="32"/>
        </w:rPr>
        <w:t>个二级项目开展了绩效自评，涉及财政拨款项目支出资金</w:t>
      </w:r>
      <w:r>
        <w:rPr>
          <w:rFonts w:hint="eastAsia" w:ascii="方正仿宋_GBK" w:hAnsi="方正仿宋_GBK" w:eastAsia="方正仿宋_GBK" w:cs="方正仿宋_GBK"/>
          <w:sz w:val="32"/>
          <w:szCs w:val="32"/>
          <w:lang w:val="en-US" w:eastAsia="zh-CN"/>
        </w:rPr>
        <w:t>560.9</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lang w:eastAsia="zh-CN"/>
        </w:rPr>
        <w:t>。</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jc w:val="left"/>
        <w:textAlignment w:val="auto"/>
        <w:rPr>
          <w:rFonts w:hint="eastAsia" w:ascii="方正仿宋_GBK" w:hAnsi="方正仿宋_GBK" w:eastAsia="方正仿宋_GBK" w:cs="方正仿宋_GBK"/>
          <w:b/>
          <w:bCs/>
          <w:kern w:val="0"/>
          <w:sz w:val="32"/>
          <w:szCs w:val="32"/>
          <w:shd w:val="clear" w:fill="FFFFFF"/>
        </w:rPr>
      </w:pP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left"/>
        <w:textAlignment w:val="auto"/>
        <w:rPr>
          <w:rFonts w:hint="default" w:ascii="方正仿宋_GBK" w:hAnsi="方正仿宋_GBK" w:eastAsia="方正仿宋_GBK" w:cs="方正仿宋_GBK"/>
          <w:b/>
          <w:bCs/>
          <w:kern w:val="0"/>
          <w:sz w:val="32"/>
          <w:szCs w:val="32"/>
          <w:shd w:val="clear" w:fill="FFFFFF"/>
          <w:lang w:val="en-US" w:eastAsia="zh-CN"/>
        </w:rPr>
      </w:pPr>
      <w:r>
        <w:rPr>
          <w:rFonts w:hint="eastAsia" w:ascii="方正仿宋_GBK" w:hAnsi="方正仿宋_GBK" w:eastAsia="方正仿宋_GBK" w:cs="方正仿宋_GBK"/>
          <w:b/>
          <w:bCs/>
          <w:kern w:val="0"/>
          <w:sz w:val="32"/>
          <w:szCs w:val="32"/>
          <w:shd w:val="clear" w:fill="FFFFFF"/>
        </w:rPr>
        <w:t>部门整体绩效自评</w:t>
      </w:r>
      <w:r>
        <w:rPr>
          <w:rFonts w:hint="eastAsia" w:ascii="方正仿宋_GBK" w:hAnsi="方正仿宋_GBK" w:eastAsia="方正仿宋_GBK" w:cs="方正仿宋_GBK"/>
          <w:b/>
          <w:bCs/>
          <w:kern w:val="0"/>
          <w:sz w:val="32"/>
          <w:szCs w:val="32"/>
          <w:shd w:val="clear" w:fill="FFFFFF"/>
          <w:lang w:eastAsia="zh-CN"/>
        </w:rPr>
        <w:t>表</w:t>
      </w:r>
    </w:p>
    <w:tbl>
      <w:tblPr>
        <w:tblStyle w:val="6"/>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40" w:type="dxa"/>
          <w:left w:w="64" w:type="dxa"/>
          <w:bottom w:w="40" w:type="dxa"/>
          <w:right w:w="64" w:type="dxa"/>
        </w:tblCellMar>
      </w:tblPr>
      <w:tblGrid>
        <w:gridCol w:w="817"/>
        <w:gridCol w:w="420"/>
        <w:gridCol w:w="621"/>
        <w:gridCol w:w="738"/>
        <w:gridCol w:w="1749"/>
        <w:gridCol w:w="581"/>
        <w:gridCol w:w="588"/>
        <w:gridCol w:w="767"/>
        <w:gridCol w:w="724"/>
        <w:gridCol w:w="919"/>
        <w:gridCol w:w="5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2024年度部门整体绩效自评表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DA3232"/>
                <w:sz w:val="22"/>
                <w:szCs w:val="22"/>
                <w:u w:val="none"/>
              </w:rPr>
            </w:pPr>
            <w:r>
              <w:rPr>
                <w:rFonts w:hint="eastAsia" w:ascii="宋体" w:hAnsi="宋体" w:eastAsia="宋体" w:cs="宋体"/>
                <w:b/>
                <w:bCs/>
                <w:i w:val="0"/>
                <w:iCs w:val="0"/>
                <w:color w:val="auto"/>
                <w:kern w:val="0"/>
                <w:sz w:val="22"/>
                <w:szCs w:val="22"/>
                <w:u w:val="none"/>
                <w:lang w:val="en-US" w:eastAsia="zh-CN" w:bidi="ar"/>
              </w:rPr>
              <w:t>状态：已送审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6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巫溪县市场监督管理局整体监控</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50023800024P000039</w:t>
            </w:r>
          </w:p>
        </w:tc>
        <w:tc>
          <w:tcPr>
            <w:tcW w:w="6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自评总分：</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b/>
                <w:bCs/>
                <w:i w:val="0"/>
                <w:iCs w:val="0"/>
                <w:color w:val="000000"/>
                <w:sz w:val="18"/>
                <w:szCs w:val="18"/>
                <w:u w:val="none"/>
              </w:rPr>
            </w:pPr>
          </w:p>
        </w:tc>
        <w:tc>
          <w:tcPr>
            <w:tcW w:w="8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项目主管部门：</w:t>
            </w:r>
          </w:p>
        </w:tc>
        <w:tc>
          <w:tcPr>
            <w:tcW w:w="6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039-巫溪县市场监督管理局</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财政归口处室：</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005-行财科</w:t>
            </w:r>
          </w:p>
        </w:tc>
        <w:tc>
          <w:tcPr>
            <w:tcW w:w="6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部门联系人：</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周小琴</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联系电话：</w:t>
            </w:r>
          </w:p>
        </w:tc>
        <w:tc>
          <w:tcPr>
            <w:tcW w:w="8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17783218885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808080"/>
                <w:sz w:val="18"/>
                <w:szCs w:val="18"/>
                <w:u w:val="none"/>
              </w:rPr>
            </w:pPr>
            <w:r>
              <w:rPr>
                <w:rFonts w:hint="eastAsia" w:ascii="微软雅黑" w:hAnsi="微软雅黑" w:eastAsia="微软雅黑" w:cs="微软雅黑"/>
                <w:b/>
                <w:bCs/>
                <w:i w:val="0"/>
                <w:iCs w:val="0"/>
                <w:color w:val="808080"/>
                <w:kern w:val="0"/>
                <w:sz w:val="18"/>
                <w:szCs w:val="1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7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18"/>
                <w:szCs w:val="18"/>
                <w:u w:val="none"/>
              </w:rPr>
            </w:pPr>
          </w:p>
        </w:tc>
        <w:tc>
          <w:tcPr>
            <w:tcW w:w="8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年初预算数</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全年（调整）预算数</w:t>
            </w:r>
          </w:p>
        </w:tc>
        <w:tc>
          <w:tcPr>
            <w:tcW w:w="6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全年执行数</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执行率权重</w:t>
            </w:r>
          </w:p>
        </w:tc>
        <w:tc>
          <w:tcPr>
            <w:tcW w:w="8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84"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年度总金额</w:t>
            </w:r>
          </w:p>
        </w:tc>
        <w:tc>
          <w:tcPr>
            <w:tcW w:w="248" w:type="pct"/>
            <w:tcBorders>
              <w:top w:val="single" w:color="000000" w:sz="4" w:space="0"/>
              <w:left w:val="nil"/>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8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29,332,871.79 </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32,275,298.16 </w:t>
            </w:r>
          </w:p>
        </w:tc>
        <w:tc>
          <w:tcPr>
            <w:tcW w:w="6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32,275,298.16 </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6"/>
                <w:szCs w:val="16"/>
                <w:u w:val="none"/>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6"/>
                <w:szCs w:val="16"/>
                <w:u w:val="none"/>
              </w:rPr>
            </w:pPr>
          </w:p>
        </w:tc>
        <w:tc>
          <w:tcPr>
            <w:tcW w:w="8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84"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其中：财政拨款</w:t>
            </w:r>
          </w:p>
        </w:tc>
        <w:tc>
          <w:tcPr>
            <w:tcW w:w="248" w:type="pct"/>
            <w:tcBorders>
              <w:top w:val="single" w:color="000000" w:sz="4" w:space="0"/>
              <w:left w:val="nil"/>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8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29,332,871.79 </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32,275,298.16 </w:t>
            </w:r>
          </w:p>
        </w:tc>
        <w:tc>
          <w:tcPr>
            <w:tcW w:w="6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32,275,298.16 </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w:t>
            </w:r>
          </w:p>
        </w:tc>
        <w:tc>
          <w:tcPr>
            <w:tcW w:w="8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84"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一般公共预算</w:t>
            </w:r>
          </w:p>
        </w:tc>
        <w:tc>
          <w:tcPr>
            <w:tcW w:w="248" w:type="pct"/>
            <w:tcBorders>
              <w:top w:val="single" w:color="000000" w:sz="4" w:space="0"/>
              <w:left w:val="nil"/>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8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29,332,871.79 </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32,275,298.16 </w:t>
            </w:r>
          </w:p>
        </w:tc>
        <w:tc>
          <w:tcPr>
            <w:tcW w:w="6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32,275,298.16 </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6"/>
                <w:szCs w:val="16"/>
                <w:u w:val="none"/>
              </w:rPr>
            </w:pPr>
          </w:p>
        </w:tc>
        <w:tc>
          <w:tcPr>
            <w:tcW w:w="8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808080"/>
                <w:sz w:val="18"/>
                <w:szCs w:val="18"/>
                <w:u w:val="none"/>
              </w:rPr>
            </w:pPr>
            <w:r>
              <w:rPr>
                <w:rFonts w:hint="eastAsia" w:ascii="微软雅黑" w:hAnsi="微软雅黑" w:eastAsia="微软雅黑" w:cs="微软雅黑"/>
                <w:b/>
                <w:bCs/>
                <w:i w:val="0"/>
                <w:iCs w:val="0"/>
                <w:color w:val="808080"/>
                <w:kern w:val="0"/>
                <w:sz w:val="18"/>
                <w:szCs w:val="1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53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年初绩效目标</w:t>
            </w:r>
          </w:p>
        </w:tc>
        <w:tc>
          <w:tcPr>
            <w:tcW w:w="172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全年（调整）绩效目标</w:t>
            </w:r>
          </w:p>
        </w:tc>
        <w:tc>
          <w:tcPr>
            <w:tcW w:w="173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153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napToGrid w:val="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1.组织机关、各所执法人员开展各项专题培训，职工参与率达100%。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2.参加各级的专项业务培训。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3.提高登记许可工作的规范性和登记许可工作人员的业务能力。提高群众对登记许可工作和信用工作的知晓度，</w:t>
            </w:r>
            <w:bookmarkStart w:id="0" w:name="_GoBack"/>
            <w:bookmarkEnd w:id="0"/>
            <w:r>
              <w:rPr>
                <w:rFonts w:hint="eastAsia" w:cs="宋体"/>
                <w:i w:val="0"/>
                <w:iCs w:val="0"/>
                <w:color w:val="000000"/>
                <w:kern w:val="0"/>
                <w:sz w:val="18"/>
                <w:szCs w:val="18"/>
                <w:u w:val="none"/>
                <w:lang w:val="en-US" w:eastAsia="zh-CN" w:bidi="ar"/>
              </w:rPr>
              <w:t>“放管服”</w:t>
            </w:r>
            <w:r>
              <w:rPr>
                <w:rFonts w:hint="eastAsia" w:ascii="宋体" w:hAnsi="宋体" w:eastAsia="宋体" w:cs="宋体"/>
                <w:i w:val="0"/>
                <w:iCs w:val="0"/>
                <w:color w:val="000000"/>
                <w:kern w:val="0"/>
                <w:sz w:val="18"/>
                <w:szCs w:val="18"/>
                <w:u w:val="none"/>
                <w:lang w:val="en-US" w:eastAsia="zh-CN" w:bidi="ar"/>
              </w:rPr>
              <w:t>改革工作的满意度。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4.促进生产领域、流通领域产品质量安全。5.保护消费者的合法权益，维护社会经济秩序，促进社会主义市场经济健康发展。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强化食品安全日常监管频次，取缔查处无证无照经营，建立食品安全法治体系，稳步推进国家食品安全示范城市创建工作，提高我县餐饮企业“明厨亮灶”率，开展餐饮服务食品安全示范街、示范店、示范食堂创建活动，形成人人参与、人人维护食品安全的社会共治格局，确保全县人民群众“舌尖上”的安全，社会公众和服务对象满意度逐年提高，食品安全知晓度≥ 90%，满意度≥ 80%。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促进两品一械行业发展，带动社会经济增长，实现从业人员收入增加。全面提高两品一械监管质量，实施全过程监管，强化日常监管频次，加大专项整治力度，规范食药品的流通、使用,确保全县人民群众使用两品一械的安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促进认证认可行业规范发展，带动社会经济增长，实现从业人员收入增加。9.推进市级标准化试点示范项目建设，开展企业标准自我声明公开“双随机、一公开”抽查工作，引导企业开展对标达标提升行动。开展世界标准日等宣传活动。10.加强特种设备监管，消除事故隐患。11.非公党员“三亮”实现全覆盖，达到规范化建设标准。</w:t>
            </w:r>
          </w:p>
          <w:p>
            <w:pPr>
              <w:bidi w:val="0"/>
              <w:snapToGrid w:val="0"/>
              <w:jc w:val="both"/>
              <w:rPr>
                <w:rFonts w:hint="eastAsia"/>
                <w:lang w:val="en-US" w:eastAsia="zh-CN"/>
              </w:rPr>
            </w:pPr>
          </w:p>
        </w:tc>
        <w:tc>
          <w:tcPr>
            <w:tcW w:w="1728"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snapToGrid w:val="0"/>
              <w:jc w:val="left"/>
              <w:rPr>
                <w:rFonts w:hint="eastAsia" w:ascii="宋体" w:hAnsi="宋体" w:eastAsia="宋体" w:cs="宋体"/>
                <w:i w:val="0"/>
                <w:iCs w:val="0"/>
                <w:color w:val="000000"/>
                <w:sz w:val="18"/>
                <w:szCs w:val="18"/>
                <w:u w:val="none"/>
              </w:rPr>
            </w:pPr>
          </w:p>
        </w:tc>
        <w:tc>
          <w:tcPr>
            <w:tcW w:w="173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napToGrid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1.组织机关、各所执法人员开展各项专题培训，职工参与率达100%。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2.参加各级的专项业务培训。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3.提高登记许可工作的规范性和登记许可工作人员的业务能力。提高群众对登记许可工作和信用工作的知晓度，</w:t>
            </w:r>
            <w:r>
              <w:rPr>
                <w:rFonts w:hint="eastAsia" w:cs="宋体"/>
                <w:i w:val="0"/>
                <w:iCs w:val="0"/>
                <w:color w:val="000000"/>
                <w:kern w:val="0"/>
                <w:sz w:val="18"/>
                <w:szCs w:val="18"/>
                <w:u w:val="none"/>
                <w:lang w:val="en-US" w:eastAsia="zh-CN" w:bidi="ar"/>
              </w:rPr>
              <w:t>“放管服”</w:t>
            </w:r>
            <w:r>
              <w:rPr>
                <w:rFonts w:hint="eastAsia" w:ascii="宋体" w:hAnsi="宋体" w:eastAsia="宋体" w:cs="宋体"/>
                <w:i w:val="0"/>
                <w:iCs w:val="0"/>
                <w:color w:val="000000"/>
                <w:kern w:val="0"/>
                <w:sz w:val="18"/>
                <w:szCs w:val="18"/>
                <w:u w:val="none"/>
                <w:lang w:val="en-US" w:eastAsia="zh-CN" w:bidi="ar"/>
              </w:rPr>
              <w:t>改革工作的满意度。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4.促进生产领域、流通领域产品质量安全。5.保护消费者的合法权益，维护社会经济秩序，促进社会主义市场经济健康发展。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强化食品安全日常监管频次，取缔查处无证无照经营，建立食品安全法治体系，稳步推进国家食品安全示范城市创建工作，提高我县餐饮企业“明厨亮灶”率，开展餐饮服务食品安全示范街、示范店、示范食堂创建活动，形成人人参与、人人维护食品安全的社会共治格局，确保全县人民群众“舌尖上”的安全，社会公众和服务对象满意度逐年提高，食品安全知晓度≥ 90%，满意度≥ 80%。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促进两品一械行业发展，带动社会经济增长，实现从业人员收入增加。全面提高两品一械监管质量，实施全过程监管，强化日常监管频次，加大专项整治力度，规范食药品的流通、使用,确保全县人民群众使用两品一械的安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促进认证认可行业规范发展，带动社会经济增长，实现从业人员收入增加。9.推进市级标准化试点示范项目建设，开展企业标准自我声明公开“双随机、一公开”抽查工作，引导企业开展对标达标提升行动。开展世界标准日等宣传活动。10.加强特种设备监管，消除事故隐患。11.非公党员“三亮”实现全覆盖，达到规范化建设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808080"/>
                <w:sz w:val="18"/>
                <w:szCs w:val="18"/>
                <w:u w:val="none"/>
              </w:rPr>
            </w:pPr>
            <w:r>
              <w:rPr>
                <w:rFonts w:hint="eastAsia" w:ascii="微软雅黑" w:hAnsi="微软雅黑" w:eastAsia="微软雅黑" w:cs="微软雅黑"/>
                <w:b/>
                <w:bCs/>
                <w:i w:val="0"/>
                <w:iCs w:val="0"/>
                <w:color w:val="808080"/>
                <w:kern w:val="0"/>
                <w:sz w:val="18"/>
                <w:szCs w:val="1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指标名称</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指标性质</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指标值</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全年完成值</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偏离度（%）</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得分系数（%）</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指标权重</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指标得分</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是否核心指标</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全年及时办结投诉的数量占受理投诉总量</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食品生产、经营企业检查覆盖率</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智慧监管加信用监管整体综合实施率</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违法行为查处市场监管各个领域覆盖率</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监督抽检及后处置率</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社会公众和服务对象满意度</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hint="eastAsia" w:ascii="宋体" w:hAnsi="宋体" w:eastAsia="宋体" w:cs="宋体"/>
                <w:i w:val="0"/>
                <w:iCs w:val="0"/>
                <w:color w:val="000000"/>
                <w:sz w:val="18"/>
                <w:szCs w:val="18"/>
                <w:u w:val="none"/>
              </w:rPr>
            </w:pPr>
          </w:p>
        </w:tc>
      </w:tr>
    </w:tbl>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b/>
          <w:bCs/>
          <w:kern w:val="0"/>
          <w:sz w:val="32"/>
          <w:szCs w:val="32"/>
          <w:shd w:val="clear" w:fill="FFFFFF"/>
        </w:rPr>
      </w:pP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default" w:ascii="方正仿宋_GBK" w:hAnsi="方正仿宋_GBK" w:eastAsia="方正仿宋_GBK" w:cs="方正仿宋_GBK"/>
          <w:b/>
          <w:bCs/>
          <w:kern w:val="0"/>
          <w:sz w:val="32"/>
          <w:szCs w:val="32"/>
          <w:shd w:val="clear" w:fill="FFFFFF"/>
          <w:lang w:val="en-US" w:eastAsia="zh-CN"/>
        </w:rPr>
      </w:pPr>
      <w:r>
        <w:rPr>
          <w:rFonts w:hint="eastAsia" w:ascii="方正仿宋_GBK" w:hAnsi="方正仿宋_GBK" w:eastAsia="方正仿宋_GBK" w:cs="方正仿宋_GBK"/>
          <w:b/>
          <w:bCs/>
          <w:kern w:val="0"/>
          <w:sz w:val="32"/>
          <w:szCs w:val="32"/>
          <w:shd w:val="clear" w:fill="FFFFFF"/>
        </w:rPr>
        <w:t>项目支出绩效自评表</w:t>
      </w:r>
    </w:p>
    <w:tbl>
      <w:tblPr>
        <w:tblStyle w:val="6"/>
        <w:tblW w:w="554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
      <w:tblGrid>
        <w:gridCol w:w="1630"/>
        <w:gridCol w:w="983"/>
        <w:gridCol w:w="715"/>
        <w:gridCol w:w="561"/>
        <w:gridCol w:w="1101"/>
        <w:gridCol w:w="632"/>
        <w:gridCol w:w="672"/>
        <w:gridCol w:w="130"/>
        <w:gridCol w:w="423"/>
        <w:gridCol w:w="496"/>
        <w:gridCol w:w="512"/>
        <w:gridCol w:w="15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状态：部门审核已审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2024年市场秩序执法办案工作</w:t>
            </w:r>
          </w:p>
        </w:tc>
        <w:tc>
          <w:tcPr>
            <w:tcW w:w="6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50023824T000004214468</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自评总分</w:t>
            </w:r>
          </w:p>
        </w:tc>
        <w:tc>
          <w:tcPr>
            <w:tcW w:w="91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eastAsia" w:ascii="宋体" w:hAnsi="宋体" w:eastAsia="宋体" w:cs="宋体"/>
                <w:b/>
                <w:bCs/>
                <w:i w:val="0"/>
                <w:iCs w:val="0"/>
                <w:color w:val="000000"/>
                <w:sz w:val="18"/>
                <w:szCs w:val="18"/>
                <w:u w:val="none"/>
              </w:rPr>
            </w:pP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项目主管部门：</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039-巫溪县市场监督管理局</w:t>
            </w:r>
          </w:p>
        </w:tc>
        <w:tc>
          <w:tcPr>
            <w:tcW w:w="6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财政归口处室：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005-行财科</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部门联系人</w:t>
            </w:r>
          </w:p>
        </w:tc>
        <w:tc>
          <w:tcPr>
            <w:tcW w:w="91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周小琴</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联系电话</w:t>
            </w:r>
          </w:p>
        </w:tc>
        <w:tc>
          <w:tcPr>
            <w:tcW w:w="8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17783218885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808080"/>
                <w:sz w:val="18"/>
                <w:szCs w:val="18"/>
                <w:u w:val="none"/>
              </w:rPr>
            </w:pPr>
            <w:r>
              <w:rPr>
                <w:rFonts w:hint="eastAsia" w:ascii="微软雅黑" w:hAnsi="微软雅黑" w:eastAsia="微软雅黑" w:cs="微软雅黑"/>
                <w:b/>
                <w:bCs/>
                <w:i w:val="0"/>
                <w:iCs w:val="0"/>
                <w:color w:val="808080"/>
                <w:kern w:val="0"/>
                <w:sz w:val="18"/>
                <w:szCs w:val="1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3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宋体" w:hAnsi="宋体" w:eastAsia="宋体" w:cs="宋体"/>
                <w:i w:val="0"/>
                <w:iCs w:val="0"/>
                <w:color w:val="000000"/>
                <w:sz w:val="18"/>
                <w:szCs w:val="18"/>
                <w:u w:val="none"/>
              </w:rPr>
            </w:pPr>
          </w:p>
        </w:tc>
        <w:tc>
          <w:tcPr>
            <w:tcW w:w="6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年初预算数</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全年（调整）预算数</w:t>
            </w:r>
          </w:p>
        </w:tc>
        <w:tc>
          <w:tcPr>
            <w:tcW w:w="76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全年执行数</w:t>
            </w:r>
          </w:p>
        </w:tc>
        <w:tc>
          <w:tcPr>
            <w:tcW w:w="4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执行率权重</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69"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年度总金额</w:t>
            </w:r>
          </w:p>
        </w:tc>
        <w:tc>
          <w:tcPr>
            <w:tcW w:w="524" w:type="pct"/>
            <w:tcBorders>
              <w:top w:val="single" w:color="000000" w:sz="4" w:space="0"/>
              <w:left w:val="nil"/>
              <w:bottom w:val="single" w:color="000000" w:sz="4" w:space="0"/>
              <w:right w:val="single" w:color="000000" w:sz="4" w:space="0"/>
            </w:tcBorders>
            <w:shd w:val="clear" w:color="auto" w:fill="auto"/>
            <w:noWrap/>
            <w:vAlign w:val="center"/>
          </w:tcPr>
          <w:p>
            <w:pPr>
              <w:snapToGrid w:val="0"/>
              <w:rPr>
                <w:rFonts w:hint="eastAsia" w:ascii="宋体" w:hAnsi="宋体" w:eastAsia="宋体" w:cs="宋体"/>
                <w:i w:val="0"/>
                <w:iCs w:val="0"/>
                <w:color w:val="000000"/>
                <w:sz w:val="18"/>
                <w:szCs w:val="18"/>
                <w:u w:val="none"/>
              </w:rPr>
            </w:pPr>
          </w:p>
        </w:tc>
        <w:tc>
          <w:tcPr>
            <w:tcW w:w="6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835,000.00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835,000.00 </w:t>
            </w:r>
          </w:p>
        </w:tc>
        <w:tc>
          <w:tcPr>
            <w:tcW w:w="76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835,000.00 </w:t>
            </w:r>
          </w:p>
        </w:tc>
        <w:tc>
          <w:tcPr>
            <w:tcW w:w="4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宋体" w:hAnsi="宋体" w:eastAsia="宋体" w:cs="宋体"/>
                <w:i w:val="0"/>
                <w:iCs w:val="0"/>
                <w:color w:val="000000"/>
                <w:sz w:val="18"/>
                <w:szCs w:val="18"/>
                <w:u w:val="none"/>
              </w:rPr>
            </w:pP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宋体" w:hAnsi="宋体" w:eastAsia="宋体" w:cs="宋体"/>
                <w:i w:val="0"/>
                <w:iCs w:val="0"/>
                <w:color w:val="000000"/>
                <w:sz w:val="18"/>
                <w:szCs w:val="18"/>
                <w:u w:val="none"/>
              </w:rPr>
            </w:pP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69"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其中：财政拨款</w:t>
            </w:r>
          </w:p>
        </w:tc>
        <w:tc>
          <w:tcPr>
            <w:tcW w:w="524" w:type="pct"/>
            <w:tcBorders>
              <w:top w:val="single" w:color="000000" w:sz="4" w:space="0"/>
              <w:left w:val="nil"/>
              <w:bottom w:val="single" w:color="000000" w:sz="4" w:space="0"/>
              <w:right w:val="single" w:color="000000" w:sz="4" w:space="0"/>
            </w:tcBorders>
            <w:shd w:val="clear" w:color="auto" w:fill="auto"/>
            <w:noWrap/>
            <w:vAlign w:val="center"/>
          </w:tcPr>
          <w:p>
            <w:pPr>
              <w:snapToGrid w:val="0"/>
              <w:rPr>
                <w:rFonts w:hint="eastAsia" w:ascii="宋体" w:hAnsi="宋体" w:eastAsia="宋体" w:cs="宋体"/>
                <w:i w:val="0"/>
                <w:iCs w:val="0"/>
                <w:color w:val="000000"/>
                <w:sz w:val="18"/>
                <w:szCs w:val="18"/>
                <w:u w:val="none"/>
              </w:rPr>
            </w:pPr>
          </w:p>
        </w:tc>
        <w:tc>
          <w:tcPr>
            <w:tcW w:w="6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835,000.00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835,000.00 </w:t>
            </w:r>
          </w:p>
        </w:tc>
        <w:tc>
          <w:tcPr>
            <w:tcW w:w="76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835,000.00 </w:t>
            </w:r>
          </w:p>
        </w:tc>
        <w:tc>
          <w:tcPr>
            <w:tcW w:w="4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69"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一般公共预算</w:t>
            </w:r>
          </w:p>
        </w:tc>
        <w:tc>
          <w:tcPr>
            <w:tcW w:w="524" w:type="pct"/>
            <w:tcBorders>
              <w:top w:val="single" w:color="000000" w:sz="4" w:space="0"/>
              <w:left w:val="nil"/>
              <w:bottom w:val="single" w:color="000000" w:sz="4" w:space="0"/>
              <w:right w:val="single" w:color="000000" w:sz="4" w:space="0"/>
            </w:tcBorders>
            <w:shd w:val="clear" w:color="auto" w:fill="auto"/>
            <w:noWrap/>
            <w:vAlign w:val="center"/>
          </w:tcPr>
          <w:p>
            <w:pPr>
              <w:snapToGrid w:val="0"/>
              <w:rPr>
                <w:rFonts w:hint="eastAsia" w:ascii="宋体" w:hAnsi="宋体" w:eastAsia="宋体" w:cs="宋体"/>
                <w:i w:val="0"/>
                <w:iCs w:val="0"/>
                <w:color w:val="000000"/>
                <w:sz w:val="18"/>
                <w:szCs w:val="18"/>
                <w:u w:val="none"/>
              </w:rPr>
            </w:pPr>
          </w:p>
        </w:tc>
        <w:tc>
          <w:tcPr>
            <w:tcW w:w="68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835,000.00 </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835,000.00 </w:t>
            </w:r>
          </w:p>
        </w:tc>
        <w:tc>
          <w:tcPr>
            <w:tcW w:w="76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835,000.00 </w:t>
            </w:r>
          </w:p>
        </w:tc>
        <w:tc>
          <w:tcPr>
            <w:tcW w:w="4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rPr>
                <w:rFonts w:hint="eastAsia" w:ascii="宋体" w:hAnsi="宋体" w:eastAsia="宋体" w:cs="宋体"/>
                <w:i w:val="0"/>
                <w:iCs w:val="0"/>
                <w:color w:val="000000"/>
                <w:sz w:val="18"/>
                <w:szCs w:val="18"/>
                <w:u w:val="none"/>
              </w:rPr>
            </w:pP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808080"/>
                <w:sz w:val="18"/>
                <w:szCs w:val="18"/>
                <w:u w:val="none"/>
              </w:rPr>
            </w:pPr>
            <w:r>
              <w:rPr>
                <w:rFonts w:hint="eastAsia" w:ascii="微软雅黑" w:hAnsi="微软雅黑" w:eastAsia="微软雅黑" w:cs="微软雅黑"/>
                <w:b/>
                <w:bCs/>
                <w:i w:val="0"/>
                <w:iCs w:val="0"/>
                <w:color w:val="808080"/>
                <w:kern w:val="0"/>
                <w:sz w:val="18"/>
                <w:szCs w:val="1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07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年初绩效目标</w:t>
            </w:r>
          </w:p>
        </w:tc>
        <w:tc>
          <w:tcPr>
            <w:tcW w:w="135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全年（调整）绩效目标</w:t>
            </w:r>
          </w:p>
        </w:tc>
        <w:tc>
          <w:tcPr>
            <w:tcW w:w="157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075"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napToGrid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1.有效打击各类生产经营违法行为，进一步优化我先市场环境。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2.切实加强执法力量建设，打造过硬执法队伍。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3.坚持“谁执法、谁普法”，加强各种专项行动的法律宣传，提升市场主体法治意识。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4.加强辖区知识产权保护，推动企业知识产权经济发展。                                                                                                                       5.开展消费纠纷诉源治理活动。                                                                                                                                             6.深入推进打造无传销社区工作。</w:t>
            </w:r>
          </w:p>
        </w:tc>
        <w:tc>
          <w:tcPr>
            <w:tcW w:w="135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snapToGrid w:val="0"/>
              <w:jc w:val="left"/>
              <w:rPr>
                <w:rFonts w:hint="eastAsia" w:ascii="宋体" w:hAnsi="宋体" w:eastAsia="宋体" w:cs="宋体"/>
                <w:i w:val="0"/>
                <w:iCs w:val="0"/>
                <w:color w:val="000000"/>
                <w:sz w:val="18"/>
                <w:szCs w:val="18"/>
                <w:u w:val="none"/>
              </w:rPr>
            </w:pPr>
          </w:p>
        </w:tc>
        <w:tc>
          <w:tcPr>
            <w:tcW w:w="1571"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napToGrid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1.有效打击各类生产经营违法行为，进一步优化我先市场环境。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2.切实加强执法力量建设，打造过硬执法队伍。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3.坚持“谁执法、谁普法”，加强各种专项行动的法律宣传，提升市场主体法治意识。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4.加强辖区知识产权保护，推动企业知识产权经济发展。                                                                                                                       5.开展消费纠纷诉源治理活动。                                                                                                                                             6.深入推进打造无传销社区工作。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808080"/>
                <w:sz w:val="18"/>
                <w:szCs w:val="18"/>
                <w:u w:val="none"/>
              </w:rPr>
            </w:pPr>
            <w:r>
              <w:rPr>
                <w:rFonts w:hint="eastAsia" w:ascii="微软雅黑" w:hAnsi="微软雅黑" w:eastAsia="微软雅黑" w:cs="微软雅黑"/>
                <w:b/>
                <w:bCs/>
                <w:i w:val="0"/>
                <w:iCs w:val="0"/>
                <w:color w:val="808080"/>
                <w:kern w:val="0"/>
                <w:sz w:val="18"/>
                <w:szCs w:val="1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指标名称</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指标性质</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指标值</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全年完成值</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偏离度（%）</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得分系数（%）</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指标权重</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指标得分</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是否核心指标</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及时办结率</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全年及时办结投诉的数量占受理投诉总量</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违法行为查处市场监管各个领域覆盖率</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执法质效提升明显</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不断提高</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监管对象服务满意率</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firstLineChars="10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left"/>
              <w:rPr>
                <w:rFonts w:hint="eastAsia" w:ascii="宋体" w:hAnsi="宋体" w:eastAsia="宋体" w:cs="宋体"/>
                <w:i w:val="0"/>
                <w:iCs w:val="0"/>
                <w:color w:val="000000"/>
                <w:sz w:val="18"/>
                <w:szCs w:val="18"/>
                <w:u w:val="none"/>
              </w:rPr>
            </w:pPr>
          </w:p>
        </w:tc>
      </w:tr>
    </w:tbl>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b w:val="0"/>
          <w:bCs w:val="0"/>
          <w:sz w:val="32"/>
          <w:szCs w:val="32"/>
        </w:rPr>
        <w:t>（二）单位绩效评价情况</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我单位</w:t>
      </w:r>
      <w:r>
        <w:rPr>
          <w:rFonts w:hint="eastAsia" w:ascii="方正仿宋_GBK" w:hAnsi="方正仿宋_GBK" w:eastAsia="方正仿宋_GBK" w:cs="方正仿宋_GBK"/>
          <w:sz w:val="32"/>
          <w:szCs w:val="32"/>
          <w:lang w:eastAsia="zh-CN"/>
        </w:rPr>
        <w:t>未组织</w:t>
      </w:r>
      <w:r>
        <w:rPr>
          <w:rFonts w:hint="eastAsia" w:ascii="方正仿宋_GBK" w:hAnsi="方正仿宋_GBK" w:eastAsia="方正仿宋_GBK" w:cs="方正仿宋_GBK"/>
          <w:sz w:val="32"/>
          <w:szCs w:val="32"/>
        </w:rPr>
        <w:t>开展绩效评价</w:t>
      </w:r>
      <w:r>
        <w:rPr>
          <w:rFonts w:hint="eastAsia" w:ascii="方正仿宋_GBK" w:hAnsi="方正仿宋_GBK" w:eastAsia="方正仿宋_GBK" w:cs="方正仿宋_GBK"/>
          <w:sz w:val="32"/>
          <w:szCs w:val="32"/>
          <w:lang w:eastAsia="zh-CN"/>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（三）财政绩效评价情况</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财政局</w:t>
      </w:r>
      <w:r>
        <w:rPr>
          <w:rFonts w:hint="eastAsia" w:ascii="方正仿宋_GBK" w:hAnsi="方正仿宋_GBK" w:eastAsia="方正仿宋_GBK" w:cs="方正仿宋_GBK"/>
          <w:sz w:val="32"/>
          <w:szCs w:val="32"/>
          <w:lang w:eastAsia="zh-CN"/>
        </w:rPr>
        <w:t>未</w:t>
      </w:r>
      <w:r>
        <w:rPr>
          <w:rFonts w:hint="eastAsia" w:ascii="方正仿宋_GBK" w:hAnsi="方正仿宋_GBK" w:eastAsia="方正仿宋_GBK" w:cs="方正仿宋_GBK"/>
          <w:sz w:val="32"/>
          <w:szCs w:val="32"/>
        </w:rPr>
        <w:t>委托第三方对我单位开展绩效评价</w:t>
      </w:r>
      <w:r>
        <w:rPr>
          <w:rFonts w:hint="eastAsia" w:ascii="方正仿宋_GBK" w:hAnsi="方正仿宋_GBK" w:eastAsia="方正仿宋_GBK" w:cs="方正仿宋_GBK"/>
          <w:sz w:val="32"/>
          <w:szCs w:val="32"/>
          <w:lang w:eastAsia="zh-CN"/>
        </w:rPr>
        <w:t>。</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240" w:lineRule="auto"/>
        <w:jc w:val="both"/>
        <w:textAlignment w:val="auto"/>
        <w:rPr>
          <w:rFonts w:hint="eastAsia" w:ascii="方正黑体_GBK" w:hAnsi="方正黑体_GBK" w:eastAsia="方正黑体_GBK" w:cs="方正黑体_GBK"/>
          <w:b w:val="0"/>
          <w:bCs/>
          <w:kern w:val="0"/>
          <w:sz w:val="32"/>
          <w:szCs w:val="32"/>
        </w:rPr>
      </w:pPr>
      <w:r>
        <w:rPr>
          <w:rStyle w:val="11"/>
          <w:rFonts w:hint="eastAsia" w:ascii="方正黑体_GBK" w:hAnsi="方正黑体_GBK" w:eastAsia="方正黑体_GBK" w:cs="方正黑体_GBK"/>
          <w:b/>
          <w:bCs/>
          <w:sz w:val="32"/>
          <w:szCs w:val="32"/>
          <w:shd w:val="clear" w:fill="FFFFFF"/>
        </w:rPr>
        <w:t xml:space="preserve"> </w:t>
      </w:r>
      <w:r>
        <w:rPr>
          <w:rStyle w:val="11"/>
          <w:rFonts w:hint="eastAsia" w:ascii="方正黑体_GBK" w:hAnsi="方正黑体_GBK" w:eastAsia="方正黑体_GBK" w:cs="方正黑体_GBK"/>
          <w:b/>
          <w:bCs/>
          <w:sz w:val="32"/>
          <w:szCs w:val="32"/>
          <w:shd w:val="clear" w:fill="FFFFFF"/>
          <w:lang w:val="en-US" w:eastAsia="zh-CN"/>
        </w:rPr>
        <w:t xml:space="preserve">  </w:t>
      </w:r>
      <w:r>
        <w:rPr>
          <w:rStyle w:val="8"/>
          <w:rFonts w:hint="eastAsia" w:ascii="方正黑体_GBK" w:hAnsi="方正黑体_GBK" w:eastAsia="方正黑体_GBK" w:cs="方正黑体_GBK"/>
          <w:sz w:val="32"/>
          <w:szCs w:val="32"/>
          <w:shd w:val="clear" w:color="auto" w:fill="FFFFFF"/>
          <w:lang w:val="en-US" w:eastAsia="zh-CN" w:bidi="ar-SA"/>
        </w:rPr>
        <w:t xml:space="preserve"> </w:t>
      </w:r>
      <w:r>
        <w:rPr>
          <w:rStyle w:val="8"/>
          <w:rFonts w:hint="eastAsia" w:ascii="方正黑体_GBK" w:hAnsi="方正黑体_GBK" w:eastAsia="方正黑体_GBK" w:cs="方正黑体_GBK"/>
          <w:b w:val="0"/>
          <w:bCs/>
          <w:sz w:val="32"/>
          <w:szCs w:val="32"/>
          <w:shd w:val="clear" w:color="auto" w:fill="FFFFFF"/>
          <w:lang w:val="en-US" w:eastAsia="zh-CN" w:bidi="ar-SA"/>
        </w:rPr>
        <w:t>六、专业名词解释</w:t>
      </w:r>
    </w:p>
    <w:p>
      <w:pPr>
        <w:pStyle w:val="10"/>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楷体" w:cs="楷体"/>
          <w:b w:val="0"/>
          <w:bCs/>
          <w:sz w:val="32"/>
          <w:szCs w:val="32"/>
          <w:shd w:val="clear" w:color="auto" w:fill="FFFFFF"/>
          <w:lang w:val="en-US" w:eastAsia="zh-CN" w:bidi="ar-SA"/>
        </w:rPr>
        <w:t>（一）财政拨款收入：</w:t>
      </w:r>
      <w:r>
        <w:rPr>
          <w:rFonts w:hint="eastAsia" w:ascii="方正仿宋_GBK" w:hAnsi="方正仿宋_GBK" w:eastAsia="方正仿宋_GBK" w:cs="方正仿宋_GBK"/>
          <w:b w:val="0"/>
          <w:bCs/>
          <w:kern w:val="0"/>
          <w:sz w:val="32"/>
          <w:szCs w:val="32"/>
          <w:shd w:val="clear" w:fill="FFFFFF"/>
        </w:rPr>
        <w:t>指本年度从本级财政部门取得的财政拨款，包括一般公共预算财政拨款和政府性基金预算财政拨款。</w:t>
      </w:r>
    </w:p>
    <w:p>
      <w:pPr>
        <w:pStyle w:val="10"/>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楷体" w:cs="楷体"/>
          <w:b w:val="0"/>
          <w:bCs/>
          <w:sz w:val="32"/>
          <w:szCs w:val="32"/>
          <w:shd w:val="clear" w:color="auto" w:fill="FFFFFF"/>
          <w:lang w:val="en-US" w:eastAsia="zh-CN" w:bidi="ar-SA"/>
        </w:rPr>
        <w:t>（二）事业收入：</w:t>
      </w:r>
      <w:r>
        <w:rPr>
          <w:rFonts w:hint="eastAsia" w:ascii="方正仿宋_GBK" w:hAnsi="方正仿宋_GBK" w:eastAsia="方正仿宋_GBK" w:cs="方正仿宋_GBK"/>
          <w:b w:val="0"/>
          <w:bCs/>
          <w:kern w:val="0"/>
          <w:sz w:val="32"/>
          <w:szCs w:val="32"/>
          <w:shd w:val="clear" w:fill="FFFFFF"/>
        </w:rPr>
        <w:t>指事业单位开展专业业务活动及其辅助活动取得的现金流入；事业单位收到的财政专户实际核拨的教育收费等资金在此反映。</w:t>
      </w:r>
    </w:p>
    <w:p>
      <w:pPr>
        <w:pStyle w:val="10"/>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楷体" w:cs="楷体"/>
          <w:b w:val="0"/>
          <w:bCs/>
          <w:sz w:val="32"/>
          <w:szCs w:val="32"/>
          <w:shd w:val="clear" w:color="auto" w:fill="FFFFFF"/>
          <w:lang w:val="en-US" w:eastAsia="zh-CN" w:bidi="ar-SA"/>
        </w:rPr>
        <w:t>（三）经营收入：</w:t>
      </w:r>
      <w:r>
        <w:rPr>
          <w:rFonts w:hint="eastAsia" w:ascii="方正仿宋_GBK" w:hAnsi="方正仿宋_GBK" w:eastAsia="方正仿宋_GBK" w:cs="方正仿宋_GBK"/>
          <w:b w:val="0"/>
          <w:bCs/>
          <w:kern w:val="0"/>
          <w:sz w:val="32"/>
          <w:szCs w:val="32"/>
          <w:shd w:val="clear" w:fill="FFFFFF"/>
        </w:rPr>
        <w:t>指事业单位在专业业务活动及其辅助活动之外开展非独立核算经营活动取得的现金流入。</w:t>
      </w:r>
    </w:p>
    <w:p>
      <w:pPr>
        <w:pStyle w:val="10"/>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楷体" w:cs="楷体"/>
          <w:b w:val="0"/>
          <w:bCs/>
          <w:sz w:val="32"/>
          <w:szCs w:val="32"/>
          <w:shd w:val="clear" w:color="auto" w:fill="FFFFFF"/>
          <w:lang w:val="en-US" w:eastAsia="zh-CN" w:bidi="ar-SA"/>
        </w:rPr>
        <w:t>（四）其他收入：</w:t>
      </w:r>
      <w:r>
        <w:rPr>
          <w:rFonts w:hint="eastAsia" w:ascii="方正仿宋_GBK" w:hAnsi="方正仿宋_GBK" w:eastAsia="方正仿宋_GBK" w:cs="方正仿宋_GBK"/>
          <w:b w:val="0"/>
          <w:bCs/>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楷体" w:cs="楷体"/>
          <w:b w:val="0"/>
          <w:bCs/>
          <w:sz w:val="32"/>
          <w:szCs w:val="32"/>
          <w:shd w:val="clear" w:color="auto" w:fill="FFFFFF"/>
          <w:lang w:val="en-US" w:eastAsia="zh-CN" w:bidi="ar-SA"/>
        </w:rPr>
        <w:t>（五）使用非财政拨款结余：</w:t>
      </w:r>
      <w:r>
        <w:rPr>
          <w:rFonts w:hint="eastAsia" w:ascii="方正仿宋_GBK" w:hAnsi="方正仿宋_GBK" w:eastAsia="方正仿宋_GBK" w:cs="方正仿宋_GBK"/>
          <w:b w:val="0"/>
          <w:bCs/>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楷体" w:cs="楷体"/>
          <w:b w:val="0"/>
          <w:bCs/>
          <w:sz w:val="32"/>
          <w:szCs w:val="32"/>
          <w:shd w:val="clear" w:color="auto" w:fill="FFFFFF"/>
          <w:lang w:val="en-US" w:eastAsia="zh-CN" w:bidi="ar-SA"/>
        </w:rPr>
        <w:t>（六）年初结转和结余：</w:t>
      </w:r>
      <w:r>
        <w:rPr>
          <w:rFonts w:hint="eastAsia" w:ascii="方正仿宋_GBK" w:hAnsi="方正仿宋_GBK" w:eastAsia="方正仿宋_GBK" w:cs="方正仿宋_GBK"/>
          <w:b w:val="0"/>
          <w:bCs/>
          <w:kern w:val="0"/>
          <w:sz w:val="32"/>
          <w:szCs w:val="32"/>
          <w:shd w:val="clear" w:fill="FFFFFF"/>
        </w:rPr>
        <w:t>指单位上年结转本年使用的基本支出结转、项目支出结转和结余、经营结余。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楷体" w:cs="楷体"/>
          <w:b w:val="0"/>
          <w:bCs/>
          <w:sz w:val="32"/>
          <w:szCs w:val="32"/>
          <w:shd w:val="clear" w:color="auto" w:fill="FFFFFF"/>
          <w:lang w:val="en-US" w:eastAsia="zh-CN" w:bidi="ar-SA"/>
        </w:rPr>
        <w:t>（七）结余分配：</w:t>
      </w:r>
      <w:r>
        <w:rPr>
          <w:rFonts w:hint="eastAsia" w:ascii="方正仿宋_GBK" w:hAnsi="方正仿宋_GBK" w:eastAsia="方正仿宋_GBK" w:cs="方正仿宋_GBK"/>
          <w:b w:val="0"/>
          <w:bCs/>
          <w:kern w:val="0"/>
          <w:sz w:val="32"/>
          <w:szCs w:val="32"/>
          <w:shd w:val="clear" w:fill="FFFFFF"/>
        </w:rPr>
        <w:t>指单位按照国家有关规定，缴纳所得税、提取专用基金、转入非财政拨款结余等当年结余的分配情况。</w:t>
      </w:r>
    </w:p>
    <w:p>
      <w:pPr>
        <w:pStyle w:val="10"/>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楷体" w:cs="楷体"/>
          <w:b w:val="0"/>
          <w:bCs/>
          <w:sz w:val="32"/>
          <w:szCs w:val="32"/>
          <w:shd w:val="clear" w:color="auto" w:fill="FFFFFF"/>
          <w:lang w:val="en-US" w:eastAsia="zh-CN" w:bidi="ar-SA"/>
        </w:rPr>
        <w:t>（八）年末结转和结余：</w:t>
      </w:r>
      <w:r>
        <w:rPr>
          <w:rFonts w:hint="eastAsia" w:ascii="方正仿宋_GBK" w:hAnsi="方正仿宋_GBK" w:eastAsia="方正仿宋_GBK" w:cs="方正仿宋_GBK"/>
          <w:b w:val="0"/>
          <w:bCs/>
          <w:kern w:val="0"/>
          <w:sz w:val="32"/>
          <w:szCs w:val="32"/>
          <w:shd w:val="clear" w:fill="FFFFFF"/>
        </w:rPr>
        <w:t>指单位结转下年的基本支出结转、项目支出结转和结余、经营结余。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楷体" w:cs="楷体"/>
          <w:b w:val="0"/>
          <w:bCs/>
          <w:sz w:val="32"/>
          <w:szCs w:val="32"/>
          <w:shd w:val="clear" w:color="auto" w:fill="FFFFFF"/>
          <w:lang w:val="en-US" w:eastAsia="zh-CN" w:bidi="ar-SA"/>
        </w:rPr>
        <w:t>（九）基本支出：</w:t>
      </w:r>
      <w:r>
        <w:rPr>
          <w:rFonts w:hint="eastAsia" w:ascii="方正仿宋_GBK" w:hAnsi="方正仿宋_GBK" w:eastAsia="方正仿宋_GBK" w:cs="方正仿宋_GBK"/>
          <w:b w:val="0"/>
          <w:bCs/>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楷体" w:cs="楷体"/>
          <w:b w:val="0"/>
          <w:bCs/>
          <w:sz w:val="32"/>
          <w:szCs w:val="32"/>
          <w:shd w:val="clear" w:color="auto" w:fill="FFFFFF"/>
          <w:lang w:val="en-US" w:eastAsia="zh-CN" w:bidi="ar-SA"/>
        </w:rPr>
        <w:t>（十）项目支出：</w:t>
      </w:r>
      <w:r>
        <w:rPr>
          <w:rFonts w:hint="eastAsia" w:ascii="方正仿宋_GBK" w:hAnsi="方正仿宋_GBK" w:eastAsia="方正仿宋_GBK" w:cs="方正仿宋_GBK"/>
          <w:b w:val="0"/>
          <w:bCs/>
          <w:kern w:val="0"/>
          <w:sz w:val="32"/>
          <w:szCs w:val="32"/>
          <w:shd w:val="clear" w:fill="FFFFFF"/>
        </w:rPr>
        <w:t>指在基本支出之外为完成特定行政任务和事业发展目标所发生的支出。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楷体" w:cs="楷体"/>
          <w:b w:val="0"/>
          <w:bCs/>
          <w:sz w:val="32"/>
          <w:szCs w:val="32"/>
          <w:shd w:val="clear" w:color="auto" w:fill="FFFFFF"/>
          <w:lang w:val="en-US" w:eastAsia="zh-CN" w:bidi="ar-SA"/>
        </w:rPr>
        <w:t>（十一）经营支出：</w:t>
      </w:r>
      <w:r>
        <w:rPr>
          <w:rFonts w:hint="eastAsia" w:ascii="方正仿宋_GBK" w:hAnsi="方正仿宋_GBK" w:eastAsia="方正仿宋_GBK" w:cs="方正仿宋_GBK"/>
          <w:b w:val="0"/>
          <w:bCs/>
          <w:kern w:val="0"/>
          <w:sz w:val="32"/>
          <w:szCs w:val="32"/>
          <w:shd w:val="clear" w:fill="FFFFFF"/>
        </w:rPr>
        <w:t>指事业单位在专业业务活动及其辅助活动之外开展非独立核算经营活动发生的支出。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楷体" w:cs="楷体"/>
          <w:b w:val="0"/>
          <w:bCs/>
          <w:sz w:val="32"/>
          <w:szCs w:val="32"/>
          <w:shd w:val="clear" w:color="auto" w:fill="FFFFFF"/>
          <w:lang w:val="en-US" w:eastAsia="zh-CN" w:bidi="ar-SA"/>
        </w:rPr>
        <w:t>（十二）“三公”经费：</w:t>
      </w:r>
      <w:r>
        <w:rPr>
          <w:rFonts w:hint="eastAsia" w:ascii="方正仿宋_GBK" w:hAnsi="方正仿宋_GBK" w:eastAsia="方正仿宋_GBK" w:cs="方正仿宋_GBK"/>
          <w:b w:val="0"/>
          <w:bCs/>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楷体" w:cs="楷体"/>
          <w:b w:val="0"/>
          <w:bCs/>
          <w:sz w:val="32"/>
          <w:szCs w:val="32"/>
          <w:shd w:val="clear" w:color="auto" w:fill="FFFFFF"/>
          <w:lang w:val="en-US" w:eastAsia="zh-CN" w:bidi="ar-SA"/>
        </w:rPr>
        <w:t>（十三）机关运行经费：</w:t>
      </w:r>
      <w:r>
        <w:rPr>
          <w:rFonts w:hint="eastAsia" w:ascii="方正仿宋_GBK" w:hAnsi="方正仿宋_GBK" w:eastAsia="方正仿宋_GBK" w:cs="方正仿宋_GBK"/>
          <w:b w:val="0"/>
          <w:bCs/>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楷体" w:cs="楷体"/>
          <w:b w:val="0"/>
          <w:bCs/>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b w:val="0"/>
          <w:bCs/>
          <w:kern w:val="0"/>
          <w:sz w:val="32"/>
          <w:szCs w:val="32"/>
          <w:shd w:val="clear" w:fill="FFFFFF"/>
        </w:rPr>
        <w:t>反映单位开支的在职职工和编制外长期聘用人员的各类劳动报酬，以及为上述人员缴纳的各项社会保险费等。</w:t>
      </w:r>
    </w:p>
    <w:p>
      <w:pPr>
        <w:pStyle w:val="10"/>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楷体" w:cs="楷体"/>
          <w:b w:val="0"/>
          <w:bCs/>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b w:val="0"/>
          <w:bCs/>
          <w:kern w:val="0"/>
          <w:sz w:val="32"/>
          <w:szCs w:val="32"/>
          <w:shd w:val="clear" w:fill="FFFFFF"/>
        </w:rPr>
        <w:t>反映单位购买商品和服务的支出（不包括用于购置固定资产的支出、战略性和应急储备支出）。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楷体" w:cs="楷体"/>
          <w:b w:val="0"/>
          <w:bCs/>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b w:val="0"/>
          <w:bCs/>
          <w:kern w:val="0"/>
          <w:sz w:val="32"/>
          <w:szCs w:val="32"/>
          <w:shd w:val="clear" w:fill="FFFFFF"/>
        </w:rPr>
        <w:t>反映用于对个人和家庭的补助支出。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eastAsia" w:ascii="方正仿宋_GBK" w:hAnsi="方正仿宋_GBK" w:eastAsia="方正仿宋_GBK" w:cs="方正仿宋_GBK"/>
          <w:b w:val="0"/>
          <w:bCs/>
          <w:kern w:val="0"/>
          <w:sz w:val="32"/>
          <w:szCs w:val="32"/>
        </w:rPr>
      </w:pPr>
      <w:r>
        <w:rPr>
          <w:rStyle w:val="8"/>
          <w:rFonts w:hint="eastAsia" w:ascii="楷体" w:hAnsi="楷体" w:eastAsia="楷体" w:cs="楷体"/>
          <w:b w:val="0"/>
          <w:bCs/>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b w:val="0"/>
          <w:bCs/>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240" w:lineRule="auto"/>
        <w:ind w:firstLine="640" w:firstLineChars="200"/>
        <w:jc w:val="both"/>
        <w:textAlignment w:val="auto"/>
        <w:rPr>
          <w:rFonts w:hint="eastAsia" w:ascii="方正黑体_GBK" w:hAnsi="方正黑体_GBK" w:eastAsia="方正黑体_GBK" w:cs="方正黑体_GBK"/>
          <w:b w:val="0"/>
          <w:bCs/>
          <w:kern w:val="0"/>
          <w:sz w:val="32"/>
          <w:szCs w:val="32"/>
        </w:rPr>
      </w:pPr>
      <w:r>
        <w:rPr>
          <w:rStyle w:val="8"/>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p>
    <w:p>
      <w:pPr>
        <w:pStyle w:val="10"/>
        <w:keepNext w:val="0"/>
        <w:keepLines w:val="0"/>
        <w:pageBreakBefore w:val="0"/>
        <w:widowControl/>
        <w:kinsoku/>
        <w:wordWrap/>
        <w:overflowPunct/>
        <w:topLinePunct w:val="0"/>
        <w:autoSpaceDN/>
        <w:bidi w:val="0"/>
        <w:adjustRightInd/>
        <w:snapToGrid/>
        <w:spacing w:before="0" w:beforeAutospacing="0" w:after="0" w:afterAutospacing="0" w:line="240" w:lineRule="auto"/>
        <w:jc w:val="both"/>
        <w:textAlignment w:val="auto"/>
        <w:rPr>
          <w:rStyle w:val="8"/>
          <w:rFonts w:hint="default" w:ascii="方正仿宋_GBK" w:hAnsi="方正仿宋_GBK" w:eastAsia="方正仿宋_GBK" w:cs="方正仿宋_GBK"/>
          <w:color w:val="auto"/>
          <w:sz w:val="32"/>
          <w:szCs w:val="32"/>
          <w:shd w:val="clear" w:color="auto" w:fill="FFFF00"/>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kern w:val="0"/>
          <w:sz w:val="32"/>
          <w:szCs w:val="32"/>
          <w:shd w:val="clear" w:fill="FFFFFF"/>
        </w:rPr>
        <w:t>本单位决算公开信息反馈和联系方式</w:t>
      </w:r>
      <w:r>
        <w:rPr>
          <w:rFonts w:hint="eastAsia" w:ascii="方正仿宋_GBK" w:hAnsi="方正仿宋_GBK" w:eastAsia="方正仿宋_GBK" w:cs="方正仿宋_GBK"/>
          <w:color w:val="auto"/>
          <w:kern w:val="0"/>
          <w:sz w:val="32"/>
          <w:szCs w:val="32"/>
          <w:shd w:val="clear" w:fill="FFFFFF"/>
        </w:rPr>
        <w:t>：023-</w:t>
      </w:r>
      <w:r>
        <w:rPr>
          <w:rFonts w:hint="eastAsia" w:ascii="方正仿宋_GBK" w:hAnsi="方正仿宋_GBK" w:eastAsia="方正仿宋_GBK" w:cs="方正仿宋_GBK"/>
          <w:color w:val="auto"/>
          <w:kern w:val="0"/>
          <w:sz w:val="32"/>
          <w:szCs w:val="32"/>
          <w:shd w:val="clear" w:fill="FFFFFF"/>
          <w:lang w:val="en-US" w:eastAsia="zh-CN"/>
        </w:rPr>
        <w:t>51527587</w:t>
      </w:r>
    </w:p>
    <w:p>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p>
    <w:tbl>
      <w:tblPr>
        <w:tblStyle w:val="6"/>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巫溪县市场监督管理局</w:t>
            </w: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3,227.53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2,438.36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484.88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130.22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174.08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3,227.53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3,227.53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3,227.53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3,227.53</w:t>
            </w:r>
          </w:p>
        </w:tc>
      </w:tr>
    </w:tbl>
    <w:p>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u w:color="auto"/>
              </w:rPr>
              <w:t>巫溪县市场监督管理局</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3,227.53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3,227.53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2,438.36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2,438.36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20138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市场监督管理事务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2,438.36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2,438.36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2013801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1,704.20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1,704.20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2013804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市场主体管理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167.40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167.40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2013805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市场秩序执法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83.50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83.50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2013810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质量基础</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2013812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药品事务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2013814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化妆品事务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2013816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食品安全监管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234.50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234.50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2013850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55.26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55.26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2013899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其他市场监督管理事务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484.88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484.88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482.91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482.91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152.07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152.07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209.67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209.67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121.16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121.16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130.22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130.22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130.22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130.22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127.13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127.13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174.08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174.08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174.08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174.08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174.08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174.08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 xml:space="preserve">巫溪县市场监督管理局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3,227.53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2,666.63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560.90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2,438.36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1,877.46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560.90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20138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市场监督管理事务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2,438.36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1,877.46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560.90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2013801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1,704.20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1,704.20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2013804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市场主体管理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167.40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167.40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2013805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市场秩序执法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83.50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83.50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2013810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质量基础</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2013812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药品事务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2013814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化妆品事务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2013816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食品安全监管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234.50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116.50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2013850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55.26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55.26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2013899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其他市场监督管理事务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484.88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484.88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482.91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482.91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152.07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152.07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209.67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209.67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121.16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121.16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130.22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130.22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130.22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130.22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127.13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127.13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174.08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174.08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174.08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174.08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174.08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174.08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巫溪县市场监督管理局</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3,227.53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2,438.36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2,438.36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484.88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484.88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130.22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130.22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174.08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174.08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3,227.53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3,227.53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3,227.53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3,227.53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3,227.53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3,227.53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巫溪县市场监督管理局</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3,227.53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2,666.63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560.90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3,227.53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2,666.63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560.90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2,438.36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1,877.46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560.90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2,438.36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1,877.46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560.90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20138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市场监督管理事务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2,438.36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1,877.46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560.90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2,438.36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1,877.46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560.90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2013801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1,704.20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1,704.20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1,704.20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1,704.20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2013804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市场主体管理</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167.40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167.40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167.40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167.40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市场秩序执法</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83.50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83.50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83.50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83.50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2013810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质量基础</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2013812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药品事务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32.50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32.50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32.50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32.50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2013814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化妆品事务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2013816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食品安全监管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234.50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118.00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116.50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234.50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118.00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116.50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2013850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55.26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55.26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55.26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55.26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2013899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其他市场监督管理事务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154.00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154.00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154.00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154.00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484.88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484.88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484.88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484.88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482.91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482.91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482.91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482.91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152.07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152.07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152.07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152.07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209.67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209.67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209.67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209.67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121.16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121.16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121.16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121.16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130.22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130.22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130.22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130.22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130.22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130.22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130.22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130.22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127.13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127.13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127.13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127.13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174.08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174.08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174.08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174.08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174.08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174.08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174.08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174.08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174.08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174.08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174.08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174.08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巫溪县市场监督管理局</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2,006.05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388.54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453.68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56.47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367.64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504.83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2.33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0.27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26.90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209.67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2.66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121.16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4.78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130.22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18.10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6.59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174.08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11.28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0.90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272.04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0.41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0.59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0.48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269.07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55.76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11.80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63.00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90.30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75.88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2,278.09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388.54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巫溪县市场监督管理局</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lang w:val="en-US" w:eastAsia="zh-CN"/>
        </w:rPr>
      </w:pPr>
      <w:r>
        <w:rPr>
          <w:rFonts w:cs="宋体"/>
          <w:sz w:val="20"/>
          <w:szCs w:val="20"/>
        </w:rPr>
        <w:t>本</w:t>
      </w:r>
      <w:r>
        <w:rPr>
          <w:rFonts w:hint="eastAsia" w:cs="宋体"/>
          <w:sz w:val="20"/>
          <w:szCs w:val="20"/>
          <w:lang w:eastAsia="zh-CN"/>
        </w:rPr>
        <w:t>年</w:t>
      </w:r>
      <w:r>
        <w:rPr>
          <w:rFonts w:cs="宋体"/>
          <w:sz w:val="20"/>
          <w:szCs w:val="20"/>
        </w:rPr>
        <w:t>无政府性基金收支，故本表无数据。</w:t>
      </w:r>
      <w:r>
        <w:rPr>
          <w:rFonts w:hint="eastAsia" w:ascii="宋体" w:hAnsi="宋体" w:eastAsia="宋体" w:cs="宋体"/>
          <w:sz w:val="21"/>
          <w:szCs w:val="21"/>
          <w:lang w:val="en-US" w:eastAsia="zh-CN"/>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巫溪县市场监督管理局</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cs="宋体"/>
          <w:sz w:val="20"/>
          <w:szCs w:val="20"/>
        </w:rPr>
        <w:t>本</w:t>
      </w:r>
      <w:r>
        <w:rPr>
          <w:rFonts w:hint="eastAsia" w:cs="宋体"/>
          <w:sz w:val="20"/>
          <w:szCs w:val="20"/>
          <w:lang w:eastAsia="zh-CN"/>
        </w:rPr>
        <w:t>年无国有资本经营预算财政拨款</w:t>
      </w:r>
      <w:r>
        <w:rPr>
          <w:rFonts w:cs="宋体"/>
          <w:sz w:val="20"/>
          <w:szCs w:val="20"/>
        </w:rPr>
        <w:t>收支，故本表无数据。</w:t>
      </w:r>
    </w:p>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巫溪县市场监督管理局</w:t>
            </w: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379.54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64.12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379.54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63.00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63.00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1.12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1.12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18</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15</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65</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0.41</w:t>
            </w:r>
          </w:p>
        </w:tc>
        <w:tc>
          <w:tcPr>
            <w:tcW w:w="5416"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19.99</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29.15</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9"/>
        <w:autoSpaceDE w:val="0"/>
        <w:ind w:firstLine="0" w:firstLineChars="0"/>
        <w:rPr>
          <w:rFonts w:hint="default" w:ascii="宋体" w:hAnsi="宋体" w:eastAsia="宋体" w:cs="宋体"/>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2"/>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6247E33"/>
    <w:rsid w:val="06A2550B"/>
    <w:rsid w:val="06F80EE2"/>
    <w:rsid w:val="07001CCA"/>
    <w:rsid w:val="075321D2"/>
    <w:rsid w:val="075678DB"/>
    <w:rsid w:val="07932335"/>
    <w:rsid w:val="08051BCA"/>
    <w:rsid w:val="080A21BB"/>
    <w:rsid w:val="0817778D"/>
    <w:rsid w:val="08BA052C"/>
    <w:rsid w:val="08DB07BA"/>
    <w:rsid w:val="098305D0"/>
    <w:rsid w:val="09B72B6E"/>
    <w:rsid w:val="0A0C7F04"/>
    <w:rsid w:val="0A227275"/>
    <w:rsid w:val="0A5C4B69"/>
    <w:rsid w:val="0A892BC4"/>
    <w:rsid w:val="0B9335CE"/>
    <w:rsid w:val="0BA10C97"/>
    <w:rsid w:val="0C554661"/>
    <w:rsid w:val="0C7927C4"/>
    <w:rsid w:val="0C9B098C"/>
    <w:rsid w:val="0CE80A8F"/>
    <w:rsid w:val="0D472B48"/>
    <w:rsid w:val="0D673E11"/>
    <w:rsid w:val="0D96559A"/>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5E50ECA"/>
    <w:rsid w:val="16D80EBF"/>
    <w:rsid w:val="16FE3FF2"/>
    <w:rsid w:val="175C6F6A"/>
    <w:rsid w:val="178C4B7B"/>
    <w:rsid w:val="180558EB"/>
    <w:rsid w:val="189B0D0B"/>
    <w:rsid w:val="18E03A42"/>
    <w:rsid w:val="19313430"/>
    <w:rsid w:val="194A1770"/>
    <w:rsid w:val="1990114D"/>
    <w:rsid w:val="19B906A4"/>
    <w:rsid w:val="19B94B48"/>
    <w:rsid w:val="19BC4734"/>
    <w:rsid w:val="1A1F744B"/>
    <w:rsid w:val="1AB10093"/>
    <w:rsid w:val="1B501DE7"/>
    <w:rsid w:val="1B6F15B6"/>
    <w:rsid w:val="1BAA2EDC"/>
    <w:rsid w:val="1CE157EE"/>
    <w:rsid w:val="1D014A01"/>
    <w:rsid w:val="1D022362"/>
    <w:rsid w:val="1D091B60"/>
    <w:rsid w:val="1D175E0D"/>
    <w:rsid w:val="1D794AE5"/>
    <w:rsid w:val="1DD26311"/>
    <w:rsid w:val="1DE57DAF"/>
    <w:rsid w:val="1EF67CA4"/>
    <w:rsid w:val="1F213FD9"/>
    <w:rsid w:val="1FCD26AF"/>
    <w:rsid w:val="20642787"/>
    <w:rsid w:val="20C83310"/>
    <w:rsid w:val="20EC77A3"/>
    <w:rsid w:val="21556F04"/>
    <w:rsid w:val="22403BD3"/>
    <w:rsid w:val="24A27A63"/>
    <w:rsid w:val="24B92327"/>
    <w:rsid w:val="2533755C"/>
    <w:rsid w:val="26396DF4"/>
    <w:rsid w:val="266B763B"/>
    <w:rsid w:val="2681079B"/>
    <w:rsid w:val="26B66402"/>
    <w:rsid w:val="27167136"/>
    <w:rsid w:val="27B23302"/>
    <w:rsid w:val="27D424D7"/>
    <w:rsid w:val="285722C3"/>
    <w:rsid w:val="28DC1FF8"/>
    <w:rsid w:val="29310A5F"/>
    <w:rsid w:val="29C37A35"/>
    <w:rsid w:val="2A076083"/>
    <w:rsid w:val="2A306CA5"/>
    <w:rsid w:val="2A37267A"/>
    <w:rsid w:val="2A73162E"/>
    <w:rsid w:val="2AFA2E94"/>
    <w:rsid w:val="2B167953"/>
    <w:rsid w:val="2B200583"/>
    <w:rsid w:val="2B8209DE"/>
    <w:rsid w:val="2C6762A3"/>
    <w:rsid w:val="2CDA0C05"/>
    <w:rsid w:val="2D5F4C37"/>
    <w:rsid w:val="2FE029D7"/>
    <w:rsid w:val="2FF06E00"/>
    <w:rsid w:val="315F0B22"/>
    <w:rsid w:val="31BE24D6"/>
    <w:rsid w:val="31D84415"/>
    <w:rsid w:val="32285F6F"/>
    <w:rsid w:val="32770556"/>
    <w:rsid w:val="329C0913"/>
    <w:rsid w:val="3337290D"/>
    <w:rsid w:val="33727DEA"/>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EDE14CD"/>
    <w:rsid w:val="3F0527E5"/>
    <w:rsid w:val="3F16459E"/>
    <w:rsid w:val="3F4A6687"/>
    <w:rsid w:val="4004000C"/>
    <w:rsid w:val="411B6CE5"/>
    <w:rsid w:val="412070D7"/>
    <w:rsid w:val="41314E40"/>
    <w:rsid w:val="415C674B"/>
    <w:rsid w:val="42507548"/>
    <w:rsid w:val="426C1EA8"/>
    <w:rsid w:val="42E86A87"/>
    <w:rsid w:val="43136432"/>
    <w:rsid w:val="43206370"/>
    <w:rsid w:val="443A3B12"/>
    <w:rsid w:val="44487B36"/>
    <w:rsid w:val="44EF6BE8"/>
    <w:rsid w:val="45196EE6"/>
    <w:rsid w:val="45344EFF"/>
    <w:rsid w:val="45A30364"/>
    <w:rsid w:val="465B295F"/>
    <w:rsid w:val="465B470D"/>
    <w:rsid w:val="469D6AD4"/>
    <w:rsid w:val="47674801"/>
    <w:rsid w:val="47CF5B51"/>
    <w:rsid w:val="48225EF7"/>
    <w:rsid w:val="48A36D47"/>
    <w:rsid w:val="49334299"/>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A564DD"/>
    <w:rsid w:val="56EE372E"/>
    <w:rsid w:val="5842572D"/>
    <w:rsid w:val="598A28E2"/>
    <w:rsid w:val="5C1336B7"/>
    <w:rsid w:val="5C263CE4"/>
    <w:rsid w:val="5C5D2777"/>
    <w:rsid w:val="5C722D7F"/>
    <w:rsid w:val="5D290C69"/>
    <w:rsid w:val="5EFA176D"/>
    <w:rsid w:val="5F0247F9"/>
    <w:rsid w:val="5F2D4A41"/>
    <w:rsid w:val="5F7851AF"/>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9E6224"/>
    <w:rsid w:val="66EE5541"/>
    <w:rsid w:val="67086152"/>
    <w:rsid w:val="687E45FE"/>
    <w:rsid w:val="692172FD"/>
    <w:rsid w:val="6A294057"/>
    <w:rsid w:val="6A3829EE"/>
    <w:rsid w:val="6A924CB7"/>
    <w:rsid w:val="6AE0292E"/>
    <w:rsid w:val="6B474EF5"/>
    <w:rsid w:val="6BC27679"/>
    <w:rsid w:val="6BC54EFE"/>
    <w:rsid w:val="6C560CAE"/>
    <w:rsid w:val="6CD15296"/>
    <w:rsid w:val="6D903FF5"/>
    <w:rsid w:val="6DA955B8"/>
    <w:rsid w:val="6DE346AB"/>
    <w:rsid w:val="6EC06727"/>
    <w:rsid w:val="6FFB2E76"/>
    <w:rsid w:val="70AB70D6"/>
    <w:rsid w:val="70DE5507"/>
    <w:rsid w:val="718C12E2"/>
    <w:rsid w:val="71C34D91"/>
    <w:rsid w:val="71ED38AA"/>
    <w:rsid w:val="72DB435C"/>
    <w:rsid w:val="74ED1B1B"/>
    <w:rsid w:val="750837F0"/>
    <w:rsid w:val="762A73EF"/>
    <w:rsid w:val="7631412E"/>
    <w:rsid w:val="764A782F"/>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BE2197F"/>
    <w:rsid w:val="7C1E4CD7"/>
    <w:rsid w:val="7C3A7C0B"/>
    <w:rsid w:val="7C5248E4"/>
    <w:rsid w:val="7C566698"/>
    <w:rsid w:val="7C694787"/>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5462</Words>
  <Characters>6044</Characters>
  <Lines>161</Lines>
  <Paragraphs>45</Paragraphs>
  <TotalTime>15</TotalTime>
  <ScaleCrop>false</ScaleCrop>
  <LinksUpToDate>false</LinksUpToDate>
  <CharactersWithSpaces>6057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巫溪县市场监管局</cp:lastModifiedBy>
  <dcterms:modified xsi:type="dcterms:W3CDTF">2026-03-27T01:53:12Z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BB46EABDBB2749749395447164B066B3_12</vt:lpwstr>
  </property>
  <property fmtid="{D5CDD505-2E9C-101B-9397-08002B2CF9AE}" pid="4" name="KSOTemplateDocerSaveRecord">
    <vt:lpwstr>eyJoZGlkIjoiY2M5MWZhNDMyMTgzOGVjYjdmYjkxMTg0MDM3YjNlYmYiLCJ1c2VySWQiOiIxNjQ4MzYyNDIwIn0=</vt:lpwstr>
  </property>
</Properties>
</file>