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bookmarkEnd w:id="0"/>
    <w:tbl>
      <w:tblPr>
        <w:tblStyle w:val="6"/>
        <w:tblpPr w:leftFromText="180" w:rightFromText="180" w:vertAnchor="text" w:horzAnchor="page" w:tblpXSpec="center" w:tblpY="704"/>
        <w:tblOverlap w:val="never"/>
        <w:tblW w:w="8860" w:type="dxa"/>
        <w:jc w:val="center"/>
        <w:tblInd w:w="-7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632"/>
        <w:gridCol w:w="678"/>
        <w:gridCol w:w="945"/>
        <w:gridCol w:w="1026"/>
        <w:gridCol w:w="993"/>
        <w:gridCol w:w="865"/>
        <w:gridCol w:w="700"/>
        <w:gridCol w:w="715"/>
        <w:gridCol w:w="19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项目资金绩效目标自评表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（2019年度）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专项（项目）名称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普法宣传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自评总分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陶慧霖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巫溪县司法局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023-51889887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6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执行率（B/A,%)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执行率得分（10分）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6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其中：财政资金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其中：财政资金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全年目标实际完成情况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1.全面完成“七五”普法规划的年度普法目标；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2.开展民主法治示范村（社区）创建活动；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3.扩建巫溪县法治主题公园，打造法治小区、法治文化长廊等；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4.开展全民参与的法治宣传活动：普法宣传、法治咨询、普法考试、法治课堂、法律知识竞赛、法治文化作品、法治专栏等。             5.开展涉法文件审查；审查政府规范性文件、清理、废止行政规范性文件；评查行政执法案卷、审核发放执法证、依法注销过期证件、举办执法考试、征集优秀行政执法案例；办理行政复议案件、指导县级部门行政应诉；制发法治政府建设工作要点并评估完成情况、健全规范性文件管理体系；参与协调处理维稳案件。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1.全面完成“七五”普法规划的年度普法目标；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2.开展民主法治示范村（社区）创建活动；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3.扩建巫溪县法治主题公园，打造法治小区、法治文化长廊等；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4.开展全民参与的法治宣传活动：普法宣传、法治咨询、普法考试、法治课堂、法律知识竞赛、法治文化作品、法治专栏等。                                      5.开展涉法文件审查；审查政府规范性文件、清理、废止行政规范性文件；评查行政执法案卷、审核发放执法证、依法注销过期证件、举办执法考试、征集优秀行政执法案例；办理行政复议案件、指导县级部门行政应诉；制发法治政府建设工作要点并评估完成情况、健全规范性文件管理体系；参与协调处理维稳案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完成比例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指标得分（分）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未完成原因和改进措施及相关说明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产出指标（45）分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数量指标（43）分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组织实施新提任领导干部法治理论知识考试人次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组织当年所有应参加人员参考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组织参加2019年度普法考试人次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组织参加2019年度普法考试合格率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组织在县人民法院行政审判庭旁听庭审人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为中小学校聘请专职法治副校长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积极开展法律法规服务进村、培养法律明白人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积极开展对该项活动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充实法律图书室图书册数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开展农村“两委”干部法治培训人次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开展农民工法治宣传场次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开展“法律进乡村”活动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开展服务乡村振兴普法宣传活动场次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至少有一块固定普法宣传专栏的村（居）数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建成法治小区数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各网格小区设立法治宣传专栏数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收集整理普法案例数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免费发放普法宣传读本及资料数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开展涉法文件审查件数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凡送审文件均按流程审查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审查政府规范性文件数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凡送审文件均按流程审查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通过清理，废止现行的规范性文件数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凡送审文件均按流程审查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开展行政处罚案卷评查，评查案卷数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凡送审案卷件均按流程评查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审核发放执法证件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应审尽审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依法注销过期执法证件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应审尽审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举办执法考试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按报名人数分批次进行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351790</wp:posOffset>
                      </wp:positionV>
                      <wp:extent cx="136207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7.9pt;margin-top:27.7pt;height:0.05pt;width:107.25pt;z-index:251658240;mso-width-relative:page;mso-height-relative:page;" filled="f" stroked="t" coordsize="21600,21600" o:gfxdata="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F3fLzXAAAACAEAAA8AAAAAAAAAAQAgAAAAIgAAAGRy&#10;cy9kb3ducmV2LnhtbFBLAQIUABQAAAAIAIdO4kBXkHRgzQEAAI8DAAAOAAAAAAAAAAEAIAAAACYB&#10;AABkcnMvZTJvRG9jLnhtbFBLBQYAAAAABgAGAFkBAABl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办理行政复议案件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357505</wp:posOffset>
                      </wp:positionV>
                      <wp:extent cx="647700" cy="635"/>
                      <wp:effectExtent l="0" t="0" r="0" b="0"/>
                      <wp:wrapNone/>
                      <wp:docPr id="3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87.85pt;margin-top:28.15pt;height:0.05pt;width:51pt;z-index:251660288;mso-width-relative:page;mso-height-relative:page;" filled="f" stroked="t" coordsize="21600,21600" o:gfxdata="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hvXq9YAAAAJAQAADwAAAAAAAAABACAAAAAiAAAAZHJz&#10;L2Rvd25yZXYueG1sUEsBAhQAFAAAAAgAh07iQD93i4DNAQAAjgMAAA4AAAAAAAAAAQAgAAAAJQEA&#10;AGRycy9lMm9Eb2MueG1sUEsFBgAAAAAGAAYAWQEAAGQ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凡产生案</w: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1695450" cy="635"/>
                      <wp:effectExtent l="0" t="0" r="0" b="0"/>
                      <wp:wrapNone/>
                      <wp:docPr id="2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0pt;margin-top:-0.7pt;height:0.05pt;width:133.5pt;z-index:251659264;mso-width-relative:page;mso-height-relative:page;" filled="f" stroked="t" coordsize="21600,21600" o:gfxdata="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pMWK1AAAAAYBAAAPAAAAAAAAAAEAIAAAACIAAABkcnMv&#10;ZG93bnJldi54bWxQSwECFAAUAAAACACHTuJA1AXBYs4BAACPAwAADgAAAAAAAAABACAAAAAjAQAA&#10;ZHJzL2Uyb0RvYy54bWxQSwUGAAAAAAYABgBZAQAAYw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件均按流程办理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指导相关县级部门行政应诉案件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凡产生案件均按流程办理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协助政府制定下发我县2019年法治政府建设工作要点并评估完成情况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按要求协助完成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健全规范性文件管理制度体系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按要求建立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调研县级综合行政执法支队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开展调研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质量指标（2）分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全面落实构建“谁执法谁普法”普法格局的实施方案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效益指标（35）分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社会效益指标（35）分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严格要求法律进课堂活动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在中小学校开展演练活动宣传远离毒品、反邪教、预防未成年人犯罪等有关知识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利用校园广播、板报、橱窗等载体开展校园法治宣传教育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普法讲师团与司法所联合“先普法后调解、先调解后诉讼”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按要求建立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已建立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打造巫溪法治文化主题公园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打造法治文化长廊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建立以案释法宣讲宣传机制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按要求建立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已建立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丰富以案释法宣讲宣传形式，开设“法治讲坛”栏目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三月法治宣传月参与人次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“我与宪法”微视频征集活动征集数量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为群众提供免费法律咨询人次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凡前来咨询者，均悉心解答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参与协调处理重大维稳案件及敏感涉法事务次数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应协调案件均按流程办理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征集全县行政执法优秀典型案例数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满意度指标（10）分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服务对象满意度（10）分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群众对法律咨询服务的满意度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85%以上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群众对法治宣传活动的认可度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“优”等次90%以上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3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56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1572"/>
    <w:rsid w:val="414E15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2020-09-21T06:52:00Z</dcterms:created>
  <dc:creator>司法局</dc:creator>
  <cp:lastModifiedBy>司法局</cp:lastModifiedBy>
  <dcterms:modified xsi:type="dcterms:W3CDTF">2020-09-21T06:53:24Z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