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bookmarkEnd w:id="0"/>
    <w:tbl>
      <w:tblPr>
        <w:tblStyle w:val="6"/>
        <w:tblpPr w:leftFromText="180" w:rightFromText="180" w:vertAnchor="text" w:horzAnchor="page" w:tblpXSpec="center" w:tblpY="704"/>
        <w:tblOverlap w:val="never"/>
        <w:tblW w:w="8860" w:type="dxa"/>
        <w:jc w:val="center"/>
        <w:tblInd w:w="-7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632"/>
        <w:gridCol w:w="678"/>
        <w:gridCol w:w="945"/>
        <w:gridCol w:w="1026"/>
        <w:gridCol w:w="993"/>
        <w:gridCol w:w="865"/>
        <w:gridCol w:w="700"/>
        <w:gridCol w:w="715"/>
        <w:gridCol w:w="19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8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项目资金绩效目标自评表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88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（2019年度）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专项（项目）名称</w:t>
            </w: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普法宣传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自评总分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陶慧霖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6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9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巫溪县司法局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023-51889887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66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项目资金（万元）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执行率（B/A,%)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执行率得分（10分）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6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总量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66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43.12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其中：财政资金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2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4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全年目标实际完成情况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0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1.全面完成“七五”普法规划的年度普法目标；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2.开展民主法治示范村（社区）创建活动；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3.扩建巫溪县法治主题公园，打造法治小区、法治文化长廊等；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4.开展全民参与的法治宣传活动：普法宣传、法治咨询、普法考试、法治课堂、法律知识竞赛、法治文化作品、法治专栏等。             5.开展涉法文件审查；审查政府规范性文件、清理、废止行政规范性文件；评查行政执法案卷、审核发放执法证、依法注销过期证件、举办执法考试、征集优秀行政执法案例；办理行政复议案件、指导县级部门行政应诉；制发法治政府建设工作要点并评估完成情况、健全规范性文件管理体系；参与协调处理维稳案件。</w:t>
            </w:r>
          </w:p>
        </w:tc>
        <w:tc>
          <w:tcPr>
            <w:tcW w:w="42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1.全面完成“七五”普法规划的年度普法目标；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2.开展民主法治示范村（社区）创建活动；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3.扩建巫溪县法治主题公园，打造法治小区、法治文化长廊等；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4.开展全民参与的法治宣传活动：普法宣传、法治咨询、普法考试、法治课堂、法律知识竞赛、法治文化作品、法治专栏等。                                      5.开展涉法文件审查；审查政府规范性文件、清理、废止行政规范性文件；评查行政执法案卷、审核发放执法证、依法注销过期证件、举办执法考试、征集优秀行政执法案例；办理行政复议案件、指导县级部门行政应诉；制发法治政府建设工作要点并评估完成情况、健全规范性文件管理体系；参与协调处理维稳案件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3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32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完成比例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指标得分（分）</w:t>
            </w:r>
          </w:p>
        </w:tc>
        <w:tc>
          <w:tcPr>
            <w:tcW w:w="1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未完成原因和改进措施及相关说明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产出指标（45）分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数量指标（43）分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组织实施新提任领导干部法治理论知识考试人次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组织当年所有应参加人员参考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组织参加2019年度普法考试人次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组织参加2019年度普法考试合格率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20"/>
                <w:kern w:val="0"/>
                <w:sz w:val="20"/>
                <w:szCs w:val="20"/>
                <w:u w:val="none"/>
                <w:lang w:val="en-US" w:eastAsia="zh-CN" w:bidi="ar"/>
              </w:rPr>
              <w:t>组织在县人民法院行政审判庭旁听庭审人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为中小学校聘请专职法治副校长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积极开展法律法规服务进村、培养法律明白人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积极开展对该项活动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充实法律图书室图书册数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开展农村“两委”干部法治培训人次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开展农民工法治宣传场次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开展“法律进乡村”活动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开展服务乡村振兴普法宣传活动场次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至少有一块固定普法宣传专栏的村（居）数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建成法治小区数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各网格小区设立法治宣传专栏数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收集整理普法案例数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免费发放普法宣传读本及资料数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开展涉法文件审查件数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凡送审文件均按流程审查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审查政府规范性文件数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凡送审文件均按流程审查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通过清理，废止现行的规范性文件数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凡送审文件均按流程审查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开展行政处罚案卷评查，评查案卷数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凡送审案卷件均按流程评查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审核发放执法证件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应审尽审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依法注销过期执法证件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应审尽审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举办执法考试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按报名人数分批次进行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351790</wp:posOffset>
                      </wp:positionV>
                      <wp:extent cx="1362075" cy="635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37.9pt;margin-top:27.7pt;height:0.05pt;width:107.25pt;z-index:251658240;mso-width-relative:page;mso-height-relative:page;" filled="f" stroked="t" coordsize="21600,21600" o:gfxdata="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F3fLzXAAAACAEAAA8AAAAAAAAAAQAgAAAAIgAAAGRy&#10;cy9kb3ducmV2LnhtbFBLAQIUABQAAAAIAIdO4kBXkHRgzQEAAI8DAAAOAAAAAAAAAAEAIAAAACYB&#10;AABkcnMvZTJvRG9jLnhtbFBLBQYAAAAABgAGAFkBAABlBQAAAAA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办理行政复议案件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357505</wp:posOffset>
                      </wp:positionV>
                      <wp:extent cx="647700" cy="635"/>
                      <wp:effectExtent l="0" t="0" r="0" b="0"/>
                      <wp:wrapNone/>
                      <wp:docPr id="3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87.85pt;margin-top:28.15pt;height:0.05pt;width:51pt;z-index:251660288;mso-width-relative:page;mso-height-relative:page;" filled="f" stroked="t" coordsize="21600,21600" o:gfxdata="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hvXq9YAAAAJAQAADwAAAAAAAAABACAAAAAiAAAAZHJz&#10;L2Rvd25yZXYueG1sUEsBAhQAFAAAAAgAh07iQD93i4DNAQAAjgMAAA4AAAAAAAAAAQAgAAAAJQEA&#10;AGRycy9lMm9Eb2MueG1sUEsFBgAAAAAGAAYAWQEAAGQF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凡产生案</w: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-8890</wp:posOffset>
                      </wp:positionV>
                      <wp:extent cx="1695450" cy="635"/>
                      <wp:effectExtent l="0" t="0" r="0" b="0"/>
                      <wp:wrapNone/>
                      <wp:docPr id="2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6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0pt;margin-top:-0.7pt;height:0.05pt;width:133.5pt;z-index:251659264;mso-width-relative:page;mso-height-relative:page;" filled="f" stroked="t" coordsize="21600,21600" o:gfxdata="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BpMWK1AAAAAYBAAAPAAAAAAAAAAEAIAAAACIAAABkcnMv&#10;ZG93bnJldi54bWxQSwECFAAUAAAACACHTuJA1AXBYs4BAACPAwAADgAAAAAAAAABACAAAAAjAQAA&#10;ZHJzL2Uyb0RvYy54bWxQSwUGAAAAAAYABgBZAQAAYwUAAAAA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件均按流程办理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指导相关县级部门行政应诉案件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凡产生案件均按流程办理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协助政府制定下发我县2019年法治政府建设工作要点并评估完成情况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按要求协助完成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健全规范性文件管理制度体系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按要求建立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调研县级综合行政执法支队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开展调研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质量指标（2）分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全面落实构建“谁执法谁普法”普法格局的实施方案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效益指标（35）分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社会效益指标（35）分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严格要求法律进课堂活动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在中小学校开展演练活动宣传远离毒品、反邪教、预防未成年人犯罪等有关知识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利用校园广播、板报、橱窗等载体开展校园法治宣传教育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普法讲师团与司法所联合“先普法后调解、先调解后诉讼”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按要求建立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已建立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打造巫溪法治文化主题公园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打造法治文化长廊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建立以案释法宣讲宣传机制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按要求建立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已建立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丰富以案释法宣讲宣传形式，开设“法治讲坛”栏目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三月法治宣传月参与人次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“我与宪法”微视频征集活动征集数量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为群众提供免费法律咨询人次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凡前来咨询者，均悉心解答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参与协调处理重大维稳案件及敏感涉法事务次数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应协调案件均按流程办理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征集全县行政执法优秀典型案例数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满意度指标（10）分</w:t>
            </w:r>
          </w:p>
        </w:tc>
        <w:tc>
          <w:tcPr>
            <w:tcW w:w="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服务对象满意度（10）分</w:t>
            </w: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群众对法律咨询服务的满意度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3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群众对法治宣传活动的认可度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“优”等次90%以上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3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63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6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1563"/>
        <w:tab w:val="clear" w:pos="4153"/>
      </w:tabs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s&#10;9JdTtwEAAFQDAAAOAAAAAAAAAAEAIAAAAB4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E1572"/>
    <w:rsid w:val="414E15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widowControl/>
      <w:adjustRightInd w:val="0"/>
      <w:snapToGrid w:val="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3">
    <w:name w:val="toc 5"/>
    <w:basedOn w:val="1"/>
    <w:next w:val="1"/>
    <w:uiPriority w:val="0"/>
    <w:pPr>
      <w:ind w:left="1680" w:leftChars="8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2020-09-21T06:52:00Z</dcterms:created>
  <dc:creator>司法局</dc:creator>
  <cp:lastModifiedBy>司法局</cp:lastModifiedBy>
  <dcterms:modified xsi:type="dcterms:W3CDTF">2020-09-21T06:53:24Z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