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p>
    <w:p>
      <w:pPr>
        <w:pStyle w:val="5"/>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巫溪县商务委员会</w:t>
      </w:r>
    </w:p>
    <w:p>
      <w:pPr>
        <w:pStyle w:val="5"/>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outlineLvl w:val="9"/>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720" w:firstLineChars="200"/>
        <w:jc w:val="center"/>
        <w:textAlignment w:val="auto"/>
        <w:outlineLvl w:val="9"/>
        <w:rPr>
          <w:rFonts w:hint="default" w:ascii="Times New Roman" w:hAnsi="Times New Roman" w:eastAsia="方正小标宋_GBK" w:cs="Times New Roman"/>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7"/>
          <w:rFonts w:hint="default" w:ascii="Times New Roman" w:hAnsi="Times New Roman" w:eastAsia="方正黑体_GBK" w:cs="Times New Roman"/>
          <w:b w:val="0"/>
          <w:bCs/>
          <w:sz w:val="32"/>
          <w:szCs w:val="32"/>
          <w:shd w:val="clear" w:color="auto" w:fill="FFFFFF"/>
        </w:rPr>
      </w:pPr>
      <w:r>
        <w:rPr>
          <w:rStyle w:val="7"/>
          <w:rFonts w:hint="default" w:ascii="Times New Roman" w:hAnsi="Times New Roman" w:eastAsia="方正黑体_GBK" w:cs="Times New Roman"/>
          <w:b w:val="0"/>
          <w:bCs/>
          <w:sz w:val="32"/>
          <w:szCs w:val="32"/>
          <w:shd w:val="clear" w:color="auto" w:fill="FFFFFF"/>
        </w:rPr>
        <w:t>一、</w:t>
      </w:r>
      <w:r>
        <w:rPr>
          <w:rStyle w:val="7"/>
          <w:rFonts w:hint="default" w:ascii="Times New Roman" w:hAnsi="Times New Roman" w:eastAsia="方正黑体_GBK" w:cs="Times New Roman"/>
          <w:b w:val="0"/>
          <w:bCs/>
          <w:sz w:val="32"/>
          <w:szCs w:val="32"/>
          <w:shd w:val="clear" w:color="auto" w:fill="FFFFFF"/>
          <w:lang w:eastAsia="zh-CN"/>
        </w:rPr>
        <w:t>部门</w:t>
      </w:r>
      <w:r>
        <w:rPr>
          <w:rStyle w:val="7"/>
          <w:rFonts w:hint="default" w:ascii="Times New Roman" w:hAnsi="Times New Roman" w:eastAsia="方正黑体_GBK" w:cs="Times New Roman"/>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Fonts w:hint="default" w:ascii="Times New Roman" w:hAnsi="Times New Roman" w:eastAsia="方正楷体_GBK" w:cs="Times New Roman"/>
          <w:b w:val="0"/>
          <w:bCs/>
          <w:sz w:val="32"/>
          <w:szCs w:val="32"/>
        </w:rPr>
      </w:pPr>
      <w:r>
        <w:rPr>
          <w:rStyle w:val="7"/>
          <w:rFonts w:hint="default" w:ascii="Times New Roman" w:hAnsi="Times New Roman" w:eastAsia="方正楷体_GBK" w:cs="Times New Roman"/>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（1）贯彻执行国家、市国内外贸易、外商投资和国际经济合作的法律、法规、规章和方针政策，提出全县商贸领域发展的政策建议，拟订全县商贸领域的发展规划、年度计划并组织实施。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（2）负责统筹进出口工作，指导企业开展对外合作交流，推动企业开拓多元化国际市场。组织指导对外贸易促进体系建设和对外贸易促进活动，推进出口基地建设。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（3）依法监督、检查外商投资企业执行有关法律法规情况.负责提供政策咨询、投诉协调等协调性服务工作。负责外商投资统计，办理商务领域有关涉外事务。</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（4）组织全县企业参与国际经济合作，推进全县企业国际产能合作。对全县公民出境就业进行管理，负责赴境外就业人员权益保护工作，管理全县实施的国家对外援助业务。</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（5）负责指导商贸服务业发展，拟订商贸服务业发展规划并组织实施。负责“老字号”发展与保护工作，指导商贸行业协会开展工作，指导商贸行业技能技术培训工作。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6）指导商圈、商品市场等商业设施建设管理，指导大宗产品批发市场规划和城市商业网点规划、商业业态调整、商业体系建设。负责大中小微商贸企业的培育。承担批发零售业行业管理工作，推进农村市场和农产品流通体系建设，负责农商对接等农产品产销对接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（7）落实规范流通秩序的政策措施，负责重点行业和重要商品的行政执法、商务举报投诉受理。负责推动商贸领域信用建设和优质服务工作。负责重要产品追溯体系建设。参与打击商业 欺诈等工作。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（8）贯彻执行国家、市有关口岸、物流工作的法律、法规、规章和方针政策牵头负责全县口岸和物流发展、运营工作，做好与市政府口岸物流办的衔接工作。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（9）负责再生资源回收、旧货流通等行业以及按有关规定对酒类等重要商品流通经营的监督管理。落实药品流通发展规划。负责汽车流通及老旧汽车更新行业流通经营的监督管理。拟订全 县加油站发展规划并组织实施，负责成品油经营、储存日常安全 监督管理。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（10）牵头拟订重要生活消费品和重要商品应急保供预案并组织实施。负责落实重要商品储备制度，承担突发性灾害和突发 性事件重要商品保供应急工作。组织协调食用油、肉类、蔬菜等 重要生活必需品的市场供应和市场调节。</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（11）开展全县商贸领域统计监测和综合运行分析，调查分析商品供求状况、价格信息，进行预测预警和信息引导。</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（12）承担促进全县会展行业发展工作。落实会展经济发展政策和措施，负责开展会展推广工作。指导、监督商贸领域各 类促销活动。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（13）牵头电子商务发展工作。负责落实电子商务发展相关政策、措施、标准及规划，负责组织协调推进跨境电 子商务国际合作，负责商贸系统信息化建设，推进商贸领域大数 据开发应用，推进数字商务有关工作。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w:t>
      </w:r>
      <w:r>
        <w:rPr>
          <w:rStyle w:val="7"/>
          <w:rFonts w:hint="default" w:ascii="Times New Roman" w:hAnsi="Times New Roman" w:eastAsia="方正仿宋_GBK" w:cs="Times New Roman"/>
          <w:b w:val="0"/>
          <w:bCs/>
          <w:sz w:val="32"/>
          <w:szCs w:val="32"/>
          <w:shd w:val="clear" w:color="auto" w:fill="FFFFFF"/>
          <w:lang w:val="en-US" w:eastAsia="zh-CN"/>
        </w:rPr>
        <w:t>14</w:t>
      </w:r>
      <w:r>
        <w:rPr>
          <w:rStyle w:val="7"/>
          <w:rFonts w:hint="default" w:ascii="Times New Roman" w:hAnsi="Times New Roman" w:eastAsia="方正仿宋_GBK" w:cs="Times New Roman"/>
          <w:b w:val="0"/>
          <w:bCs/>
          <w:sz w:val="32"/>
          <w:szCs w:val="32"/>
          <w:shd w:val="clear" w:color="auto" w:fill="FFFFFF"/>
          <w:lang w:eastAsia="zh-CN"/>
        </w:rPr>
        <w:t>）负责指导商贸服务业安全生产工作，制定商贸领域安全生产年度监督检查计划，配合有关部门做好商贸服务业安全 生产监督管理工作。指导督促商贸、流通企业贯彻执行安全生产 法律法规，会同有关部门指导督促境内投资主体加强境外投资合 作项目安全生产工作。负责组织开展全县商务行业安全稳定宣传教育和培训工作。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（15）落实商贸领域促进消费工作的政策和措施，统筹商业领域消费促进工作。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（16）负责蚕桑、蚕种、蚕茧日常管理工作。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（17）负责机关和所属单位的党建工作。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（18）完成县委、县政府交办的其他任务。</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（19）职能转变。巫溪县商务委员会以“放管服”改革为重要抓手和突破口，聚焦企业关注度高的重点事项，推进行政审批制度改革，做好事中事后监管，着力营造市场化、法治化、便利化的一流营商环境。 将原巫溪县商务局所属事业单位承担的行政职能划归巫溪县 商务委员会，所属事业单位不再承担行政职能。</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（20）有关职责分工 。1.蚕业管理职责分工。巫溪县商务委员会牵头开展蚕业管理工作，促进蚕业健康发展。巫溪县林业局配合做好蚕业发展工作。2.口岸和物流职责分工。巫溪县发展和改革委员会负责物流专项规划与国民经济和社会发展规划、区域协调发展规划的平衡衔接。巫溪县交通局负责综合平衡交通运力，构建综合交通运输体系，统筹管理铁路、公路、水运、民航、邮政等多种运输行业发展。巫溪县商务委员会牵头负责口岸和物流管理的具体工作，做好与市口岸物流办的衔接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outlineLvl w:val="9"/>
        <w:rPr>
          <w:rStyle w:val="7"/>
          <w:rFonts w:hint="default" w:ascii="Times New Roman" w:hAnsi="Times New Roman" w:eastAsia="方正楷体_GBK" w:cs="Times New Roman"/>
          <w:b w:val="0"/>
          <w:bCs/>
          <w:sz w:val="32"/>
          <w:szCs w:val="32"/>
          <w:shd w:val="clear" w:color="auto" w:fill="FFFFFF"/>
        </w:rPr>
      </w:pPr>
      <w:r>
        <w:rPr>
          <w:rStyle w:val="7"/>
          <w:rFonts w:hint="default" w:ascii="Times New Roman" w:hAnsi="Times New Roman" w:eastAsia="方正楷体_GBK" w:cs="Times New Roman"/>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内设机构：综合科、商贸流通科、外贸经协科、安全生产管理科（行政审批科）、电子商务和信息化科。</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outlineLvl w:val="9"/>
        <w:rPr>
          <w:rStyle w:val="7"/>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lang w:eastAsia="zh-CN"/>
        </w:rPr>
        <w:t>人员情况：在职实有人数</w:t>
      </w:r>
      <w:r>
        <w:rPr>
          <w:rStyle w:val="7"/>
          <w:rFonts w:hint="default" w:ascii="Times New Roman" w:hAnsi="Times New Roman" w:eastAsia="方正仿宋_GBK" w:cs="Times New Roman"/>
          <w:b w:val="0"/>
          <w:bCs/>
          <w:sz w:val="32"/>
          <w:szCs w:val="32"/>
          <w:shd w:val="clear" w:color="auto" w:fill="FFFFFF"/>
          <w:lang w:val="en-US" w:eastAsia="zh-CN"/>
        </w:rPr>
        <w:t>16</w:t>
      </w:r>
      <w:r>
        <w:rPr>
          <w:rStyle w:val="7"/>
          <w:rFonts w:hint="default" w:ascii="Times New Roman" w:hAnsi="Times New Roman" w:eastAsia="方正仿宋_GBK" w:cs="Times New Roman"/>
          <w:b w:val="0"/>
          <w:bCs/>
          <w:sz w:val="32"/>
          <w:szCs w:val="32"/>
          <w:shd w:val="clear" w:color="auto" w:fill="FFFFFF"/>
          <w:lang w:eastAsia="zh-CN"/>
        </w:rPr>
        <w:t>人（其中行政</w:t>
      </w:r>
      <w:r>
        <w:rPr>
          <w:rStyle w:val="7"/>
          <w:rFonts w:hint="default" w:ascii="Times New Roman" w:hAnsi="Times New Roman" w:eastAsia="方正仿宋_GBK" w:cs="Times New Roman"/>
          <w:b w:val="0"/>
          <w:bCs/>
          <w:sz w:val="32"/>
          <w:szCs w:val="32"/>
          <w:shd w:val="clear" w:color="auto" w:fill="FFFFFF"/>
          <w:lang w:val="en-US" w:eastAsia="zh-CN"/>
        </w:rPr>
        <w:t>9</w:t>
      </w:r>
      <w:r>
        <w:rPr>
          <w:rStyle w:val="7"/>
          <w:rFonts w:hint="default" w:ascii="Times New Roman" w:hAnsi="Times New Roman" w:eastAsia="方正仿宋_GBK" w:cs="Times New Roman"/>
          <w:b w:val="0"/>
          <w:bCs/>
          <w:sz w:val="32"/>
          <w:szCs w:val="32"/>
          <w:shd w:val="clear" w:color="auto" w:fill="FFFFFF"/>
          <w:lang w:eastAsia="zh-CN"/>
        </w:rPr>
        <w:t>人、工勤1人、参公</w:t>
      </w:r>
      <w:r>
        <w:rPr>
          <w:rStyle w:val="7"/>
          <w:rFonts w:hint="default" w:ascii="Times New Roman" w:hAnsi="Times New Roman" w:eastAsia="方正仿宋_GBK" w:cs="Times New Roman"/>
          <w:b w:val="0"/>
          <w:bCs/>
          <w:sz w:val="32"/>
          <w:szCs w:val="32"/>
          <w:shd w:val="clear" w:color="auto" w:fill="FFFFFF"/>
          <w:lang w:val="en-US" w:eastAsia="zh-CN"/>
        </w:rPr>
        <w:t>6人</w:t>
      </w:r>
      <w:r>
        <w:rPr>
          <w:rStyle w:val="7"/>
          <w:rFonts w:hint="default" w:ascii="Times New Roman" w:hAnsi="Times New Roman" w:eastAsia="方正仿宋_GBK" w:cs="Times New Roman"/>
          <w:b w:val="0"/>
          <w:bCs/>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7"/>
          <w:rFonts w:hint="default" w:ascii="Times New Roman" w:hAnsi="Times New Roman" w:eastAsia="方正黑体_GBK" w:cs="Times New Roman"/>
          <w:b w:val="0"/>
          <w:bCs/>
          <w:sz w:val="32"/>
          <w:szCs w:val="32"/>
          <w:shd w:val="clear" w:color="auto" w:fill="FFFFFF"/>
        </w:rPr>
      </w:pPr>
      <w:r>
        <w:rPr>
          <w:rStyle w:val="7"/>
          <w:rFonts w:hint="default" w:ascii="Times New Roman" w:hAnsi="Times New Roman" w:eastAsia="方正黑体_GBK" w:cs="Times New Roman"/>
          <w:b w:val="0"/>
          <w:bCs/>
          <w:sz w:val="32"/>
          <w:szCs w:val="32"/>
          <w:shd w:val="clear" w:color="auto" w:fill="FFFFFF"/>
        </w:rPr>
        <w:t>二、</w:t>
      </w:r>
      <w:r>
        <w:rPr>
          <w:rStyle w:val="7"/>
          <w:rFonts w:hint="default" w:ascii="Times New Roman" w:hAnsi="Times New Roman" w:eastAsia="方正黑体_GBK" w:cs="Times New Roman"/>
          <w:b w:val="0"/>
          <w:bCs/>
          <w:sz w:val="32"/>
          <w:szCs w:val="32"/>
          <w:shd w:val="clear" w:color="auto" w:fill="FFFFFF"/>
          <w:lang w:eastAsia="zh-CN"/>
        </w:rPr>
        <w:t>部门</w:t>
      </w:r>
      <w:r>
        <w:rPr>
          <w:rStyle w:val="7"/>
          <w:rFonts w:hint="default" w:ascii="Times New Roman" w:hAnsi="Times New Roman" w:eastAsia="方正黑体_GBK" w:cs="Times New Roman"/>
          <w:b w:val="0"/>
          <w:bCs/>
          <w:sz w:val="32"/>
          <w:szCs w:val="32"/>
          <w:shd w:val="clear" w:color="auto" w:fill="FFFFFF"/>
        </w:rPr>
        <w:t>决算</w:t>
      </w:r>
      <w:r>
        <w:rPr>
          <w:rStyle w:val="7"/>
          <w:rFonts w:hint="default" w:ascii="Times New Roman" w:hAnsi="Times New Roman" w:eastAsia="方正黑体_GBK" w:cs="Times New Roman"/>
          <w:b w:val="0"/>
          <w:bCs/>
          <w:sz w:val="32"/>
          <w:szCs w:val="32"/>
          <w:shd w:val="clear" w:color="auto" w:fill="FFFFFF"/>
          <w:lang w:eastAsia="zh-CN"/>
        </w:rPr>
        <w:t>收支</w:t>
      </w:r>
      <w:r>
        <w:rPr>
          <w:rStyle w:val="7"/>
          <w:rFonts w:hint="default" w:ascii="Times New Roman" w:hAnsi="Times New Roman" w:eastAsia="方正黑体_GBK" w:cs="Times New Roman"/>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7"/>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度收入总计5149.77万元，支出总计</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万元。收、支与2023年度相比，增加3830.38万元，增长290.3%，主要原因是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7"/>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度收入合计5149.77万元，与2023年度相比，增加3830.38万元，增长290.3%，主要原因是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7"/>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512.05</w:t>
      </w:r>
      <w:r>
        <w:rPr>
          <w:rFonts w:hint="default" w:ascii="Times New Roman" w:hAnsi="Times New Roman" w:eastAsia="方正仿宋_GBK" w:cs="Times New Roman"/>
          <w:sz w:val="32"/>
          <w:szCs w:val="32"/>
          <w:shd w:val="clear" w:color="auto" w:fill="FFFFFF"/>
        </w:rPr>
        <w:t>万元，占9.94%；项目支出</w:t>
      </w:r>
      <w:r>
        <w:rPr>
          <w:rFonts w:hint="default" w:ascii="Times New Roman" w:hAnsi="Times New Roman" w:eastAsia="方正仿宋_GBK" w:cs="Times New Roman"/>
          <w:sz w:val="32"/>
          <w:szCs w:val="32"/>
        </w:rPr>
        <w:t>4637.72</w:t>
      </w:r>
      <w:r>
        <w:rPr>
          <w:rFonts w:hint="default" w:ascii="Times New Roman" w:hAnsi="Times New Roman" w:eastAsia="方正仿宋_GBK" w:cs="Times New Roman"/>
          <w:sz w:val="32"/>
          <w:szCs w:val="32"/>
          <w:shd w:val="clear" w:color="auto" w:fill="FFFFFF"/>
        </w:rPr>
        <w:t>万元，占90.06%；经营支出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outlineLvl w:val="9"/>
        <w:rPr>
          <w:rFonts w:hint="default" w:ascii="Times New Roman" w:hAnsi="Times New Roman" w:eastAsia="方正仿宋_GBK" w:cs="Times New Roman"/>
          <w:color w:val="auto"/>
          <w:sz w:val="32"/>
          <w:szCs w:val="32"/>
          <w:lang w:eastAsia="zh-CN"/>
        </w:rPr>
      </w:pPr>
      <w:r>
        <w:rPr>
          <w:rStyle w:val="7"/>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万元，与2023年度相比，无增减，主要原因是主要原因是</w:t>
      </w:r>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度财政拨款收、支总计5149.77万元。与202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shd w:val="clear" w:color="auto" w:fill="FFFFFF"/>
        </w:rPr>
        <w:t>较年初预算数增加245.91万元，增长5.0%。主要原因是</w:t>
      </w:r>
      <w:r>
        <w:rPr>
          <w:rFonts w:hint="eastAsia" w:ascii="Times New Roman" w:hAnsi="Times New Roman" w:eastAsia="方正仿宋_GBK" w:cs="Times New Roman"/>
          <w:sz w:val="32"/>
          <w:szCs w:val="32"/>
          <w:shd w:val="clear" w:color="auto" w:fill="FFFFFF"/>
          <w:lang w:eastAsia="zh-CN"/>
        </w:rPr>
        <w:t>商务委（本级）追加项目资金</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lang w:val="en-US" w:eastAsia="zh-CN"/>
        </w:rPr>
        <w:t>2024年6月从执法综合大队从委机关折分为二级预算单位，</w:t>
      </w:r>
      <w:r>
        <w:rPr>
          <w:rFonts w:hint="eastAsia" w:ascii="Times New Roman" w:hAnsi="Times New Roman" w:eastAsia="方正仿宋_GBK" w:cs="Times New Roman"/>
          <w:sz w:val="32"/>
          <w:szCs w:val="32"/>
          <w:shd w:val="clear" w:color="auto" w:fill="FFFFFF"/>
          <w:lang w:val="en-US" w:eastAsia="zh-CN"/>
        </w:rPr>
        <w:t>无年初预算数，因此追加</w:t>
      </w:r>
      <w:r>
        <w:rPr>
          <w:rFonts w:hint="default" w:ascii="Times New Roman" w:hAnsi="Times New Roman" w:eastAsia="方正仿宋_GBK" w:cs="Times New Roman"/>
          <w:sz w:val="32"/>
          <w:szCs w:val="32"/>
          <w:shd w:val="clear" w:color="auto" w:fill="FFFFFF"/>
          <w:lang w:val="en-US" w:eastAsia="zh-CN"/>
        </w:rPr>
        <w:t>预算资金。</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7"/>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5149.77</w:t>
      </w:r>
      <w:r>
        <w:rPr>
          <w:rFonts w:hint="default" w:ascii="Times New Roman" w:hAnsi="Times New Roman" w:eastAsia="方正仿宋_GBK" w:cs="Times New Roman"/>
          <w:sz w:val="32"/>
          <w:szCs w:val="32"/>
          <w:shd w:val="clear" w:color="auto" w:fill="FFFFFF"/>
        </w:rPr>
        <w:t>万元，与2023年度相比，增加3830.38万元，增长290.3%。主要原因是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bookmarkStart w:id="0" w:name="_GoBack"/>
      <w:bookmarkEnd w:id="0"/>
      <w:r>
        <w:rPr>
          <w:rFonts w:hint="default" w:ascii="Times New Roman" w:hAnsi="Times New Roman" w:eastAsia="方正仿宋_GBK" w:cs="Times New Roman"/>
          <w:sz w:val="32"/>
          <w:szCs w:val="32"/>
          <w:shd w:val="clear" w:color="auto" w:fill="FFFFFF"/>
        </w:rPr>
        <w:t>较年初预算数增加245.91万元，增长5.0%。主要原因是</w:t>
      </w:r>
      <w:r>
        <w:rPr>
          <w:rFonts w:hint="eastAsia" w:ascii="Times New Roman" w:hAnsi="Times New Roman" w:eastAsia="方正仿宋_GBK" w:cs="Times New Roman"/>
          <w:sz w:val="32"/>
          <w:szCs w:val="32"/>
          <w:shd w:val="clear" w:color="auto" w:fill="FFFFFF"/>
          <w:lang w:eastAsia="zh-CN"/>
        </w:rPr>
        <w:t>商务委（本级）追加项目资金</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lang w:val="en-US" w:eastAsia="zh-CN"/>
        </w:rPr>
        <w:t>2024年6月从执法综合大队从委机关折分为二级预算单位，</w:t>
      </w:r>
      <w:r>
        <w:rPr>
          <w:rFonts w:hint="eastAsia" w:ascii="Times New Roman" w:hAnsi="Times New Roman" w:eastAsia="方正仿宋_GBK" w:cs="Times New Roman"/>
          <w:sz w:val="32"/>
          <w:szCs w:val="32"/>
          <w:shd w:val="clear" w:color="auto" w:fill="FFFFFF"/>
          <w:lang w:val="en-US" w:eastAsia="zh-CN"/>
        </w:rPr>
        <w:t>无年初预算数，因此追加</w:t>
      </w:r>
      <w:r>
        <w:rPr>
          <w:rFonts w:hint="default" w:ascii="Times New Roman" w:hAnsi="Times New Roman" w:eastAsia="方正仿宋_GBK" w:cs="Times New Roman"/>
          <w:sz w:val="32"/>
          <w:szCs w:val="32"/>
          <w:shd w:val="clear" w:color="auto" w:fill="FFFFFF"/>
          <w:lang w:val="en-US" w:eastAsia="zh-CN"/>
        </w:rPr>
        <w:t>预算资金。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outlineLvl w:val="9"/>
        <w:rPr>
          <w:rFonts w:hint="default" w:ascii="Times New Roman" w:hAnsi="Times New Roman" w:eastAsia="方正仿宋_GBK" w:cs="Times New Roman"/>
          <w:color w:val="auto"/>
          <w:sz w:val="32"/>
          <w:szCs w:val="32"/>
          <w:lang w:eastAsia="zh-CN"/>
        </w:rPr>
      </w:pPr>
      <w:r>
        <w:rPr>
          <w:rStyle w:val="7"/>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outlineLvl w:val="9"/>
        <w:rPr>
          <w:rFonts w:hint="default" w:ascii="Times New Roman" w:hAnsi="Times New Roman" w:eastAsia="方正仿宋_GBK" w:cs="Times New Roman"/>
          <w:color w:val="FF0000"/>
          <w:sz w:val="32"/>
          <w:szCs w:val="32"/>
          <w:highlight w:val="cyan"/>
          <w:shd w:val="clear" w:color="auto" w:fill="FFFFFF"/>
        </w:rPr>
      </w:pPr>
      <w:r>
        <w:rPr>
          <w:rStyle w:val="7"/>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485.65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9.43</w:t>
      </w:r>
      <w:r>
        <w:rPr>
          <w:rFonts w:hint="default" w:ascii="Times New Roman" w:hAnsi="Times New Roman" w:eastAsia="方正仿宋_GBK" w:cs="Times New Roman"/>
          <w:sz w:val="32"/>
          <w:szCs w:val="32"/>
          <w:shd w:val="clear" w:color="auto" w:fill="FFFFFF"/>
        </w:rPr>
        <w:t>%，较年初预算数减少3785.15万元，下降88.6%，主要原因是</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rPr>
        <w:t>2024年6月商务综合执法大队（6人）从委机关拆分为预算单位</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eastAsia="zh-CN"/>
        </w:rPr>
        <w:t>行政运行经费及社会保障经费</w:t>
      </w:r>
      <w:r>
        <w:rPr>
          <w:rFonts w:hint="default" w:ascii="Times New Roman" w:hAnsi="Times New Roman" w:eastAsia="方正仿宋_GBK" w:cs="Times New Roman"/>
          <w:sz w:val="32"/>
          <w:szCs w:val="32"/>
          <w:shd w:val="clear" w:color="auto" w:fill="FFFFFF"/>
          <w:lang w:eastAsia="zh-CN"/>
        </w:rPr>
        <w:t>调剂到综合执法大队</w:t>
      </w:r>
      <w:r>
        <w:rPr>
          <w:rFonts w:hint="eastAsia" w:ascii="Times New Roman" w:hAnsi="Times New Roman" w:eastAsia="方正仿宋_GBK" w:cs="Times New Roman"/>
          <w:sz w:val="32"/>
          <w:szCs w:val="32"/>
          <w:shd w:val="clear" w:color="auto" w:fill="FFFFFF"/>
          <w:lang w:val="en-US" w:eastAsia="zh-CN"/>
        </w:rPr>
        <w:t>135.28</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eastAsia="zh-CN"/>
        </w:rPr>
        <w:t>、二是渝中区对口协同发展项目资金调剂到县教委的职业教育综合园建设项目</w:t>
      </w:r>
      <w:r>
        <w:rPr>
          <w:rFonts w:hint="default" w:ascii="Times New Roman" w:hAnsi="Times New Roman" w:eastAsia="方正仿宋_GBK" w:cs="Times New Roman"/>
          <w:sz w:val="32"/>
          <w:szCs w:val="32"/>
          <w:shd w:val="clear" w:color="auto" w:fill="FFFFFF"/>
          <w:lang w:val="en-US" w:eastAsia="zh-CN"/>
        </w:rPr>
        <w:t>3013万元等项目资金</w:t>
      </w:r>
      <w:r>
        <w:rPr>
          <w:rFonts w:hint="default" w:ascii="Times New Roman" w:hAnsi="Times New Roman" w:eastAsia="方正仿宋_GBK" w:cs="Times New Roman"/>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lang w:val="en-US" w:eastAsia="zh-CN"/>
        </w:rPr>
        <w:t>3785.15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197.14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3.83</w:t>
      </w:r>
      <w:r>
        <w:rPr>
          <w:rFonts w:hint="default" w:ascii="Times New Roman" w:hAnsi="Times New Roman" w:eastAsia="方正仿宋_GBK" w:cs="Times New Roman"/>
          <w:sz w:val="32"/>
          <w:szCs w:val="32"/>
          <w:shd w:val="clear" w:color="auto" w:fill="FFFFFF"/>
        </w:rPr>
        <w:t>%，较年初预算数增加25.73万元，增长15.0%，主要原因是</w:t>
      </w:r>
      <w:r>
        <w:rPr>
          <w:rFonts w:hint="default" w:ascii="Times New Roman" w:hAnsi="Times New Roman" w:eastAsia="方正仿宋_GBK" w:cs="Times New Roman"/>
          <w:sz w:val="32"/>
          <w:szCs w:val="32"/>
          <w:shd w:val="clear" w:color="auto" w:fill="FFFFFF"/>
          <w:lang w:eastAsia="zh-CN"/>
        </w:rPr>
        <w:t>退休干部去世，增加了抚恤金</w:t>
      </w:r>
      <w:r>
        <w:rPr>
          <w:rFonts w:hint="default" w:ascii="Times New Roman" w:hAnsi="Times New Roman" w:eastAsia="方正仿宋_GBK" w:cs="Times New Roman"/>
          <w:sz w:val="32"/>
          <w:szCs w:val="32"/>
          <w:shd w:val="clear" w:color="auto" w:fill="FFFFFF"/>
          <w:lang w:val="en-US" w:eastAsia="zh-CN"/>
        </w:rPr>
        <w:t>25.73万元</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17.75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0.34</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lang w:eastAsia="zh-CN"/>
        </w:rPr>
        <w:t>单位实有在职人数无变化。</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2038.00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39.57</w:t>
      </w:r>
      <w:r>
        <w:rPr>
          <w:rFonts w:hint="default" w:ascii="Times New Roman" w:hAnsi="Times New Roman" w:eastAsia="方正仿宋_GBK" w:cs="Times New Roman"/>
          <w:sz w:val="32"/>
          <w:szCs w:val="32"/>
          <w:shd w:val="clear" w:color="auto" w:fill="FFFFFF"/>
        </w:rPr>
        <w:t>%，较年初预算数增加2038.00万元，增长100.0%，主要原因是</w:t>
      </w:r>
      <w:r>
        <w:rPr>
          <w:rFonts w:hint="default" w:ascii="Times New Roman" w:hAnsi="Times New Roman" w:eastAsia="方正仿宋_GBK" w:cs="Times New Roman"/>
          <w:sz w:val="32"/>
          <w:szCs w:val="32"/>
          <w:shd w:val="clear" w:color="auto" w:fill="FFFFFF"/>
          <w:lang w:eastAsia="zh-CN"/>
        </w:rPr>
        <w:t>预算调剂增加巫溪县2024年冷链物流中心建设项目资金</w:t>
      </w:r>
      <w:r>
        <w:rPr>
          <w:rFonts w:hint="default" w:ascii="Times New Roman" w:hAnsi="Times New Roman" w:eastAsia="方正仿宋_GBK" w:cs="Times New Roman"/>
          <w:sz w:val="32"/>
          <w:szCs w:val="32"/>
          <w:shd w:val="clear" w:color="auto" w:fill="FFFFFF"/>
          <w:lang w:val="en-US" w:eastAsia="zh-CN"/>
        </w:rPr>
        <w:t>2000万元和巫溪县2023年小食品加工项目资金38万元。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24.40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0.47</w:t>
      </w:r>
      <w:r>
        <w:rPr>
          <w:rFonts w:hint="default" w:ascii="Times New Roman" w:hAnsi="Times New Roman" w:eastAsia="方正仿宋_GBK" w:cs="Times New Roman"/>
          <w:sz w:val="32"/>
          <w:szCs w:val="32"/>
          <w:shd w:val="clear" w:color="auto" w:fill="FFFFFF"/>
        </w:rPr>
        <w:t>%，较年初预算数增加24.40万元，增长100.0%，主要原因是</w:t>
      </w:r>
      <w:r>
        <w:rPr>
          <w:rFonts w:hint="default" w:ascii="Times New Roman" w:hAnsi="Times New Roman" w:eastAsia="方正仿宋_GBK" w:cs="Times New Roman"/>
          <w:sz w:val="32"/>
          <w:szCs w:val="32"/>
          <w:shd w:val="clear" w:color="auto" w:fill="FFFFFF"/>
          <w:lang w:eastAsia="zh-CN"/>
        </w:rPr>
        <w:t>预算调剂增加2024巫溪老鹰茶展示展销会活动项目资金</w:t>
      </w:r>
      <w:r>
        <w:rPr>
          <w:rFonts w:hint="default" w:ascii="Times New Roman" w:hAnsi="Times New Roman" w:eastAsia="方正仿宋_GBK" w:cs="Times New Roman"/>
          <w:sz w:val="32"/>
          <w:szCs w:val="32"/>
          <w:shd w:val="clear" w:color="auto" w:fill="FFFFFF"/>
          <w:lang w:val="en-US" w:eastAsia="zh-CN"/>
        </w:rPr>
        <w:t>24.4万元。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）商业服务业等支出</w:t>
      </w:r>
      <w:r>
        <w:rPr>
          <w:rFonts w:hint="default" w:ascii="Times New Roman" w:hAnsi="Times New Roman" w:eastAsia="方正仿宋_GBK" w:cs="Times New Roman"/>
          <w:sz w:val="32"/>
          <w:szCs w:val="32"/>
        </w:rPr>
        <w:t>2339.98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45.44</w:t>
      </w:r>
      <w:r>
        <w:rPr>
          <w:rFonts w:hint="default" w:ascii="Times New Roman" w:hAnsi="Times New Roman" w:eastAsia="方正仿宋_GBK" w:cs="Times New Roman"/>
          <w:sz w:val="32"/>
          <w:szCs w:val="32"/>
          <w:shd w:val="clear" w:color="auto" w:fill="FFFFFF"/>
        </w:rPr>
        <w:t>%，较年初预算数增加1929.98万元，增长470.7%，主要原因是</w:t>
      </w:r>
      <w:r>
        <w:rPr>
          <w:rFonts w:hint="default" w:ascii="Times New Roman" w:hAnsi="Times New Roman" w:eastAsia="方正仿宋_GBK" w:cs="Times New Roman"/>
          <w:b w:val="0"/>
          <w:bCs w:val="0"/>
          <w:color w:val="auto"/>
          <w:sz w:val="32"/>
          <w:szCs w:val="32"/>
          <w:shd w:val="clear" w:color="auto" w:fill="FFFFFF"/>
          <w:lang w:val="en-US" w:eastAsia="zh-CN"/>
        </w:rPr>
        <w:t>渝中·巫溪对口协同发展项目850万元、商贸发展类项目770.4万元等项目资金增加1929.98万元。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住房保障支出23.82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0.46</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lang w:eastAsia="zh-CN"/>
        </w:rPr>
        <w:t>单位实有在职人数无变化。</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粮油物资储备支出23.04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0.45</w:t>
      </w:r>
      <w:r>
        <w:rPr>
          <w:rFonts w:hint="default" w:ascii="Times New Roman" w:hAnsi="Times New Roman" w:eastAsia="方正仿宋_GBK" w:cs="Times New Roman"/>
          <w:sz w:val="32"/>
          <w:szCs w:val="32"/>
          <w:shd w:val="clear" w:color="auto" w:fill="FFFFFF"/>
        </w:rPr>
        <w:t>%，较年初预算数增加12.96万元，增长128.6%，主要原因是</w:t>
      </w:r>
      <w:r>
        <w:rPr>
          <w:rFonts w:hint="default" w:ascii="Times New Roman" w:hAnsi="Times New Roman" w:eastAsia="方正仿宋_GBK" w:cs="Times New Roman"/>
          <w:sz w:val="32"/>
          <w:szCs w:val="32"/>
          <w:shd w:val="clear" w:color="auto" w:fill="FFFFFF"/>
          <w:lang w:eastAsia="zh-CN"/>
        </w:rPr>
        <w:t>猪肉储备项目资金增加</w:t>
      </w:r>
      <w:r>
        <w:rPr>
          <w:rFonts w:hint="default" w:ascii="Times New Roman" w:hAnsi="Times New Roman" w:eastAsia="方正仿宋_GBK" w:cs="Times New Roman"/>
          <w:sz w:val="32"/>
          <w:szCs w:val="32"/>
          <w:shd w:val="clear" w:color="auto" w:fill="FFFFFF"/>
          <w:lang w:val="en-US" w:eastAsia="zh-CN"/>
        </w:rPr>
        <w:t>23.04万元。</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512.05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457.53</w:t>
      </w:r>
      <w:r>
        <w:rPr>
          <w:rFonts w:hint="default" w:ascii="Times New Roman" w:hAnsi="Times New Roman" w:eastAsia="方正仿宋_GBK" w:cs="Times New Roman"/>
          <w:sz w:val="32"/>
          <w:szCs w:val="32"/>
          <w:shd w:val="clear" w:color="auto" w:fill="FFFFFF"/>
        </w:rPr>
        <w:t>万元，与2023年度相比，增加63.70万元，增长16.2%，主要原因是</w:t>
      </w:r>
      <w:r>
        <w:rPr>
          <w:rFonts w:hint="eastAsia"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lang w:eastAsia="zh-CN"/>
        </w:rPr>
        <w:t>退休干部补发抚恤金及退休干部去世的抚恤金发放</w:t>
      </w:r>
      <w:r>
        <w:rPr>
          <w:rFonts w:hint="eastAsia" w:ascii="Times New Roman" w:hAnsi="Times New Roman" w:eastAsia="方正仿宋_GBK" w:cs="Times New Roman"/>
          <w:sz w:val="32"/>
          <w:szCs w:val="32"/>
          <w:shd w:val="clear" w:color="auto" w:fill="FFFFFF"/>
          <w:lang w:eastAsia="zh-CN"/>
        </w:rPr>
        <w:t>、二是</w:t>
      </w:r>
      <w:r>
        <w:rPr>
          <w:rFonts w:hint="default" w:ascii="Times New Roman" w:hAnsi="Times New Roman" w:eastAsia="方正仿宋_GBK" w:cs="Times New Roman"/>
          <w:sz w:val="32"/>
          <w:szCs w:val="32"/>
          <w:shd w:val="clear" w:color="auto" w:fill="FFFFFF"/>
          <w:lang w:eastAsia="zh-CN"/>
        </w:rPr>
        <w:t>单位新进职工增多，部分职工职级晋升。</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工资福利支出306.63万元和对个人和家庭的补助150.9万元；</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万元，与2023年度相比，减少9.27万元，下降14.5%，主要原因是</w:t>
      </w:r>
      <w:r>
        <w:rPr>
          <w:rFonts w:hint="default" w:ascii="Times New Roman" w:hAnsi="Times New Roman" w:eastAsia="方正仿宋_GBK" w:cs="Times New Roman"/>
          <w:sz w:val="32"/>
          <w:szCs w:val="32"/>
          <w:shd w:val="clear" w:color="auto" w:fill="FFFFFF"/>
          <w:lang w:eastAsia="zh-CN"/>
        </w:rPr>
        <w:t>年初预算标准口径的变化，</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商品和服务性支出</w:t>
      </w:r>
      <w:r>
        <w:rPr>
          <w:rFonts w:hint="default" w:ascii="Times New Roman" w:hAnsi="Times New Roman" w:eastAsia="方正仿宋_GBK" w:cs="Times New Roman"/>
          <w:sz w:val="32"/>
          <w:szCs w:val="32"/>
          <w:shd w:val="clear" w:color="auto" w:fill="FFFFFF"/>
          <w:lang w:val="en-US" w:eastAsia="zh-CN"/>
        </w:rPr>
        <w:t>54.53万元</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7"/>
          <w:rFonts w:hint="default" w:ascii="Times New Roman" w:hAnsi="Times New Roman" w:eastAsia="方正黑体_GBK" w:cs="Times New Roman"/>
          <w:b w:val="0"/>
          <w:bCs/>
          <w:sz w:val="32"/>
          <w:szCs w:val="32"/>
          <w:shd w:val="clear" w:color="auto" w:fill="FFFFFF"/>
        </w:rPr>
      </w:pPr>
      <w:r>
        <w:rPr>
          <w:rStyle w:val="7"/>
          <w:rFonts w:hint="default" w:ascii="Times New Roman" w:hAnsi="Times New Roman" w:eastAsia="方正黑体_GBK" w:cs="Times New Roman"/>
          <w:b w:val="0"/>
          <w:bCs/>
          <w:sz w:val="32"/>
          <w:szCs w:val="32"/>
          <w:shd w:val="clear" w:color="auto" w:fill="FFFFFF"/>
        </w:rPr>
        <w:t>三、</w:t>
      </w:r>
      <w:r>
        <w:rPr>
          <w:rStyle w:val="7"/>
          <w:rFonts w:hint="default" w:ascii="Times New Roman" w:hAnsi="Times New Roman" w:eastAsia="方正黑体_GBK" w:cs="Times New Roman"/>
          <w:b w:val="0"/>
          <w:bCs/>
          <w:sz w:val="32"/>
          <w:szCs w:val="32"/>
          <w:shd w:val="clear" w:color="auto" w:fill="FFFFFF"/>
          <w:lang w:eastAsia="zh-CN"/>
        </w:rPr>
        <w:t>财政拨款</w:t>
      </w:r>
      <w:r>
        <w:rPr>
          <w:rStyle w:val="7"/>
          <w:rFonts w:hint="default" w:ascii="Times New Roman" w:hAnsi="Times New Roman" w:eastAsia="方正黑体_GBK" w:cs="Times New Roman"/>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13.50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lang w:eastAsia="zh-CN"/>
        </w:rPr>
        <w:t>严格执行</w:t>
      </w:r>
      <w:r>
        <w:rPr>
          <w:rFonts w:hint="eastAsia" w:ascii="Times New Roman" w:hAnsi="Times New Roman" w:eastAsia="方正仿宋_GBK" w:cs="Times New Roman"/>
          <w:sz w:val="32"/>
          <w:szCs w:val="32"/>
          <w:lang w:eastAsia="zh-CN"/>
        </w:rPr>
        <w:t>按预算执行支出</w:t>
      </w:r>
      <w:r>
        <w:rPr>
          <w:rFonts w:hint="default" w:ascii="Times New Roman" w:hAnsi="Times New Roman" w:eastAsia="方正仿宋_GBK" w:cs="Times New Roman"/>
          <w:sz w:val="32"/>
          <w:szCs w:val="32"/>
          <w:lang w:eastAsia="zh-CN"/>
        </w:rPr>
        <w:t>原则。</w:t>
      </w:r>
      <w:r>
        <w:rPr>
          <w:rFonts w:hint="default" w:ascii="Times New Roman" w:hAnsi="Times New Roman" w:eastAsia="方正仿宋_GBK" w:cs="Times New Roman"/>
          <w:sz w:val="32"/>
          <w:szCs w:val="32"/>
          <w:shd w:val="clear" w:color="auto" w:fill="FFFFFF"/>
        </w:rPr>
        <w:t>较上年支出数增加0.90万元，增长7.1%，主要原因是</w:t>
      </w:r>
      <w:r>
        <w:rPr>
          <w:rFonts w:hint="default"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lang w:eastAsia="zh-CN"/>
        </w:rPr>
        <w:t>年招商引资业务量增多，故“三公”经费增加</w:t>
      </w:r>
      <w:r>
        <w:rPr>
          <w:rFonts w:hint="default" w:ascii="Times New Roman" w:hAnsi="Times New Roman" w:eastAsia="方正仿宋_GBK" w:cs="Times New Roman"/>
          <w:sz w:val="32"/>
          <w:szCs w:val="32"/>
          <w:lang w:val="en-US" w:eastAsia="zh-CN"/>
        </w:rPr>
        <w:t>0.90</w:t>
      </w:r>
      <w:r>
        <w:rPr>
          <w:rFonts w:hint="default" w:ascii="Times New Roman" w:hAnsi="Times New Roman" w:eastAsia="方正仿宋_GBK" w:cs="Times New Roman"/>
          <w:sz w:val="32"/>
          <w:szCs w:val="32"/>
          <w:lang w:eastAsia="zh-CN"/>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shd w:val="clear" w:color="auto" w:fill="FFFFFF"/>
          <w:lang w:eastAsia="zh-CN"/>
        </w:rPr>
        <w:t>本年度无购买公务车</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本年度无购买公务车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本年度无购买公务车</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车险、公车加油充值、过道过路费、停车费等相关</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shd w:val="clear" w:color="auto" w:fill="FFFFFF"/>
          <w:lang w:eastAsia="zh-CN"/>
        </w:rPr>
        <w:t>严格执行中央八项规定。</w:t>
      </w:r>
      <w:r>
        <w:rPr>
          <w:rFonts w:hint="default" w:ascii="Times New Roman" w:hAnsi="Times New Roman" w:eastAsia="方正仿宋_GBK" w:cs="Times New Roman"/>
          <w:sz w:val="32"/>
          <w:szCs w:val="32"/>
          <w:shd w:val="clear" w:color="auto" w:fill="FFFFFF"/>
        </w:rPr>
        <w:t>较上年支出数减少0.27万元，下降3.7%，主要原因是</w:t>
      </w:r>
      <w:r>
        <w:rPr>
          <w:rFonts w:hint="default" w:ascii="Times New Roman" w:hAnsi="Times New Roman" w:eastAsia="方正仿宋_GBK" w:cs="Times New Roman"/>
          <w:sz w:val="32"/>
          <w:szCs w:val="32"/>
          <w:shd w:val="clear" w:color="auto" w:fill="FFFFFF"/>
          <w:lang w:eastAsia="zh-CN"/>
        </w:rPr>
        <w:t>严格执行中央八项规定。</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6.50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上级部门的调研及考察方面的</w:t>
      </w:r>
      <w:r>
        <w:rPr>
          <w:rFonts w:hint="default" w:ascii="Times New Roman" w:hAnsi="Times New Roman" w:eastAsia="方正仿宋_GBK" w:cs="Times New Roman"/>
          <w:color w:val="auto"/>
          <w:sz w:val="32"/>
          <w:szCs w:val="32"/>
          <w:shd w:val="clear" w:color="auto" w:fill="FFFFFF"/>
        </w:rPr>
        <w:t>费用支出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lang w:eastAsia="zh-CN"/>
        </w:rPr>
        <w:t>严格执行有预算再支出原则</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较上年支出数增加1.17万元，增长22.0%，主要原因是</w:t>
      </w:r>
      <w:r>
        <w:rPr>
          <w:rFonts w:hint="default"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lang w:eastAsia="zh-CN"/>
        </w:rPr>
        <w:t>年招商引资业务增大、渝中区及山东泰安往来增加故“三公”经费增加</w:t>
      </w:r>
      <w:r>
        <w:rPr>
          <w:rFonts w:hint="default" w:ascii="Times New Roman" w:hAnsi="Times New Roman" w:eastAsia="方正仿宋_GBK" w:cs="Times New Roman"/>
          <w:sz w:val="32"/>
          <w:szCs w:val="32"/>
          <w:lang w:val="en-US" w:eastAsia="zh-CN"/>
        </w:rPr>
        <w:t>1.17</w:t>
      </w:r>
      <w:r>
        <w:rPr>
          <w:rFonts w:hint="default" w:ascii="Times New Roman" w:hAnsi="Times New Roman" w:eastAsia="方正仿宋_GBK" w:cs="Times New Roman"/>
          <w:sz w:val="32"/>
          <w:szCs w:val="32"/>
          <w:lang w:eastAsia="zh-CN"/>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825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78.79</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outlineLvl w:val="9"/>
        <w:rPr>
          <w:rStyle w:val="7"/>
          <w:rFonts w:hint="default" w:ascii="Times New Roman" w:hAnsi="Times New Roman" w:eastAsia="方正黑体_GBK" w:cs="Times New Roman"/>
          <w:b w:val="0"/>
          <w:bCs/>
          <w:sz w:val="32"/>
          <w:szCs w:val="32"/>
          <w:shd w:val="clear" w:color="auto" w:fill="FFFFFF"/>
        </w:rPr>
      </w:pPr>
      <w:r>
        <w:rPr>
          <w:rStyle w:val="7"/>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0.25</w:t>
      </w:r>
      <w:r>
        <w:rPr>
          <w:rFonts w:hint="default" w:ascii="Times New Roman" w:hAnsi="Times New Roman" w:eastAsia="方正仿宋_GBK" w:cs="Times New Roman"/>
          <w:sz w:val="32"/>
          <w:szCs w:val="32"/>
          <w:shd w:val="clear" w:color="auto" w:fill="FFFFFF"/>
        </w:rPr>
        <w:t>万元，与2023年度相比，增加0.25万元，增长100.0%，主要原因是本年召开以旧换新会议支出增加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0.51</w:t>
      </w:r>
      <w:r>
        <w:rPr>
          <w:rFonts w:hint="default" w:ascii="Times New Roman" w:hAnsi="Times New Roman" w:eastAsia="方正仿宋_GBK" w:cs="Times New Roman"/>
          <w:sz w:val="32"/>
          <w:szCs w:val="32"/>
          <w:shd w:val="clear" w:color="auto" w:fill="FFFFFF"/>
        </w:rPr>
        <w:t>万元，与2023年度相比，增加0.51万元，增长100.0%，主要原因是到外地培训</w:t>
      </w:r>
      <w:r>
        <w:rPr>
          <w:rFonts w:hint="default" w:ascii="Times New Roman" w:hAnsi="Times New Roman" w:eastAsia="方正仿宋_GBK" w:cs="Times New Roman"/>
          <w:sz w:val="32"/>
          <w:szCs w:val="32"/>
          <w:shd w:val="clear" w:color="auto" w:fill="FFFFFF"/>
          <w:lang w:eastAsia="zh-CN"/>
        </w:rPr>
        <w:t>次数</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color w:val="auto"/>
          <w:sz w:val="32"/>
          <w:szCs w:val="32"/>
          <w:shd w:val="clear" w:color="auto" w:fill="FFFFFF"/>
          <w:lang w:eastAsia="zh-CN"/>
        </w:rPr>
        <w:t>商品和服务支出。</w:t>
      </w:r>
      <w:r>
        <w:rPr>
          <w:rFonts w:hint="default" w:ascii="Times New Roman" w:hAnsi="Times New Roman" w:eastAsia="方正仿宋_GBK" w:cs="Times New Roman"/>
          <w:sz w:val="32"/>
          <w:szCs w:val="32"/>
          <w:shd w:val="clear" w:color="auto" w:fill="FFFFFF"/>
        </w:rPr>
        <w:t>机关运行经费较上年支出数减少9.27万元，下降14.5%，主要原因是</w:t>
      </w:r>
      <w:r>
        <w:rPr>
          <w:rFonts w:hint="default" w:ascii="Times New Roman" w:hAnsi="Times New Roman" w:eastAsia="方正仿宋_GBK" w:cs="Times New Roman"/>
          <w:sz w:val="32"/>
          <w:szCs w:val="32"/>
          <w:shd w:val="clear" w:color="auto" w:fill="FFFFFF"/>
          <w:lang w:eastAsia="zh-CN"/>
        </w:rPr>
        <w:t>严格执行中央八项规定。</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1.48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1.48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1.48万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1.48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%。主要用于采购用于采</w:t>
      </w:r>
      <w:r>
        <w:rPr>
          <w:rFonts w:hint="default" w:ascii="Times New Roman" w:hAnsi="Times New Roman" w:eastAsia="方正仿宋_GBK" w:cs="Times New Roman"/>
          <w:sz w:val="32"/>
          <w:szCs w:val="32"/>
        </w:rPr>
        <w:t>购</w:t>
      </w:r>
      <w:r>
        <w:rPr>
          <w:rFonts w:hint="default" w:ascii="Times New Roman" w:hAnsi="Times New Roman" w:eastAsia="方正仿宋_GBK" w:cs="Times New Roman"/>
          <w:sz w:val="32"/>
          <w:szCs w:val="32"/>
          <w:lang w:eastAsia="zh-CN"/>
        </w:rPr>
        <w:t>办公室电脑</w:t>
      </w:r>
      <w:r>
        <w:rPr>
          <w:rFonts w:hint="default" w:ascii="Times New Roman" w:hAnsi="Times New Roman" w:eastAsia="方正仿宋_GBK" w:cs="Times New Roman"/>
          <w:sz w:val="32"/>
          <w:szCs w:val="32"/>
          <w:lang w:val="en-US" w:eastAsia="zh-CN"/>
        </w:rPr>
        <w:t>1.21万元</w:t>
      </w:r>
      <w:r>
        <w:rPr>
          <w:rFonts w:hint="default" w:ascii="Times New Roman" w:hAnsi="Times New Roman" w:eastAsia="方正仿宋_GBK" w:cs="Times New Roman"/>
          <w:sz w:val="32"/>
          <w:szCs w:val="32"/>
          <w:lang w:eastAsia="zh-CN"/>
        </w:rPr>
        <w:t>和空调</w:t>
      </w:r>
      <w:r>
        <w:rPr>
          <w:rFonts w:hint="default" w:ascii="Times New Roman" w:hAnsi="Times New Roman" w:eastAsia="方正仿宋_GBK" w:cs="Times New Roman"/>
          <w:sz w:val="32"/>
          <w:szCs w:val="32"/>
          <w:lang w:val="en-US" w:eastAsia="zh-CN"/>
        </w:rPr>
        <w:t>0.27万元。</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Style w:val="7"/>
          <w:rFonts w:hint="default" w:ascii="Times New Roman" w:hAnsi="Times New Roman" w:eastAsia="方正黑体_GBK" w:cs="Times New Roman"/>
          <w:b w:val="0"/>
          <w:bCs/>
          <w:sz w:val="32"/>
          <w:szCs w:val="32"/>
          <w:shd w:val="clear" w:color="auto" w:fill="FFFFFF"/>
          <w:lang w:val="en-US" w:eastAsia="zh-CN" w:bidi="ar-SA"/>
        </w:rPr>
      </w:pPr>
      <w:r>
        <w:rPr>
          <w:rStyle w:val="7"/>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应当参照如下格式说明：根据预算绩效管理要求，我部门（单位）对部门整体和</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个一级项目、</w:t>
      </w:r>
      <w:r>
        <w:rPr>
          <w:rFonts w:hint="default" w:ascii="Times New Roman" w:hAnsi="Times New Roman" w:eastAsia="方正仿宋_GBK" w:cs="Times New Roman"/>
          <w:kern w:val="0"/>
          <w:sz w:val="32"/>
          <w:szCs w:val="32"/>
          <w:shd w:val="clear" w:fill="FFFFFF"/>
          <w:lang w:val="en-US" w:eastAsia="zh-CN"/>
        </w:rPr>
        <w:t>45</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4637.72</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center"/>
        <w:textAlignment w:val="auto"/>
        <w:outlineLvl w:val="9"/>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eastAsia" w:ascii="方正仿宋_GBK" w:hAnsi="方正仿宋_GBK" w:eastAsia="方正仿宋_GBK" w:cs="方正仿宋_GBK"/>
          <w:kern w:val="0"/>
          <w:sz w:val="32"/>
          <w:szCs w:val="32"/>
          <w:shd w:val="clear" w:fill="FFFFFF"/>
          <w:lang w:eastAsia="zh-CN"/>
        </w:rPr>
      </w:pPr>
    </w:p>
    <w:tbl>
      <w:tblPr>
        <w:tblStyle w:val="8"/>
        <w:tblW w:w="9164" w:type="dxa"/>
        <w:tblInd w:w="0" w:type="dxa"/>
        <w:shd w:val="clear" w:color="auto" w:fill="auto"/>
        <w:tblLayout w:type="fixed"/>
        <w:tblCellMar>
          <w:top w:w="0" w:type="dxa"/>
          <w:left w:w="0" w:type="dxa"/>
          <w:bottom w:w="0" w:type="dxa"/>
          <w:right w:w="0" w:type="dxa"/>
        </w:tblCellMar>
      </w:tblPr>
      <w:tblGrid>
        <w:gridCol w:w="750"/>
        <w:gridCol w:w="705"/>
        <w:gridCol w:w="477"/>
        <w:gridCol w:w="781"/>
        <w:gridCol w:w="744"/>
        <w:gridCol w:w="1202"/>
        <w:gridCol w:w="686"/>
        <w:gridCol w:w="1103"/>
        <w:gridCol w:w="538"/>
        <w:gridCol w:w="937"/>
        <w:gridCol w:w="1241"/>
      </w:tblGrid>
      <w:tr>
        <w:tblPrEx>
          <w:shd w:val="clear" w:color="auto" w:fill="auto"/>
          <w:tblLayout w:type="fixed"/>
          <w:tblCellMar>
            <w:top w:w="0" w:type="dxa"/>
            <w:left w:w="0" w:type="dxa"/>
            <w:bottom w:w="0" w:type="dxa"/>
            <w:right w:w="0" w:type="dxa"/>
          </w:tblCellMar>
        </w:tblPrEx>
        <w:trPr>
          <w:trHeight w:val="8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center"/>
              <w:textAlignment w:val="center"/>
              <w:outlineLvl w:val="9"/>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2024年度部门整体绩效自评表</w:t>
            </w:r>
          </w:p>
        </w:tc>
      </w:tr>
      <w:tr>
        <w:tblPrEx>
          <w:tblLayout w:type="fixed"/>
          <w:tblCellMar>
            <w:top w:w="0" w:type="dxa"/>
            <w:left w:w="0" w:type="dxa"/>
            <w:bottom w:w="0" w:type="dxa"/>
            <w:right w:w="0" w:type="dxa"/>
          </w:tblCellMar>
        </w:tblPrEx>
        <w:trPr>
          <w:trHeight w:val="5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right"/>
              <w:textAlignment w:val="center"/>
              <w:outlineLvl w:val="9"/>
              <w:rPr>
                <w:rFonts w:hint="eastAsia" w:ascii="宋体" w:hAnsi="宋体" w:eastAsia="宋体" w:cs="宋体"/>
                <w:b/>
                <w:i w:val="0"/>
                <w:color w:val="DA3232"/>
                <w:sz w:val="18"/>
                <w:szCs w:val="18"/>
                <w:u w:val="none"/>
              </w:rPr>
            </w:pPr>
            <w:r>
              <w:rPr>
                <w:rFonts w:hint="eastAsia" w:ascii="宋体" w:hAnsi="宋体" w:eastAsia="宋体" w:cs="宋体"/>
                <w:b/>
                <w:i w:val="0"/>
                <w:color w:val="DA3232"/>
                <w:kern w:val="0"/>
                <w:sz w:val="18"/>
                <w:szCs w:val="18"/>
                <w:u w:val="none"/>
                <w:lang w:val="en-US" w:eastAsia="zh-CN" w:bidi="ar"/>
              </w:rPr>
              <w:t>状态：业务审核已审</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巫溪县商务委员会整体监控</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50023800024P000027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1" w:firstLineChars="200"/>
              <w:jc w:val="left"/>
              <w:outlineLvl w:val="9"/>
              <w:rPr>
                <w:rFonts w:hint="eastAsia" w:ascii="宋体" w:hAnsi="宋体" w:eastAsia="宋体" w:cs="宋体"/>
                <w:b/>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027-巫溪县商务委员会</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007-企业科</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杨益琼</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18996615952</w:t>
            </w:r>
          </w:p>
        </w:tc>
      </w:tr>
      <w:tr>
        <w:tblPrEx>
          <w:tblLayout w:type="fixed"/>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4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4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4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贯彻执行国家、市国内外贸易、外商投资和国际经济合作的法律、法规、规章和方针政策；负责统筹进出口工作，开展全县商贸领域统计监测和综合运行分析；承担促进全县会展行业发展工作；牵头电子商务发展工作；负责指导商贸服务业安全生产工作；落实商贸领域促进消费工作的政策和措施，统筹商贸领域消费促进工作。2024年主要工作目标是：力争实现社会消费品零售总额同比增长6%；批发业商品销售额同比增长7%；零售业商品销售额同比增长8%；住宿业营业额同比增长7%；餐饮业营业额同比增长8%。重点培育1-2个全县电商龙头企业。</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2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贯彻执行国家、市国内外贸易、外商投资和国际经济合作的法律、法规、规章和方针政策；负责统筹进出口工作，开展全县商贸领域统计监测和综合运行分析；承担促进全县会展行业发展工作；牵头电子商务发展工作；负责指导商贸服务业安全生产工作；落实商贸领域促进消费工作的政策和措施，统筹商贸领域消费促进工作。2024年主要工作目标是：力争实现社会消费品零售总额同比增长6%；批发业商品销售额同比增长7%；零售业商品销售额同比增长8%；住宿业营业额同比增长7%；餐饮业营业额同比增长8%。重点培育1-2个全县电商龙头企业。</w:t>
            </w:r>
          </w:p>
        </w:tc>
      </w:tr>
      <w:tr>
        <w:tblPrEx>
          <w:tblLayout w:type="fixed"/>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完成猪肉储存量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吨</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资金支持项目数量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补助事项公示率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项目建设合格率及任务完成率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促进商贸企业增收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受益人员满意度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center"/>
        <w:textAlignment w:val="auto"/>
        <w:outlineLvl w:val="9"/>
        <w:rPr>
          <w:rFonts w:hint="eastAsia" w:ascii="方正仿宋_GBK" w:hAnsi="方正仿宋_GBK" w:eastAsia="方正仿宋_GBK" w:cs="方正仿宋_GBK"/>
          <w:kern w:val="0"/>
          <w:sz w:val="32"/>
          <w:szCs w:val="32"/>
          <w:shd w:val="clear" w:fill="FFFFFF"/>
          <w:lang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center"/>
        <w:textAlignment w:val="auto"/>
        <w:outlineLvl w:val="9"/>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8"/>
        <w:tblW w:w="9915" w:type="dxa"/>
        <w:tblInd w:w="0" w:type="dxa"/>
        <w:shd w:val="clear" w:color="auto" w:fill="auto"/>
        <w:tblLayout w:type="fixed"/>
        <w:tblCellMar>
          <w:top w:w="0" w:type="dxa"/>
          <w:left w:w="0" w:type="dxa"/>
          <w:bottom w:w="0" w:type="dxa"/>
          <w:right w:w="0" w:type="dxa"/>
        </w:tblCellMar>
      </w:tblPr>
      <w:tblGrid>
        <w:gridCol w:w="1124"/>
        <w:gridCol w:w="986"/>
        <w:gridCol w:w="799"/>
        <w:gridCol w:w="803"/>
        <w:gridCol w:w="1017"/>
        <w:gridCol w:w="1145"/>
        <w:gridCol w:w="680"/>
        <w:gridCol w:w="812"/>
        <w:gridCol w:w="668"/>
        <w:gridCol w:w="859"/>
        <w:gridCol w:w="1022"/>
      </w:tblGrid>
      <w:tr>
        <w:tblPrEx>
          <w:shd w:val="clear" w:color="auto" w:fill="auto"/>
          <w:tblLayout w:type="fixed"/>
          <w:tblCellMar>
            <w:top w:w="0" w:type="dxa"/>
            <w:left w:w="0" w:type="dxa"/>
            <w:bottom w:w="0" w:type="dxa"/>
            <w:right w:w="0" w:type="dxa"/>
          </w:tblCellMar>
        </w:tblPrEx>
        <w:trPr>
          <w:trHeight w:val="8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center"/>
              <w:textAlignment w:val="center"/>
              <w:outlineLvl w:val="9"/>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2024年度二级项目绩效自评表</w:t>
            </w:r>
          </w:p>
        </w:tc>
      </w:tr>
      <w:tr>
        <w:tblPrEx>
          <w:tblLayout w:type="fixed"/>
          <w:tblCellMar>
            <w:top w:w="0" w:type="dxa"/>
            <w:left w:w="0" w:type="dxa"/>
            <w:bottom w:w="0" w:type="dxa"/>
            <w:right w:w="0" w:type="dxa"/>
          </w:tblCellMar>
        </w:tblPrEx>
        <w:trPr>
          <w:trHeight w:val="5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right"/>
              <w:textAlignment w:val="center"/>
              <w:outlineLvl w:val="9"/>
              <w:rPr>
                <w:rFonts w:hint="eastAsia" w:ascii="宋体" w:hAnsi="宋体" w:eastAsia="宋体" w:cs="宋体"/>
                <w:b/>
                <w:i w:val="0"/>
                <w:color w:val="DA3232"/>
                <w:sz w:val="18"/>
                <w:szCs w:val="18"/>
                <w:u w:val="none"/>
              </w:rPr>
            </w:pPr>
            <w:r>
              <w:rPr>
                <w:rFonts w:hint="eastAsia" w:ascii="宋体" w:hAnsi="宋体" w:eastAsia="宋体" w:cs="宋体"/>
                <w:b/>
                <w:i w:val="0"/>
                <w:color w:val="DA3232"/>
                <w:kern w:val="0"/>
                <w:sz w:val="18"/>
                <w:szCs w:val="18"/>
                <w:u w:val="none"/>
                <w:lang w:val="en-US" w:eastAsia="zh-CN" w:bidi="ar"/>
              </w:rPr>
              <w:t>状态：业务审核已审</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巫溪县2024年冷链物流中心建设项目（巫溪商务发｛2024｝37号）</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50023825T000004546963</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1" w:firstLineChars="200"/>
              <w:jc w:val="left"/>
              <w:outlineLvl w:val="9"/>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027-巫溪县商务委员会</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007-企业科</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张强</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18996575767</w:t>
            </w:r>
          </w:p>
        </w:tc>
      </w:tr>
      <w:tr>
        <w:tblPrEx>
          <w:tblLayout w:type="fixed"/>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360" w:firstLineChars="200"/>
              <w:jc w:val="left"/>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3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3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r>
      <w:tr>
        <w:tblPrEx>
          <w:tblLayout w:type="fixed"/>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1" w:firstLineChars="200"/>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建设冷链物流中心面积</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项目验收合格率</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项目完成及时率</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冷链物流中心厂房建设成本建设</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带动务工人员增加收入</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冷链物流中心带动增加产业产值</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受益脱贫人数</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项目可持续年限</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r>
        <w:tblPrEx>
          <w:tblLayout w:type="fixed"/>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受益脱贫人口满意度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360" w:firstLineChars="20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及时完成</w:t>
            </w: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outlineLvl w:val="9"/>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2024年度没有进行部门绩效评价。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outlineLvl w:val="9"/>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w:t>
      </w:r>
      <w:r>
        <w:rPr>
          <w:rFonts w:hint="default" w:ascii="Times New Roman" w:hAnsi="Times New Roman" w:eastAsia="方正仿宋_GBK" w:cs="Times New Roman"/>
          <w:kern w:val="0"/>
          <w:sz w:val="32"/>
          <w:szCs w:val="32"/>
          <w:shd w:val="clear" w:fill="FFFFFF"/>
          <w:lang w:eastAsia="zh-CN"/>
        </w:rPr>
        <w:t>在</w:t>
      </w:r>
      <w:r>
        <w:rPr>
          <w:rFonts w:hint="default" w:ascii="Times New Roman" w:hAnsi="Times New Roman" w:eastAsia="方正仿宋_GBK" w:cs="Times New Roman"/>
          <w:kern w:val="0"/>
          <w:sz w:val="32"/>
          <w:szCs w:val="32"/>
          <w:shd w:val="clear" w:fill="FFFFFF"/>
          <w:lang w:val="en-US" w:eastAsia="zh-CN"/>
        </w:rPr>
        <w:t>2024年度</w:t>
      </w:r>
      <w:r>
        <w:rPr>
          <w:rFonts w:hint="default" w:ascii="Times New Roman" w:hAnsi="Times New Roman" w:eastAsia="方正仿宋_GBK" w:cs="Times New Roman"/>
          <w:kern w:val="0"/>
          <w:sz w:val="32"/>
          <w:szCs w:val="32"/>
          <w:shd w:val="clear" w:fill="FFFFFF"/>
          <w:lang w:eastAsia="zh-CN"/>
        </w:rPr>
        <w:t>没有</w:t>
      </w:r>
      <w:r>
        <w:rPr>
          <w:rFonts w:hint="default" w:ascii="Times New Roman" w:hAnsi="Times New Roman" w:eastAsia="方正仿宋_GBK" w:cs="Times New Roman"/>
          <w:kern w:val="0"/>
          <w:sz w:val="32"/>
          <w:szCs w:val="32"/>
          <w:shd w:val="clear" w:fill="FFFFFF"/>
        </w:rPr>
        <w:t>委托第三方对我部门（单位）开展了绩效评价</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黑体_GBK" w:cs="Times New Roman"/>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rPr>
      </w:pPr>
      <w:r>
        <w:rPr>
          <w:rStyle w:val="7"/>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黑体_GBK" w:cs="Times New Roman"/>
          <w:b w:val="0"/>
          <w:bCs/>
          <w:kern w:val="0"/>
          <w:sz w:val="32"/>
          <w:szCs w:val="32"/>
        </w:rPr>
      </w:pPr>
      <w:r>
        <w:rPr>
          <w:rStyle w:val="7"/>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rPr>
        <w:t>023-51811013</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p>
    <w:p>
      <w:pPr>
        <w:pStyle w:val="5"/>
        <w:snapToGrid w:val="0"/>
        <w:spacing w:before="0" w:beforeAutospacing="0" w:after="0" w:afterAutospacing="0" w:line="596" w:lineRule="exact"/>
        <w:jc w:val="both"/>
        <w:rPr>
          <w:rFonts w:hint="default" w:ascii="Times New Roman" w:hAnsi="Times New Roman" w:eastAsia="方正仿宋_GBK" w:cs="Times New Roman"/>
          <w:color w:val="FF0000"/>
          <w:sz w:val="32"/>
          <w:szCs w:val="32"/>
          <w:shd w:val="clear" w:color="auto" w:fill="FFFFFF"/>
        </w:rPr>
      </w:pPr>
    </w:p>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30"/>
          <w:szCs w:val="30"/>
          <w:u w:val="none"/>
          <w:lang w:val="en-US" w:eastAsia="zh-CN" w:bidi="ar"/>
        </w:rPr>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pPr>
    </w:p>
    <w:tbl>
      <w:tblPr>
        <w:tblStyle w:val="8"/>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巫溪县商务委员会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2,339.98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bCs/>
                <w:i w:val="0"/>
                <w:iCs w:val="0"/>
                <w:color w:val="000000"/>
                <w:kern w:val="0"/>
                <w:sz w:val="22"/>
                <w:szCs w:val="22"/>
                <w:u w:val="none"/>
                <w:lang w:val="en-US" w:eastAsia="zh-CN" w:bidi="ar"/>
              </w:rPr>
            </w:pP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 w:hRule="atLeast"/>
          <w:jc w:val="center"/>
        </w:trPr>
        <w:tc>
          <w:tcPr>
            <w:tcW w:w="437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Times New Roman" w:hAnsi="Times New Roman" w:cs="Times New Roman" w:eastAsiaTheme="minorEastAsia"/>
                <w:color w:val="000000"/>
                <w:sz w:val="22"/>
                <w:szCs w:val="22"/>
              </w:rPr>
              <w:t xml:space="preserve">5,149.77 </w:t>
            </w:r>
          </w:p>
        </w:tc>
        <w:tc>
          <w:tcPr>
            <w:tcW w:w="443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5,149.77 </w:t>
            </w:r>
          </w:p>
        </w:tc>
      </w:tr>
    </w:tbl>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sectPr>
          <w:pgSz w:w="23757" w:h="16783" w:orient="landscape"/>
          <w:pgMar w:top="1587" w:right="2098" w:bottom="1474" w:left="1984" w:header="0" w:footer="283" w:gutter="0"/>
          <w:pgNumType w:fmt="numberInDash"/>
          <w:cols w:space="0" w:num="1"/>
          <w:rtlGutter w:val="0"/>
          <w:docGrid w:type="lines" w:linePitch="338" w:charSpace="0"/>
        </w:sectPr>
      </w:pPr>
    </w:p>
    <w:tbl>
      <w:tblPr>
        <w:tblStyle w:val="8"/>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5,149.77</w:t>
            </w:r>
          </w:p>
        </w:tc>
      </w:tr>
    </w:tbl>
    <w:p>
      <w:pPr>
        <w:pStyle w:val="9"/>
        <w:numPr>
          <w:ilvl w:val="0"/>
          <w:numId w:val="0"/>
        </w:numPr>
        <w:autoSpaceDE w:val="0"/>
        <w:rPr>
          <w:rFonts w:hint="eastAsia" w:ascii="宋体" w:hAnsi="宋体" w:eastAsia="宋体" w:cs="宋体"/>
          <w:sz w:val="21"/>
          <w:szCs w:val="21"/>
          <w:lang w:val="en-US" w:eastAsia="zh-CN"/>
        </w:rPr>
        <w:sectPr>
          <w:pgSz w:w="23811" w:h="16838" w:orient="landscape"/>
          <w:pgMar w:top="1587" w:right="2098" w:bottom="1474" w:left="1984" w:header="0" w:footer="283" w:gutter="0"/>
          <w:pgNumType w:fmt="numberInDash"/>
          <w:cols w:space="0" w:num="1"/>
          <w:rtlGutter w:val="0"/>
          <w:docGrid w:type="lines" w:linePitch="338"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444"/>
        <w:gridCol w:w="430"/>
        <w:gridCol w:w="3703"/>
        <w:gridCol w:w="2135"/>
        <w:gridCol w:w="2136"/>
        <w:gridCol w:w="2135"/>
        <w:gridCol w:w="1547"/>
        <w:gridCol w:w="1782"/>
        <w:gridCol w:w="1963"/>
        <w:gridCol w:w="3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16690"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巫溪县商务委员会</w:t>
            </w:r>
          </w:p>
        </w:tc>
        <w:tc>
          <w:tcPr>
            <w:tcW w:w="3255"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7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54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7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96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32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2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5,149.77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5,149.77 </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25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中小企业发展专项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22205</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重要商品储备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89"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2220503</w:t>
            </w:r>
          </w:p>
        </w:tc>
        <w:tc>
          <w:tcPr>
            <w:tcW w:w="37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肉类储备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503"/>
        <w:gridCol w:w="534"/>
        <w:gridCol w:w="3835"/>
        <w:gridCol w:w="2433"/>
        <w:gridCol w:w="2432"/>
        <w:gridCol w:w="2432"/>
        <w:gridCol w:w="2433"/>
        <w:gridCol w:w="2432"/>
        <w:gridCol w:w="2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509"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巫溪县商务委员会 </w:t>
            </w:r>
          </w:p>
        </w:tc>
        <w:tc>
          <w:tcPr>
            <w:tcW w:w="24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509"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4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8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4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7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5,149.77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512.05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4,637.72 </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485.65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273.35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197.14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中小企业发展专项</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22205</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重要商品储备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2220503</w:t>
            </w:r>
          </w:p>
        </w:tc>
        <w:tc>
          <w:tcPr>
            <w:tcW w:w="38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肉类储备</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5,149.77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512.05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4,637.72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5,149.77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512.05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4,637.72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485.65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273.35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2011399</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其他商贸事务支出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197.14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165.84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资源勘探工业信息等支出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支持中小企业发展和管理支出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2150805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中小企业发展专项</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23.82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23.82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粮油物资储备支出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重要商品储备</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2220503</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肉类储备</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3224"/>
        <w:gridCol w:w="2364"/>
        <w:gridCol w:w="1101"/>
        <w:gridCol w:w="2556"/>
        <w:gridCol w:w="2110"/>
        <w:gridCol w:w="1011"/>
        <w:gridCol w:w="3982"/>
        <w:gridCol w:w="1"/>
        <w:gridCol w:w="2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7553"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23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7553"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3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6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152"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22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5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01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9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306.63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54.53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66.18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84.07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71.31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0.16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6.87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17.75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0.89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7.22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23.82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150.90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0.25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31.30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0.74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14.18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391"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364"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2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457.53 </w:t>
            </w:r>
          </w:p>
        </w:tc>
        <w:tc>
          <w:tcPr>
            <w:tcW w:w="10761"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巫溪县商务委员会</w:t>
            </w: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i w:val="0"/>
          <w:iCs w:val="0"/>
          <w:color w:val="000000"/>
          <w:kern w:val="0"/>
          <w:sz w:val="32"/>
          <w:szCs w:val="32"/>
          <w:u w:val="none"/>
          <w:lang w:val="en-US" w:eastAsia="zh-CN" w:bidi="ar"/>
        </w:rPr>
        <w:t>政府性基金预算财政拨款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
        <w:gridCol w:w="315"/>
        <w:gridCol w:w="316"/>
        <w:gridCol w:w="2400"/>
        <w:gridCol w:w="2195"/>
        <w:gridCol w:w="1859"/>
        <w:gridCol w:w="1969"/>
        <w:gridCol w:w="2236"/>
        <w:gridCol w:w="2162"/>
        <w:gridCol w:w="2078"/>
        <w:gridCol w:w="2061"/>
        <w:gridCol w:w="177"/>
        <w:gridCol w:w="1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8039"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巫溪县商务委员会</w:t>
            </w:r>
          </w:p>
        </w:tc>
        <w:tc>
          <w:tcPr>
            <w:tcW w:w="190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8039"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90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2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2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1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22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96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0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7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sz w:val="32"/>
          <w:szCs w:val="32"/>
          <w:lang w:val="en-US" w:eastAsia="zh-CN"/>
        </w:rPr>
        <w:t>国有资本经营预算财政拨款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巫溪县商务委员会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825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0.25</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12.82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tabs>
          <w:tab w:val="left" w:pos="630"/>
        </w:tabs>
        <w:bidi w:val="0"/>
        <w:jc w:val="left"/>
        <w:rPr>
          <w:rFonts w:hint="eastAsia" w:eastAsia="宋体"/>
          <w:lang w:eastAsia="zh-CN"/>
        </w:rPr>
      </w:pPr>
      <w:r>
        <w:rPr>
          <w:rFonts w:hint="eastAsia"/>
          <w:lang w:eastAsia="zh-CN"/>
        </w:rPr>
        <w:tab/>
      </w:r>
    </w:p>
    <w:sectPr>
      <w:pgSz w:w="23811" w:h="16838" w:orient="landscape"/>
      <w:pgMar w:top="1587" w:right="2098" w:bottom="1474" w:left="1984" w:header="0" w:footer="283" w:gutter="0"/>
      <w:pgNumType w:fmt="numberInDash"/>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7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0D41094"/>
    <w:rsid w:val="00E40FCA"/>
    <w:rsid w:val="01474EBF"/>
    <w:rsid w:val="01857B84"/>
    <w:rsid w:val="01CE0F8B"/>
    <w:rsid w:val="01F3521E"/>
    <w:rsid w:val="020742AF"/>
    <w:rsid w:val="02386A39"/>
    <w:rsid w:val="024628A5"/>
    <w:rsid w:val="029B19E1"/>
    <w:rsid w:val="02AC1DBE"/>
    <w:rsid w:val="02BD3061"/>
    <w:rsid w:val="02DD250E"/>
    <w:rsid w:val="031B19A8"/>
    <w:rsid w:val="03AD596C"/>
    <w:rsid w:val="03B306A7"/>
    <w:rsid w:val="03BA27B9"/>
    <w:rsid w:val="03BB1E7A"/>
    <w:rsid w:val="03E3214F"/>
    <w:rsid w:val="04446191"/>
    <w:rsid w:val="044C50BA"/>
    <w:rsid w:val="04803316"/>
    <w:rsid w:val="049E266F"/>
    <w:rsid w:val="04F4190C"/>
    <w:rsid w:val="0536621F"/>
    <w:rsid w:val="056925DD"/>
    <w:rsid w:val="057056E6"/>
    <w:rsid w:val="058E0D4E"/>
    <w:rsid w:val="059701B6"/>
    <w:rsid w:val="05E71467"/>
    <w:rsid w:val="06187749"/>
    <w:rsid w:val="06247E33"/>
    <w:rsid w:val="06413296"/>
    <w:rsid w:val="066D1B9A"/>
    <w:rsid w:val="06A20B77"/>
    <w:rsid w:val="06A2550B"/>
    <w:rsid w:val="06F03700"/>
    <w:rsid w:val="06F80EE2"/>
    <w:rsid w:val="07001CCA"/>
    <w:rsid w:val="072440C7"/>
    <w:rsid w:val="075321D2"/>
    <w:rsid w:val="075678DB"/>
    <w:rsid w:val="078259D6"/>
    <w:rsid w:val="07932335"/>
    <w:rsid w:val="07C97633"/>
    <w:rsid w:val="08051BCA"/>
    <w:rsid w:val="080A21BB"/>
    <w:rsid w:val="08384A2E"/>
    <w:rsid w:val="08490806"/>
    <w:rsid w:val="08BA052C"/>
    <w:rsid w:val="08BB70B2"/>
    <w:rsid w:val="08DB07BA"/>
    <w:rsid w:val="098305D0"/>
    <w:rsid w:val="09B72B6E"/>
    <w:rsid w:val="0A0C7F04"/>
    <w:rsid w:val="0A201814"/>
    <w:rsid w:val="0A225284"/>
    <w:rsid w:val="0A227275"/>
    <w:rsid w:val="0A5C4B69"/>
    <w:rsid w:val="0B9335CE"/>
    <w:rsid w:val="0BA10C97"/>
    <w:rsid w:val="0C554661"/>
    <w:rsid w:val="0C7927C4"/>
    <w:rsid w:val="0C9B098C"/>
    <w:rsid w:val="0CE012FB"/>
    <w:rsid w:val="0CE80A8F"/>
    <w:rsid w:val="0D3613F3"/>
    <w:rsid w:val="0D462425"/>
    <w:rsid w:val="0D472B48"/>
    <w:rsid w:val="0D673E11"/>
    <w:rsid w:val="0DB50EFE"/>
    <w:rsid w:val="0DD80FA1"/>
    <w:rsid w:val="0DDA54E4"/>
    <w:rsid w:val="0E3A5F83"/>
    <w:rsid w:val="0E691381"/>
    <w:rsid w:val="0E72579F"/>
    <w:rsid w:val="0E9478E1"/>
    <w:rsid w:val="0F090CC8"/>
    <w:rsid w:val="0F1C2FE8"/>
    <w:rsid w:val="0F836721"/>
    <w:rsid w:val="0F8908C5"/>
    <w:rsid w:val="103645A3"/>
    <w:rsid w:val="107B59E5"/>
    <w:rsid w:val="10872B84"/>
    <w:rsid w:val="10AA219D"/>
    <w:rsid w:val="10C71438"/>
    <w:rsid w:val="11003CB0"/>
    <w:rsid w:val="11124E18"/>
    <w:rsid w:val="111445C7"/>
    <w:rsid w:val="11542CE2"/>
    <w:rsid w:val="1158083A"/>
    <w:rsid w:val="115C5187"/>
    <w:rsid w:val="118100B0"/>
    <w:rsid w:val="11F03528"/>
    <w:rsid w:val="12136C52"/>
    <w:rsid w:val="12AD26FB"/>
    <w:rsid w:val="12C921C4"/>
    <w:rsid w:val="12CD2787"/>
    <w:rsid w:val="12DA353E"/>
    <w:rsid w:val="13267528"/>
    <w:rsid w:val="13850DCB"/>
    <w:rsid w:val="13871C70"/>
    <w:rsid w:val="13A71CB4"/>
    <w:rsid w:val="13AF1D43"/>
    <w:rsid w:val="13CE1647"/>
    <w:rsid w:val="140E56FB"/>
    <w:rsid w:val="14200702"/>
    <w:rsid w:val="144F3F11"/>
    <w:rsid w:val="146A7439"/>
    <w:rsid w:val="14871ABF"/>
    <w:rsid w:val="14A11C52"/>
    <w:rsid w:val="150335DA"/>
    <w:rsid w:val="153D0AB6"/>
    <w:rsid w:val="1580711B"/>
    <w:rsid w:val="15DD720A"/>
    <w:rsid w:val="167466E4"/>
    <w:rsid w:val="16B818AE"/>
    <w:rsid w:val="16D80EBF"/>
    <w:rsid w:val="170315DE"/>
    <w:rsid w:val="17D76992"/>
    <w:rsid w:val="18461C6E"/>
    <w:rsid w:val="18827FE4"/>
    <w:rsid w:val="189B0D0B"/>
    <w:rsid w:val="18B20C8B"/>
    <w:rsid w:val="18CC70AB"/>
    <w:rsid w:val="18E03A42"/>
    <w:rsid w:val="18EA7252"/>
    <w:rsid w:val="18F36004"/>
    <w:rsid w:val="190305AA"/>
    <w:rsid w:val="19313430"/>
    <w:rsid w:val="194A1770"/>
    <w:rsid w:val="19B906A4"/>
    <w:rsid w:val="19BC4734"/>
    <w:rsid w:val="19D022A7"/>
    <w:rsid w:val="1A1F744B"/>
    <w:rsid w:val="1A85415C"/>
    <w:rsid w:val="1AB10093"/>
    <w:rsid w:val="1AD124B6"/>
    <w:rsid w:val="1AD559D8"/>
    <w:rsid w:val="1B1F258B"/>
    <w:rsid w:val="1B4E41DB"/>
    <w:rsid w:val="1B501DE7"/>
    <w:rsid w:val="1B6F15B6"/>
    <w:rsid w:val="1B7864FF"/>
    <w:rsid w:val="1BAA2EDC"/>
    <w:rsid w:val="1BDA4BCE"/>
    <w:rsid w:val="1C010D51"/>
    <w:rsid w:val="1C1766D0"/>
    <w:rsid w:val="1C1A1D49"/>
    <w:rsid w:val="1C2517FB"/>
    <w:rsid w:val="1C4B0DF1"/>
    <w:rsid w:val="1C5F1196"/>
    <w:rsid w:val="1C9D5FDB"/>
    <w:rsid w:val="1CE157EE"/>
    <w:rsid w:val="1D014A01"/>
    <w:rsid w:val="1D022362"/>
    <w:rsid w:val="1D091B60"/>
    <w:rsid w:val="1D2B7D93"/>
    <w:rsid w:val="1D5A19B0"/>
    <w:rsid w:val="1D794AE5"/>
    <w:rsid w:val="1D8A3ED6"/>
    <w:rsid w:val="1D983EFA"/>
    <w:rsid w:val="1DD26311"/>
    <w:rsid w:val="1DE57DAF"/>
    <w:rsid w:val="1E3D759E"/>
    <w:rsid w:val="1E85445B"/>
    <w:rsid w:val="1EF67CA4"/>
    <w:rsid w:val="1EFE28D5"/>
    <w:rsid w:val="1F213FD9"/>
    <w:rsid w:val="1FCD26AF"/>
    <w:rsid w:val="20642787"/>
    <w:rsid w:val="20790BC6"/>
    <w:rsid w:val="20A16CF2"/>
    <w:rsid w:val="20B70CC8"/>
    <w:rsid w:val="20C76CF1"/>
    <w:rsid w:val="20C83310"/>
    <w:rsid w:val="20EC77A3"/>
    <w:rsid w:val="212A6164"/>
    <w:rsid w:val="2143082C"/>
    <w:rsid w:val="21556F04"/>
    <w:rsid w:val="21715853"/>
    <w:rsid w:val="2221385A"/>
    <w:rsid w:val="22403BD3"/>
    <w:rsid w:val="22967A66"/>
    <w:rsid w:val="23041F4B"/>
    <w:rsid w:val="2318134B"/>
    <w:rsid w:val="23A64E9D"/>
    <w:rsid w:val="24B92327"/>
    <w:rsid w:val="252833D0"/>
    <w:rsid w:val="2533755C"/>
    <w:rsid w:val="256D65E0"/>
    <w:rsid w:val="257120B1"/>
    <w:rsid w:val="25D141D6"/>
    <w:rsid w:val="261049BC"/>
    <w:rsid w:val="26396DF4"/>
    <w:rsid w:val="26417374"/>
    <w:rsid w:val="266B763B"/>
    <w:rsid w:val="271158B8"/>
    <w:rsid w:val="27167136"/>
    <w:rsid w:val="2740610E"/>
    <w:rsid w:val="27B23302"/>
    <w:rsid w:val="27C4304A"/>
    <w:rsid w:val="27D424D7"/>
    <w:rsid w:val="28050ABD"/>
    <w:rsid w:val="285722C3"/>
    <w:rsid w:val="28CD553F"/>
    <w:rsid w:val="28DC1FF8"/>
    <w:rsid w:val="29310A5F"/>
    <w:rsid w:val="297C7AE1"/>
    <w:rsid w:val="29C37A35"/>
    <w:rsid w:val="2A076083"/>
    <w:rsid w:val="2A306CA5"/>
    <w:rsid w:val="2A73162E"/>
    <w:rsid w:val="2AFA2E94"/>
    <w:rsid w:val="2B0C51EB"/>
    <w:rsid w:val="2B167953"/>
    <w:rsid w:val="2B200583"/>
    <w:rsid w:val="2B370751"/>
    <w:rsid w:val="2B446313"/>
    <w:rsid w:val="2B8209DE"/>
    <w:rsid w:val="2BA23A95"/>
    <w:rsid w:val="2BB97AA7"/>
    <w:rsid w:val="2BF03012"/>
    <w:rsid w:val="2BF531DC"/>
    <w:rsid w:val="2BFD4DC5"/>
    <w:rsid w:val="2C6762A3"/>
    <w:rsid w:val="2CA25B5D"/>
    <w:rsid w:val="2CB06E57"/>
    <w:rsid w:val="2D1C53F1"/>
    <w:rsid w:val="2D5F4C37"/>
    <w:rsid w:val="2E8A1A09"/>
    <w:rsid w:val="2ED83CD2"/>
    <w:rsid w:val="2F4A5C48"/>
    <w:rsid w:val="2F5664BB"/>
    <w:rsid w:val="2FBE48E8"/>
    <w:rsid w:val="2FE029D7"/>
    <w:rsid w:val="2FF06E00"/>
    <w:rsid w:val="303A4D95"/>
    <w:rsid w:val="307127BB"/>
    <w:rsid w:val="30BD5BBB"/>
    <w:rsid w:val="30DE529C"/>
    <w:rsid w:val="30EF5AB5"/>
    <w:rsid w:val="314C489A"/>
    <w:rsid w:val="315F0B22"/>
    <w:rsid w:val="316E1EE4"/>
    <w:rsid w:val="31705197"/>
    <w:rsid w:val="31BE24D6"/>
    <w:rsid w:val="31D84415"/>
    <w:rsid w:val="32285F6F"/>
    <w:rsid w:val="32770556"/>
    <w:rsid w:val="32927CAD"/>
    <w:rsid w:val="329C0913"/>
    <w:rsid w:val="32C6776A"/>
    <w:rsid w:val="32E931BC"/>
    <w:rsid w:val="3337290D"/>
    <w:rsid w:val="33E14574"/>
    <w:rsid w:val="352930DB"/>
    <w:rsid w:val="35573069"/>
    <w:rsid w:val="358C217E"/>
    <w:rsid w:val="359E7284"/>
    <w:rsid w:val="359F188C"/>
    <w:rsid w:val="3657365F"/>
    <w:rsid w:val="368F239A"/>
    <w:rsid w:val="369177B2"/>
    <w:rsid w:val="36BC18F4"/>
    <w:rsid w:val="36C9128A"/>
    <w:rsid w:val="37841E99"/>
    <w:rsid w:val="37945753"/>
    <w:rsid w:val="379A1843"/>
    <w:rsid w:val="379C594F"/>
    <w:rsid w:val="37AE5ABB"/>
    <w:rsid w:val="37BF1123"/>
    <w:rsid w:val="37C85E36"/>
    <w:rsid w:val="381E558C"/>
    <w:rsid w:val="38781EC7"/>
    <w:rsid w:val="38B41D97"/>
    <w:rsid w:val="38BE4696"/>
    <w:rsid w:val="38FC58EB"/>
    <w:rsid w:val="391D66BA"/>
    <w:rsid w:val="39351A6C"/>
    <w:rsid w:val="39396722"/>
    <w:rsid w:val="393D3992"/>
    <w:rsid w:val="395446E5"/>
    <w:rsid w:val="39A034BE"/>
    <w:rsid w:val="39B82A39"/>
    <w:rsid w:val="39E10335"/>
    <w:rsid w:val="39EB10E5"/>
    <w:rsid w:val="39F33306"/>
    <w:rsid w:val="39F50A35"/>
    <w:rsid w:val="3A214C18"/>
    <w:rsid w:val="3A7474E6"/>
    <w:rsid w:val="3B025171"/>
    <w:rsid w:val="3B1705E5"/>
    <w:rsid w:val="3B18334B"/>
    <w:rsid w:val="3B2B51BE"/>
    <w:rsid w:val="3B36794F"/>
    <w:rsid w:val="3B544954"/>
    <w:rsid w:val="3B793FF0"/>
    <w:rsid w:val="3B847844"/>
    <w:rsid w:val="3B97076E"/>
    <w:rsid w:val="3BDA6049"/>
    <w:rsid w:val="3C5A5928"/>
    <w:rsid w:val="3C6A5B02"/>
    <w:rsid w:val="3C6D46D4"/>
    <w:rsid w:val="3D1C34F6"/>
    <w:rsid w:val="3D202B17"/>
    <w:rsid w:val="3D2757A1"/>
    <w:rsid w:val="3D3D4FC4"/>
    <w:rsid w:val="3D5A3B07"/>
    <w:rsid w:val="3DDF3AB1"/>
    <w:rsid w:val="3DE60B7E"/>
    <w:rsid w:val="3E1D0952"/>
    <w:rsid w:val="3E42660A"/>
    <w:rsid w:val="3E735A2C"/>
    <w:rsid w:val="3E7555B1"/>
    <w:rsid w:val="3E990F8B"/>
    <w:rsid w:val="3EA72472"/>
    <w:rsid w:val="3EDE1208"/>
    <w:rsid w:val="3F0527E5"/>
    <w:rsid w:val="3F16459E"/>
    <w:rsid w:val="3F2D0FE9"/>
    <w:rsid w:val="3F4A6687"/>
    <w:rsid w:val="3F6D648D"/>
    <w:rsid w:val="4004000C"/>
    <w:rsid w:val="404C6D72"/>
    <w:rsid w:val="40883B40"/>
    <w:rsid w:val="411B6CE5"/>
    <w:rsid w:val="412070D7"/>
    <w:rsid w:val="41314E40"/>
    <w:rsid w:val="41431D30"/>
    <w:rsid w:val="415C674B"/>
    <w:rsid w:val="41DD4531"/>
    <w:rsid w:val="426C1EA8"/>
    <w:rsid w:val="427D7E54"/>
    <w:rsid w:val="42BB1242"/>
    <w:rsid w:val="42E86A87"/>
    <w:rsid w:val="43136432"/>
    <w:rsid w:val="439C1F32"/>
    <w:rsid w:val="43C12A8D"/>
    <w:rsid w:val="443A3B12"/>
    <w:rsid w:val="44487B36"/>
    <w:rsid w:val="44DC195E"/>
    <w:rsid w:val="44EF6BE8"/>
    <w:rsid w:val="452E05A0"/>
    <w:rsid w:val="45817673"/>
    <w:rsid w:val="45A30364"/>
    <w:rsid w:val="45AE704D"/>
    <w:rsid w:val="45B03324"/>
    <w:rsid w:val="464A1B60"/>
    <w:rsid w:val="465B470D"/>
    <w:rsid w:val="469D6AD4"/>
    <w:rsid w:val="46C57780"/>
    <w:rsid w:val="47674801"/>
    <w:rsid w:val="4793779C"/>
    <w:rsid w:val="48036F25"/>
    <w:rsid w:val="481C49AC"/>
    <w:rsid w:val="481F1C06"/>
    <w:rsid w:val="48225EF7"/>
    <w:rsid w:val="48875B01"/>
    <w:rsid w:val="48A36D47"/>
    <w:rsid w:val="48C60970"/>
    <w:rsid w:val="48DA7560"/>
    <w:rsid w:val="493504AD"/>
    <w:rsid w:val="495C4A24"/>
    <w:rsid w:val="49625C63"/>
    <w:rsid w:val="49A21DF3"/>
    <w:rsid w:val="49C811E4"/>
    <w:rsid w:val="4A106470"/>
    <w:rsid w:val="4A216E30"/>
    <w:rsid w:val="4B6230D5"/>
    <w:rsid w:val="4B724AAF"/>
    <w:rsid w:val="4B7951CB"/>
    <w:rsid w:val="4B7C315C"/>
    <w:rsid w:val="4B8B5633"/>
    <w:rsid w:val="4B9300D7"/>
    <w:rsid w:val="4BAB7F90"/>
    <w:rsid w:val="4BC3246D"/>
    <w:rsid w:val="4BCC3B89"/>
    <w:rsid w:val="4BD53EDA"/>
    <w:rsid w:val="4BE05E53"/>
    <w:rsid w:val="4BE11807"/>
    <w:rsid w:val="4BFE3717"/>
    <w:rsid w:val="4C0D26CB"/>
    <w:rsid w:val="4C484CE5"/>
    <w:rsid w:val="4C68238D"/>
    <w:rsid w:val="4CC60772"/>
    <w:rsid w:val="4CE440C7"/>
    <w:rsid w:val="4DAC4ACA"/>
    <w:rsid w:val="4DB8759C"/>
    <w:rsid w:val="4DD06F63"/>
    <w:rsid w:val="4E043596"/>
    <w:rsid w:val="4EA8523F"/>
    <w:rsid w:val="4F186D58"/>
    <w:rsid w:val="4F224836"/>
    <w:rsid w:val="4F282626"/>
    <w:rsid w:val="4F2E34D2"/>
    <w:rsid w:val="4F503F3E"/>
    <w:rsid w:val="4FA3779A"/>
    <w:rsid w:val="50605AC0"/>
    <w:rsid w:val="50794F48"/>
    <w:rsid w:val="515F32BD"/>
    <w:rsid w:val="51760217"/>
    <w:rsid w:val="51E36677"/>
    <w:rsid w:val="51F804B4"/>
    <w:rsid w:val="52132C3D"/>
    <w:rsid w:val="522F6E0C"/>
    <w:rsid w:val="52463BA1"/>
    <w:rsid w:val="528821D0"/>
    <w:rsid w:val="529F078E"/>
    <w:rsid w:val="52CC3CC7"/>
    <w:rsid w:val="52DA198B"/>
    <w:rsid w:val="52FC4003"/>
    <w:rsid w:val="53C0244D"/>
    <w:rsid w:val="53DD4D4E"/>
    <w:rsid w:val="53E578CE"/>
    <w:rsid w:val="53EA10F5"/>
    <w:rsid w:val="53F5488E"/>
    <w:rsid w:val="543B029D"/>
    <w:rsid w:val="54977029"/>
    <w:rsid w:val="54D13569"/>
    <w:rsid w:val="554E5773"/>
    <w:rsid w:val="555A3CBC"/>
    <w:rsid w:val="55EF4EA6"/>
    <w:rsid w:val="560958F4"/>
    <w:rsid w:val="5631138B"/>
    <w:rsid w:val="56530F5D"/>
    <w:rsid w:val="565912B4"/>
    <w:rsid w:val="56DE6F54"/>
    <w:rsid w:val="56EE372E"/>
    <w:rsid w:val="573C1DD3"/>
    <w:rsid w:val="5842572D"/>
    <w:rsid w:val="587C4E27"/>
    <w:rsid w:val="598A28E2"/>
    <w:rsid w:val="59DC0F0A"/>
    <w:rsid w:val="5A1B1E54"/>
    <w:rsid w:val="5A4C4EC5"/>
    <w:rsid w:val="5AC52900"/>
    <w:rsid w:val="5B061DDC"/>
    <w:rsid w:val="5B2A24F1"/>
    <w:rsid w:val="5B375BB8"/>
    <w:rsid w:val="5B8C0999"/>
    <w:rsid w:val="5B9E2A1B"/>
    <w:rsid w:val="5C1336B7"/>
    <w:rsid w:val="5C263CE4"/>
    <w:rsid w:val="5C3B31E9"/>
    <w:rsid w:val="5C5510C9"/>
    <w:rsid w:val="5C5D2777"/>
    <w:rsid w:val="5C722D7F"/>
    <w:rsid w:val="5D290C69"/>
    <w:rsid w:val="5DA04246"/>
    <w:rsid w:val="5DC526CE"/>
    <w:rsid w:val="5EF45F87"/>
    <w:rsid w:val="5EFA176D"/>
    <w:rsid w:val="5F0114FF"/>
    <w:rsid w:val="5F0247F9"/>
    <w:rsid w:val="5F08178A"/>
    <w:rsid w:val="5F2D4A41"/>
    <w:rsid w:val="601269ED"/>
    <w:rsid w:val="601665C0"/>
    <w:rsid w:val="601C34ED"/>
    <w:rsid w:val="604F4E55"/>
    <w:rsid w:val="609B29C3"/>
    <w:rsid w:val="60A511FB"/>
    <w:rsid w:val="60EA077B"/>
    <w:rsid w:val="60F73D92"/>
    <w:rsid w:val="61025A59"/>
    <w:rsid w:val="611A1BF5"/>
    <w:rsid w:val="613D5BBC"/>
    <w:rsid w:val="61536C39"/>
    <w:rsid w:val="616D60F9"/>
    <w:rsid w:val="61865113"/>
    <w:rsid w:val="6197233A"/>
    <w:rsid w:val="61B61DB4"/>
    <w:rsid w:val="62944DD7"/>
    <w:rsid w:val="63497036"/>
    <w:rsid w:val="635E4E03"/>
    <w:rsid w:val="63651CA8"/>
    <w:rsid w:val="63767610"/>
    <w:rsid w:val="63931D62"/>
    <w:rsid w:val="639E6856"/>
    <w:rsid w:val="63C1619B"/>
    <w:rsid w:val="63C25DC5"/>
    <w:rsid w:val="63C62057"/>
    <w:rsid w:val="63C73832"/>
    <w:rsid w:val="63ED4BF7"/>
    <w:rsid w:val="640808A9"/>
    <w:rsid w:val="64087F1C"/>
    <w:rsid w:val="64192A39"/>
    <w:rsid w:val="642356F9"/>
    <w:rsid w:val="64256A91"/>
    <w:rsid w:val="6481202F"/>
    <w:rsid w:val="64873793"/>
    <w:rsid w:val="64CE1A15"/>
    <w:rsid w:val="64FA5A2C"/>
    <w:rsid w:val="64FB113D"/>
    <w:rsid w:val="6512286D"/>
    <w:rsid w:val="6544377C"/>
    <w:rsid w:val="6545575A"/>
    <w:rsid w:val="655F5939"/>
    <w:rsid w:val="656152C6"/>
    <w:rsid w:val="6587477F"/>
    <w:rsid w:val="658C3A08"/>
    <w:rsid w:val="65947C15"/>
    <w:rsid w:val="65B9255D"/>
    <w:rsid w:val="65C031CA"/>
    <w:rsid w:val="65C96229"/>
    <w:rsid w:val="65CE6852"/>
    <w:rsid w:val="65F004F9"/>
    <w:rsid w:val="66267C04"/>
    <w:rsid w:val="663F505A"/>
    <w:rsid w:val="66734004"/>
    <w:rsid w:val="66796EB5"/>
    <w:rsid w:val="667F2393"/>
    <w:rsid w:val="66AF6333"/>
    <w:rsid w:val="66EE5541"/>
    <w:rsid w:val="67086152"/>
    <w:rsid w:val="67112659"/>
    <w:rsid w:val="677D5D07"/>
    <w:rsid w:val="67C055A9"/>
    <w:rsid w:val="67C125D7"/>
    <w:rsid w:val="687E45FE"/>
    <w:rsid w:val="68985BC4"/>
    <w:rsid w:val="692172FD"/>
    <w:rsid w:val="69223644"/>
    <w:rsid w:val="69753B68"/>
    <w:rsid w:val="6A3829EE"/>
    <w:rsid w:val="6A4E1D6B"/>
    <w:rsid w:val="6A7A3857"/>
    <w:rsid w:val="6A8D53E2"/>
    <w:rsid w:val="6A924CB7"/>
    <w:rsid w:val="6AE0292E"/>
    <w:rsid w:val="6B474EF5"/>
    <w:rsid w:val="6B81608E"/>
    <w:rsid w:val="6BC27679"/>
    <w:rsid w:val="6BC54EFE"/>
    <w:rsid w:val="6BE46750"/>
    <w:rsid w:val="6C047B72"/>
    <w:rsid w:val="6C3F3F87"/>
    <w:rsid w:val="6C424371"/>
    <w:rsid w:val="6C560CAE"/>
    <w:rsid w:val="6C691B9C"/>
    <w:rsid w:val="6C776BBA"/>
    <w:rsid w:val="6CD15296"/>
    <w:rsid w:val="6D0F3503"/>
    <w:rsid w:val="6D903FF5"/>
    <w:rsid w:val="6D95716B"/>
    <w:rsid w:val="6D9C3BF0"/>
    <w:rsid w:val="6DA955B8"/>
    <w:rsid w:val="6DE346AB"/>
    <w:rsid w:val="6E2A4715"/>
    <w:rsid w:val="6EDB0EE9"/>
    <w:rsid w:val="6F133E1C"/>
    <w:rsid w:val="6FAB7BD7"/>
    <w:rsid w:val="6FC85C89"/>
    <w:rsid w:val="6FFB2E76"/>
    <w:rsid w:val="70014A8A"/>
    <w:rsid w:val="70100790"/>
    <w:rsid w:val="70AB70D6"/>
    <w:rsid w:val="70DE5507"/>
    <w:rsid w:val="70E410D6"/>
    <w:rsid w:val="710152CA"/>
    <w:rsid w:val="71404450"/>
    <w:rsid w:val="718C12E2"/>
    <w:rsid w:val="71C34D91"/>
    <w:rsid w:val="71DA7146"/>
    <w:rsid w:val="71ED38AA"/>
    <w:rsid w:val="7200447A"/>
    <w:rsid w:val="7209601E"/>
    <w:rsid w:val="7295630C"/>
    <w:rsid w:val="72DB435C"/>
    <w:rsid w:val="72DE4EB8"/>
    <w:rsid w:val="73793275"/>
    <w:rsid w:val="73883A98"/>
    <w:rsid w:val="73DE1F4B"/>
    <w:rsid w:val="74231781"/>
    <w:rsid w:val="742B16D2"/>
    <w:rsid w:val="749C1356"/>
    <w:rsid w:val="74ED1B1B"/>
    <w:rsid w:val="750837F0"/>
    <w:rsid w:val="7511404C"/>
    <w:rsid w:val="757D6A04"/>
    <w:rsid w:val="75B80ED4"/>
    <w:rsid w:val="762A73EF"/>
    <w:rsid w:val="7631412E"/>
    <w:rsid w:val="764F62AB"/>
    <w:rsid w:val="765C45EC"/>
    <w:rsid w:val="768A7619"/>
    <w:rsid w:val="76BA1342"/>
    <w:rsid w:val="76E774E8"/>
    <w:rsid w:val="76F75A83"/>
    <w:rsid w:val="7714640F"/>
    <w:rsid w:val="773A1C1E"/>
    <w:rsid w:val="773E294E"/>
    <w:rsid w:val="77416F49"/>
    <w:rsid w:val="77C42199"/>
    <w:rsid w:val="77EA362A"/>
    <w:rsid w:val="78077005"/>
    <w:rsid w:val="780B3034"/>
    <w:rsid w:val="7875383E"/>
    <w:rsid w:val="78CD3A87"/>
    <w:rsid w:val="78D63C06"/>
    <w:rsid w:val="791F73EE"/>
    <w:rsid w:val="792762C9"/>
    <w:rsid w:val="795A76B8"/>
    <w:rsid w:val="796D60A4"/>
    <w:rsid w:val="79785BF7"/>
    <w:rsid w:val="797C1EDF"/>
    <w:rsid w:val="79A031D5"/>
    <w:rsid w:val="79A52681"/>
    <w:rsid w:val="79F07ABE"/>
    <w:rsid w:val="7A12100F"/>
    <w:rsid w:val="7A1525F7"/>
    <w:rsid w:val="7A2631DF"/>
    <w:rsid w:val="7A3E6CB6"/>
    <w:rsid w:val="7A99799F"/>
    <w:rsid w:val="7B420052"/>
    <w:rsid w:val="7B442795"/>
    <w:rsid w:val="7B7D43A1"/>
    <w:rsid w:val="7B9D0F9A"/>
    <w:rsid w:val="7BD06A28"/>
    <w:rsid w:val="7BE13127"/>
    <w:rsid w:val="7BE54799"/>
    <w:rsid w:val="7C1E4CD7"/>
    <w:rsid w:val="7C3A7C0B"/>
    <w:rsid w:val="7C5248E4"/>
    <w:rsid w:val="7C566698"/>
    <w:rsid w:val="7CC64516"/>
    <w:rsid w:val="7CE56AF6"/>
    <w:rsid w:val="7CF02E5B"/>
    <w:rsid w:val="7D017295"/>
    <w:rsid w:val="7D1F42C6"/>
    <w:rsid w:val="7D213FB2"/>
    <w:rsid w:val="7D3528FB"/>
    <w:rsid w:val="7D55033F"/>
    <w:rsid w:val="7D5725A4"/>
    <w:rsid w:val="7DB174C8"/>
    <w:rsid w:val="7DC03E97"/>
    <w:rsid w:val="7E182DB3"/>
    <w:rsid w:val="7E703B0E"/>
    <w:rsid w:val="7F91338D"/>
    <w:rsid w:val="7FA834D3"/>
    <w:rsid w:val="7FAB2531"/>
    <w:rsid w:val="7FF564B5"/>
    <w:rsid w:val="7FF57E8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TableOfAuthoring"/>
    <w:basedOn w:val="1"/>
    <w:next w:val="1"/>
    <w:qFormat/>
    <w:uiPriority w:val="0"/>
    <w:pPr>
      <w:widowControl/>
      <w:ind w:left="420" w:leftChars="200"/>
      <w:textAlignment w:val="baseline"/>
    </w:pPr>
    <w:rPr>
      <w:rFonts w:eastAsia="宋体" w:cs="Times New Roman"/>
      <w:sz w:val="21"/>
      <w:szCs w:val="24"/>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0</TotalTime>
  <ScaleCrop>false</ScaleCrop>
  <LinksUpToDate>false</LinksUpToDate>
  <CharactersWithSpaces>21460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2025-09-17T09:34:16Z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