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78" w:lineRule="exact"/>
        <w:ind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巫溪县商务综合执法大队</w:t>
      </w:r>
    </w:p>
    <w:p>
      <w:pPr>
        <w:pStyle w:val="7"/>
        <w:keepNext w:val="0"/>
        <w:keepLines w:val="0"/>
        <w:pageBreakBefore w:val="0"/>
        <w:widowControl/>
        <w:kinsoku/>
        <w:wordWrap/>
        <w:overflowPunct/>
        <w:topLinePunct w:val="0"/>
        <w:autoSpaceDN/>
        <w:bidi w:val="0"/>
        <w:adjustRightInd/>
        <w:spacing w:before="0" w:beforeAutospacing="0" w:after="0" w:afterAutospacing="0" w:line="578" w:lineRule="exact"/>
        <w:ind w:firstLine="880" w:firstLineChars="20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jc w:val="both"/>
        <w:textAlignment w:val="auto"/>
        <w:rPr>
          <w:rStyle w:val="9"/>
          <w:rFonts w:hint="default" w:ascii="Times New Roman" w:hAnsi="Times New Roman" w:eastAsia="黑体" w:cs="Times New Roman"/>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基本情况</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（一）职能职责</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1</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贯彻执行国家及重庆市有关商务领域法律</w:t>
      </w:r>
      <w:r>
        <w:rPr>
          <w:rFonts w:hint="default" w:ascii="Times New Roman" w:hAnsi="Times New Roman" w:eastAsia="方正仿宋_GBK" w:cs="Times New Roman"/>
          <w:color w:val="auto"/>
          <w:sz w:val="32"/>
          <w:szCs w:val="32"/>
          <w:shd w:val="clear" w:color="auto" w:fill="FFFFFF"/>
          <w:lang w:val="en-US" w:eastAsia="zh-CN"/>
        </w:rPr>
        <w:t>法规</w:t>
      </w:r>
      <w:r>
        <w:rPr>
          <w:rFonts w:hint="default" w:ascii="Times New Roman" w:hAnsi="Times New Roman" w:eastAsia="方正仿宋_GBK" w:cs="Times New Roman"/>
          <w:color w:val="auto"/>
          <w:sz w:val="32"/>
          <w:szCs w:val="32"/>
          <w:shd w:val="clear" w:color="auto" w:fill="FFFFFF"/>
        </w:rPr>
        <w:t>和规章。</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2</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负责查处酒类流通、成品油市场、液化石油气、二手车流道、再生资源回收、洗染业、美容美发业、典当、拍卖、零售商促销、零售商供应商交易、商业特许经营、商业预付卡管理、粮油购销、散装水泥等商贸领域有关违反法律法规的案件，打击扰乱市场经营秩序的违法行为，构成犯罪的，按程序依法移送司法机关处理。</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3</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承担“12312”商务投诉举报服务中心的受理投诉，并提供商务法律法规的咨询、指导服务以及采集上报扰乱商贸流通秩序的突出事件和信息。</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负责查办商务领城举报投诉案件。</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5</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配合相关部门开展联合执法。</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6</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完成县委、县政府和主管部门交办的其他工作。</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（二）机构设置</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巫溪县商务</w:t>
      </w:r>
      <w:r>
        <w:rPr>
          <w:rFonts w:hint="default" w:ascii="Times New Roman" w:hAnsi="Times New Roman" w:eastAsia="仿宋_GB2312" w:cs="Times New Roman"/>
          <w:sz w:val="32"/>
          <w:szCs w:val="32"/>
          <w:lang w:eastAsia="zh-CN"/>
        </w:rPr>
        <w:t>综合执法大队，在</w:t>
      </w:r>
      <w:r>
        <w:rPr>
          <w:rFonts w:hint="default" w:ascii="Times New Roman" w:hAnsi="Times New Roman" w:eastAsia="仿宋_GB2312" w:cs="Times New Roman"/>
          <w:sz w:val="32"/>
          <w:szCs w:val="32"/>
          <w:lang w:val="en-US" w:eastAsia="zh-CN"/>
        </w:rPr>
        <w:t>2024年6月从委机关拆分为二级预算单位，目前</w:t>
      </w:r>
      <w:r>
        <w:rPr>
          <w:rFonts w:hint="default" w:ascii="Times New Roman" w:hAnsi="Times New Roman" w:eastAsia="仿宋_GB2312" w:cs="Times New Roman"/>
          <w:sz w:val="32"/>
          <w:szCs w:val="32"/>
        </w:rPr>
        <w:t>在职实有人数</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9"/>
          <w:rFonts w:hint="default" w:ascii="方正黑体_GBK" w:hAnsi="方正黑体_GBK" w:eastAsia="方正黑体_GBK" w:cs="方正黑体_GBK"/>
          <w:b w:val="0"/>
          <w:bCs/>
          <w:sz w:val="32"/>
          <w:szCs w:val="32"/>
          <w:shd w:val="clear" w:color="auto" w:fill="FFFFFF"/>
        </w:rPr>
      </w:pPr>
      <w:r>
        <w:rPr>
          <w:rStyle w:val="9"/>
          <w:rFonts w:hint="default" w:ascii="方正黑体_GBK" w:hAnsi="方正黑体_GBK" w:eastAsia="方正黑体_GBK" w:cs="方正黑体_GBK"/>
          <w:b w:val="0"/>
          <w:bCs/>
          <w:sz w:val="32"/>
          <w:szCs w:val="32"/>
          <w:shd w:val="clear" w:color="auto" w:fill="FFFFFF"/>
        </w:rPr>
        <w:t>二、</w:t>
      </w:r>
      <w:r>
        <w:rPr>
          <w:rStyle w:val="9"/>
          <w:rFonts w:hint="default" w:ascii="方正黑体_GBK" w:hAnsi="方正黑体_GBK" w:eastAsia="方正黑体_GBK" w:cs="方正黑体_GBK"/>
          <w:b w:val="0"/>
          <w:bCs/>
          <w:sz w:val="32"/>
          <w:szCs w:val="32"/>
          <w:shd w:val="clear" w:color="auto" w:fill="FFFFFF"/>
          <w:lang w:eastAsia="zh-CN"/>
        </w:rPr>
        <w:t>单位</w:t>
      </w:r>
      <w:r>
        <w:rPr>
          <w:rStyle w:val="9"/>
          <w:rFonts w:hint="default" w:ascii="方正黑体_GBK" w:hAnsi="方正黑体_GBK" w:eastAsia="方正黑体_GBK" w:cs="方正黑体_GBK"/>
          <w:b w:val="0"/>
          <w:bCs/>
          <w:sz w:val="32"/>
          <w:szCs w:val="32"/>
          <w:shd w:val="clear" w:color="auto" w:fill="FFFFFF"/>
        </w:rPr>
        <w:t>决算</w:t>
      </w:r>
      <w:r>
        <w:rPr>
          <w:rStyle w:val="9"/>
          <w:rFonts w:hint="default" w:ascii="方正黑体_GBK" w:hAnsi="方正黑体_GBK" w:eastAsia="方正黑体_GBK" w:cs="方正黑体_GBK"/>
          <w:b w:val="0"/>
          <w:bCs/>
          <w:sz w:val="32"/>
          <w:szCs w:val="32"/>
          <w:shd w:val="clear" w:color="auto" w:fill="FFFFFF"/>
          <w:lang w:eastAsia="zh-CN"/>
        </w:rPr>
        <w:t>收支</w:t>
      </w:r>
      <w:r>
        <w:rPr>
          <w:rStyle w:val="9"/>
          <w:rFonts w:hint="default"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度收入总计135.28万元，支出总计</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万元。收、支与2023年度相比，增加135.28万元，增长100.0%，</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度收入合计135.28万元，与2023年度相比，增加135.28万元，增长100.0%，主要原因是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万元，与2023年度相比，增加135.28万元，增长100.0%，主要原因是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会计核算实行</w:t>
      </w:r>
      <w:r>
        <w:rPr>
          <w:rFonts w:hint="default" w:ascii="Times New Roman" w:hAnsi="Times New Roman" w:eastAsia="方正仿宋_GBK" w:cs="Times New Roman"/>
          <w:color w:val="auto"/>
          <w:sz w:val="32"/>
          <w:szCs w:val="32"/>
          <w:shd w:val="clear" w:color="auto" w:fill="FFFFFF"/>
          <w:lang w:eastAsia="zh-CN"/>
        </w:rPr>
        <w:t>收付实现制，故无结转结余的情况。</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度财政拨款收、支总计135.28万元。与202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万元，与2023年度相比，增加135.28万元，增长100.0%。主要原因是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较年初预算数增加135.28万元，增长100.0%。主要原因是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万元，与2023年度相比，增加135.28万元，增长100.0%。主要原因是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较年初预算数增加135.28万元，增长100.0%。主要原因是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会计核算实行</w:t>
      </w:r>
      <w:r>
        <w:rPr>
          <w:rFonts w:hint="default" w:ascii="Times New Roman" w:hAnsi="Times New Roman" w:eastAsia="方正仿宋_GBK" w:cs="Times New Roman"/>
          <w:color w:val="auto"/>
          <w:sz w:val="32"/>
          <w:szCs w:val="32"/>
          <w:shd w:val="clear" w:color="auto" w:fill="FFFFFF"/>
          <w:lang w:eastAsia="zh-CN"/>
        </w:rPr>
        <w:t>收付实现制，故无结转结余的情况。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102.37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75.67</w:t>
      </w:r>
      <w:r>
        <w:rPr>
          <w:rFonts w:hint="default" w:ascii="Times New Roman" w:hAnsi="Times New Roman" w:eastAsia="方正仿宋_GBK" w:cs="Times New Roman"/>
          <w:sz w:val="32"/>
          <w:szCs w:val="32"/>
          <w:shd w:val="clear" w:color="auto" w:fill="FFFFFF"/>
        </w:rPr>
        <w:t>%，较年初预算数增加102.37万元，增长100.0%，主要原因是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17.17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12.69</w:t>
      </w:r>
      <w:r>
        <w:rPr>
          <w:rFonts w:hint="default" w:ascii="Times New Roman" w:hAnsi="Times New Roman" w:eastAsia="方正仿宋_GBK" w:cs="Times New Roman"/>
          <w:sz w:val="32"/>
          <w:szCs w:val="32"/>
          <w:shd w:val="clear" w:color="auto" w:fill="FFFFFF"/>
        </w:rPr>
        <w:t>%，较年初预算数增加17.17万元，增长100.0%，主要原因是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7.15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5.29</w:t>
      </w:r>
      <w:r>
        <w:rPr>
          <w:rFonts w:hint="default" w:ascii="Times New Roman" w:hAnsi="Times New Roman" w:eastAsia="方正仿宋_GBK" w:cs="Times New Roman"/>
          <w:sz w:val="32"/>
          <w:szCs w:val="32"/>
          <w:shd w:val="clear" w:color="auto" w:fill="FFFFFF"/>
        </w:rPr>
        <w:t>%，较年初预算数增加7.15万元，增长100.0%，主要原因是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住房保障支出8.59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6.35</w:t>
      </w:r>
      <w:r>
        <w:rPr>
          <w:rFonts w:hint="default" w:ascii="Times New Roman" w:hAnsi="Times New Roman" w:eastAsia="方正仿宋_GBK" w:cs="Times New Roman"/>
          <w:sz w:val="32"/>
          <w:szCs w:val="32"/>
          <w:shd w:val="clear" w:color="auto" w:fill="FFFFFF"/>
        </w:rPr>
        <w:t>%，较年初预算数增加8.59万元，增长100.0%，主要原因是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135.28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116.86</w:t>
      </w:r>
      <w:r>
        <w:rPr>
          <w:rFonts w:hint="default" w:ascii="Times New Roman" w:hAnsi="Times New Roman" w:eastAsia="方正仿宋_GBK" w:cs="Times New Roman"/>
          <w:sz w:val="32"/>
          <w:szCs w:val="32"/>
          <w:shd w:val="clear" w:color="auto" w:fill="FFFFFF"/>
        </w:rPr>
        <w:t>万元，与2023年度相比，增加116.86万元，增长100.0%，主要原因是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基本工资、津贴补贴、奖金、机关事业单位基本养老保险缴费、职业年金缴费、职工基本医疗保险缴费、其他社会保障缴费、住房公积金。</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18.42</w:t>
      </w:r>
      <w:r>
        <w:rPr>
          <w:rFonts w:hint="default" w:ascii="Times New Roman" w:hAnsi="Times New Roman" w:eastAsia="方正仿宋_GBK" w:cs="Times New Roman"/>
          <w:sz w:val="32"/>
          <w:szCs w:val="32"/>
          <w:shd w:val="clear" w:color="auto" w:fill="FFFFFF"/>
        </w:rPr>
        <w:t>万元，与2023年度相比，增加18.42万元，增长100.0%，主要原因是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办公费、电费、邮电费、差旅费、会议费、培训费、公务接待费、工会经费、福利费、其他交通费用、其他商品和服务支出。</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9"/>
          <w:rFonts w:hint="default" w:ascii="方正黑体_GBK" w:hAnsi="方正黑体_GBK" w:eastAsia="方正黑体_GBK" w:cs="方正黑体_GBK"/>
          <w:b w:val="0"/>
          <w:bCs/>
          <w:sz w:val="32"/>
          <w:szCs w:val="32"/>
          <w:shd w:val="clear" w:color="auto" w:fill="FFFFFF"/>
        </w:rPr>
      </w:pPr>
      <w:r>
        <w:rPr>
          <w:rStyle w:val="9"/>
          <w:rFonts w:hint="default" w:ascii="方正黑体_GBK" w:hAnsi="方正黑体_GBK" w:eastAsia="方正黑体_GBK" w:cs="方正黑体_GBK"/>
          <w:b w:val="0"/>
          <w:bCs/>
          <w:sz w:val="32"/>
          <w:szCs w:val="32"/>
          <w:shd w:val="clear" w:color="auto" w:fill="FFFFFF"/>
        </w:rPr>
        <w:t>三、</w:t>
      </w:r>
      <w:r>
        <w:rPr>
          <w:rStyle w:val="9"/>
          <w:rFonts w:hint="default" w:ascii="方正黑体_GBK" w:hAnsi="方正黑体_GBK" w:eastAsia="方正黑体_GBK" w:cs="方正黑体_GBK"/>
          <w:b w:val="0"/>
          <w:bCs/>
          <w:sz w:val="32"/>
          <w:szCs w:val="32"/>
          <w:shd w:val="clear" w:color="auto" w:fill="FFFFFF"/>
          <w:lang w:eastAsia="zh-CN"/>
        </w:rPr>
        <w:t>财政拨款</w:t>
      </w:r>
      <w:r>
        <w:rPr>
          <w:rStyle w:val="9"/>
          <w:rFonts w:hint="default"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 xml:space="preserve"> （一）“三公”经费支出总体情况说明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万元，较年初预算数增加3.00万元，增长100.0%，主要原因是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较上年支出数增加3.00万元，增长100.0%，主要原因是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开支。</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eastAsia="zh-CN"/>
        </w:rPr>
        <w:t>无购买公务车</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无购买公务车</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eastAsia="zh-CN"/>
        </w:rPr>
        <w:t>无购买公务车。</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color w:val="auto"/>
          <w:sz w:val="32"/>
          <w:szCs w:val="32"/>
          <w:shd w:val="clear" w:color="auto" w:fill="FFFFFF"/>
          <w:lang w:eastAsia="zh-CN"/>
        </w:rPr>
        <w:t>无公务车，故没有公务车运行维护费。</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无公务车，故</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eastAsia="zh-CN"/>
        </w:rPr>
        <w:t>无公务车，故较上年无增减。</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eastAsia="zh-CN"/>
        </w:rPr>
        <w:t>安全检查类的工作。</w:t>
      </w:r>
      <w:r>
        <w:rPr>
          <w:rFonts w:hint="default" w:ascii="Times New Roman" w:hAnsi="Times New Roman" w:eastAsia="方正仿宋_GBK" w:cs="Times New Roman"/>
          <w:sz w:val="32"/>
          <w:szCs w:val="32"/>
          <w:shd w:val="clear" w:color="auto" w:fill="FFFFFF"/>
        </w:rPr>
        <w:t>费用支出较年初预算数增加3.00万元，增长100.0%，主要原因是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较上年支出数增加3.00万元，增长100.0%，主要原因是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9"/>
          <w:rFonts w:hint="default" w:ascii="方正黑体_GBK" w:hAnsi="方正黑体_GBK" w:eastAsia="方正黑体_GBK" w:cs="方正黑体_GBK"/>
          <w:b w:val="0"/>
          <w:bCs/>
          <w:sz w:val="32"/>
          <w:szCs w:val="32"/>
          <w:shd w:val="clear" w:color="auto" w:fill="FFFFFF"/>
        </w:rPr>
      </w:pPr>
      <w:r>
        <w:rPr>
          <w:rStyle w:val="9"/>
          <w:rFonts w:hint="default" w:ascii="方正黑体_GBK" w:hAnsi="方正黑体_GBK" w:eastAsia="方正黑体_GBK" w:cs="方正黑体_GBK"/>
          <w:b w:val="0"/>
          <w:bCs/>
          <w:sz w:val="32"/>
          <w:szCs w:val="32"/>
          <w:shd w:val="clear" w:color="auto" w:fill="FFFFFF"/>
        </w:rPr>
        <w:t>四、其他需要说明的事项</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 xml:space="preserve"> （一）财政拨款会议费和培训费情况说明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万元，与2023年度相比，增加0.20万元，增长100.0%，主要原因是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万元，与2023年度相比，增加0.20万元，增长100.0%，主要原因是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18.42</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rPr>
        <w:t>办公费0.31万元、水费0.024万元、0.054电费、邮电费3.9万元、差旅费4.46万元、会议费0.2万元、培训费0.2万元、公务接待费3万元、工会经费0.29万元、福利费0.61万元、其他交通费用5.22万元、其他商品和服务支出0.15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机关运行经费较上年支出数增加18.42万元，增长100.0%，主要原因是</w:t>
      </w:r>
      <w:r>
        <w:rPr>
          <w:rFonts w:hint="default" w:ascii="Times New Roman" w:hAnsi="Times New Roman" w:eastAsia="方正仿宋_GBK" w:cs="Times New Roman"/>
          <w:sz w:val="32"/>
          <w:szCs w:val="32"/>
          <w:shd w:val="clear" w:color="auto" w:fill="FFFFFF"/>
          <w:lang w:val="en-US" w:eastAsia="zh-CN"/>
        </w:rPr>
        <w:t>2024年6月从委机关折分为二级预算单位，故无年初预算，无上年数，因此增长率达100%。</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9"/>
          <w:rFonts w:hint="default" w:ascii="方正黑体_GBK" w:hAnsi="方正黑体_GBK" w:eastAsia="方正黑体_GBK" w:cs="方正黑体_GBK"/>
          <w:b w:val="0"/>
          <w:bCs/>
          <w:sz w:val="32"/>
          <w:szCs w:val="32"/>
          <w:shd w:val="clear" w:color="auto" w:fill="FFFFFF"/>
          <w:lang w:val="en-US" w:eastAsia="zh-CN"/>
        </w:rPr>
      </w:pPr>
      <w:r>
        <w:rPr>
          <w:rStyle w:val="9"/>
          <w:rFonts w:hint="default" w:ascii="方正黑体_GBK" w:hAnsi="方正黑体_GBK" w:eastAsia="方正黑体_GBK" w:cs="方正黑体_GBK"/>
          <w:b w:val="0"/>
          <w:bCs/>
          <w:sz w:val="32"/>
          <w:szCs w:val="32"/>
          <w:shd w:val="clear" w:color="auto" w:fill="FFFFFF"/>
          <w:lang w:val="en-US" w:eastAsia="zh-CN"/>
        </w:rPr>
        <w:t>五、2024年度预算绩效管理情况说明</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（一）单位自评情况</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我部门（单位）</w:t>
      </w:r>
      <w:r>
        <w:rPr>
          <w:rFonts w:hint="default" w:ascii="Times New Roman" w:hAnsi="Times New Roman" w:eastAsia="方正仿宋_GBK" w:cs="Times New Roman"/>
          <w:kern w:val="0"/>
          <w:sz w:val="32"/>
          <w:szCs w:val="32"/>
          <w:shd w:val="clear" w:fill="FFFFFF"/>
          <w:lang w:val="en-US" w:eastAsia="zh-CN"/>
        </w:rPr>
        <w:t>2024年度没有进行单位绩效自评。</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我部门（单位）</w:t>
      </w:r>
      <w:r>
        <w:rPr>
          <w:rFonts w:hint="default" w:ascii="Times New Roman" w:hAnsi="Times New Roman" w:eastAsia="方正仿宋_GBK" w:cs="Times New Roman"/>
          <w:kern w:val="0"/>
          <w:sz w:val="32"/>
          <w:szCs w:val="32"/>
          <w:shd w:val="clear" w:fill="FFFFFF"/>
          <w:lang w:val="en-US" w:eastAsia="zh-CN"/>
        </w:rPr>
        <w:t>2024年度没有部门整体绩效自评表。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我部门（单位）</w:t>
      </w:r>
      <w:r>
        <w:rPr>
          <w:rFonts w:hint="default" w:ascii="Times New Roman" w:hAnsi="Times New Roman" w:eastAsia="方正仿宋_GBK" w:cs="Times New Roman"/>
          <w:kern w:val="0"/>
          <w:sz w:val="32"/>
          <w:szCs w:val="32"/>
          <w:shd w:val="clear" w:fill="FFFFFF"/>
          <w:lang w:val="en-US" w:eastAsia="zh-CN"/>
        </w:rPr>
        <w:t>2024年度没有项目支出绩效自评表。</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bidi="ar"/>
        </w:rPr>
      </w:pPr>
      <w:r>
        <w:rPr>
          <w:rFonts w:hint="default" w:ascii="方正楷体_GBK" w:hAnsi="方正楷体_GBK" w:eastAsia="方正楷体_GBK" w:cs="方正楷体_GBK"/>
          <w:b w:val="0"/>
          <w:bCs w:val="0"/>
          <w:kern w:val="0"/>
          <w:sz w:val="32"/>
          <w:szCs w:val="32"/>
          <w:shd w:val="clear" w:fill="FFFFFF"/>
          <w:lang w:val="en-US" w:eastAsia="zh-CN" w:bidi="ar"/>
        </w:rPr>
        <w:t>（二）部门绩效评价情况</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我部门（单位）</w:t>
      </w:r>
      <w:r>
        <w:rPr>
          <w:rFonts w:hint="default" w:ascii="Times New Roman" w:hAnsi="Times New Roman" w:eastAsia="方正仿宋_GBK" w:cs="Times New Roman"/>
          <w:kern w:val="0"/>
          <w:sz w:val="32"/>
          <w:szCs w:val="32"/>
          <w:shd w:val="clear" w:fill="FFFFFF"/>
          <w:lang w:val="en-US" w:eastAsia="zh-CN"/>
        </w:rPr>
        <w:t>2024年度没有进行部门绩效评价。</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eastAsia="zh-CN"/>
        </w:rPr>
        <w:t>县</w:t>
      </w:r>
      <w:r>
        <w:rPr>
          <w:rFonts w:hint="default" w:ascii="Times New Roman" w:hAnsi="Times New Roman" w:eastAsia="方正仿宋_GBK" w:cs="Times New Roman"/>
          <w:kern w:val="0"/>
          <w:sz w:val="32"/>
          <w:szCs w:val="32"/>
          <w:shd w:val="clear" w:fill="FFFFFF"/>
        </w:rPr>
        <w:t>财政局</w:t>
      </w:r>
      <w:r>
        <w:rPr>
          <w:rFonts w:hint="default" w:ascii="Times New Roman" w:hAnsi="Times New Roman" w:eastAsia="方正仿宋_GBK" w:cs="Times New Roman"/>
          <w:kern w:val="0"/>
          <w:sz w:val="32"/>
          <w:szCs w:val="32"/>
          <w:shd w:val="clear" w:fill="FFFFFF"/>
          <w:lang w:eastAsia="zh-CN"/>
        </w:rPr>
        <w:t>在</w:t>
      </w:r>
      <w:r>
        <w:rPr>
          <w:rFonts w:hint="default" w:ascii="Times New Roman" w:hAnsi="Times New Roman" w:eastAsia="方正仿宋_GBK" w:cs="Times New Roman"/>
          <w:kern w:val="0"/>
          <w:sz w:val="32"/>
          <w:szCs w:val="32"/>
          <w:shd w:val="clear" w:fill="FFFFFF"/>
          <w:lang w:val="en-US" w:eastAsia="zh-CN"/>
        </w:rPr>
        <w:t>2024年度</w:t>
      </w:r>
      <w:r>
        <w:rPr>
          <w:rFonts w:hint="default" w:ascii="Times New Roman" w:hAnsi="Times New Roman" w:eastAsia="方正仿宋_GBK" w:cs="Times New Roman"/>
          <w:kern w:val="0"/>
          <w:sz w:val="32"/>
          <w:szCs w:val="32"/>
          <w:shd w:val="clear" w:fill="FFFFFF"/>
          <w:lang w:eastAsia="zh-CN"/>
        </w:rPr>
        <w:t>没有</w:t>
      </w:r>
      <w:r>
        <w:rPr>
          <w:rFonts w:hint="default" w:ascii="Times New Roman" w:hAnsi="Times New Roman" w:eastAsia="方正仿宋_GBK" w:cs="Times New Roman"/>
          <w:kern w:val="0"/>
          <w:sz w:val="32"/>
          <w:szCs w:val="32"/>
          <w:shd w:val="clear" w:fill="FFFFFF"/>
        </w:rPr>
        <w:t>委托第三方对我部门（单位）开展了绩效评价</w:t>
      </w:r>
      <w:r>
        <w:rPr>
          <w:rFonts w:hint="default" w:ascii="Times New Roman" w:hAnsi="Times New Roman" w:eastAsia="方正仿宋_GBK" w:cs="Times New Roman"/>
          <w:kern w:val="0"/>
          <w:sz w:val="32"/>
          <w:szCs w:val="32"/>
          <w:shd w:val="clear"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Style w:val="9"/>
          <w:rFonts w:hint="default" w:ascii="方正黑体_GBK" w:hAnsi="方正黑体_GBK" w:eastAsia="方正黑体_GBK" w:cs="方正黑体_GBK"/>
          <w:b w:val="0"/>
          <w:bCs/>
          <w:sz w:val="32"/>
          <w:szCs w:val="32"/>
          <w:shd w:val="clear" w:color="auto" w:fill="FFFFFF"/>
        </w:rPr>
      </w:pPr>
      <w:r>
        <w:rPr>
          <w:rStyle w:val="9"/>
          <w:rFonts w:hint="default" w:ascii="方正黑体_GBK" w:hAnsi="方正黑体_GBK" w:eastAsia="方正黑体_GBK" w:cs="方正黑体_GBK"/>
          <w:b w:val="0"/>
          <w:bCs/>
          <w:sz w:val="32"/>
          <w:szCs w:val="32"/>
          <w:shd w:val="clear" w:color="auto" w:fill="FFFFFF"/>
          <w:lang w:val="en-US" w:eastAsia="zh-CN"/>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kern w:val="0"/>
          <w:sz w:val="32"/>
          <w:szCs w:val="32"/>
        </w:rPr>
      </w:pPr>
      <w:r>
        <w:rPr>
          <w:rStyle w:val="9"/>
          <w:rFonts w:hint="default"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51811013</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sectPr>
          <w:headerReference r:id="rId3" w:type="default"/>
          <w:footerReference r:id="rId4" w:type="default"/>
          <w:pgSz w:w="11906" w:h="16838"/>
          <w:pgMar w:top="2098" w:right="1474" w:bottom="1984" w:left="1587" w:header="0" w:footer="283" w:gutter="0"/>
          <w:pgNumType w:fmt="numberInDash"/>
          <w:cols w:space="720" w:num="1"/>
          <w:docGrid w:type="lines" w:linePitch="312" w:charSpace="0"/>
        </w:sectPr>
      </w:pPr>
    </w:p>
    <w:tbl>
      <w:tblPr>
        <w:tblStyle w:val="10"/>
        <w:tblW w:w="19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巫溪县商务综合执法大队</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135.28</w:t>
            </w:r>
          </w:p>
        </w:tc>
      </w:tr>
    </w:tbl>
    <w:p>
      <w:pPr>
        <w:pStyle w:val="11"/>
        <w:numPr>
          <w:ilvl w:val="0"/>
          <w:numId w:val="0"/>
        </w:numPr>
        <w:autoSpaceDE w:val="0"/>
        <w:rPr>
          <w:rFonts w:hint="eastAsia" w:ascii="宋体" w:hAnsi="宋体" w:eastAsia="宋体" w:cs="宋体"/>
          <w:sz w:val="21"/>
          <w:szCs w:val="21"/>
          <w:lang w:val="en-US" w:eastAsia="zh-CN"/>
        </w:rPr>
        <w:sectPr>
          <w:pgSz w:w="23811" w:h="16838" w:orient="landscape"/>
          <w:pgMar w:top="1587" w:right="2098" w:bottom="1474" w:left="1984" w:header="0" w:footer="283" w:gutter="0"/>
          <w:paperSrc/>
          <w:pgNumType w:fmt="numberInDash"/>
          <w:cols w:space="0" w:num="1"/>
          <w:rtlGutter w:val="0"/>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10"/>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518"/>
        <w:gridCol w:w="489"/>
        <w:gridCol w:w="3466"/>
        <w:gridCol w:w="2135"/>
        <w:gridCol w:w="2136"/>
        <w:gridCol w:w="2135"/>
        <w:gridCol w:w="2136"/>
        <w:gridCol w:w="2135"/>
        <w:gridCol w:w="2136"/>
        <w:gridCol w:w="2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9945"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1780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巫溪县商务综合执法大队</w:t>
            </w:r>
          </w:p>
        </w:tc>
        <w:tc>
          <w:tcPr>
            <w:tcW w:w="2140"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4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1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1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1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1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1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1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1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1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135.28 </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135.28 </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3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4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102.37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102.37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26"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8.59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8.59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488"/>
        <w:gridCol w:w="430"/>
        <w:gridCol w:w="3939"/>
        <w:gridCol w:w="2433"/>
        <w:gridCol w:w="2432"/>
        <w:gridCol w:w="2432"/>
        <w:gridCol w:w="2433"/>
        <w:gridCol w:w="2432"/>
        <w:gridCol w:w="2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9945"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509"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巫溪县商务综合执法大队 </w:t>
            </w:r>
          </w:p>
        </w:tc>
        <w:tc>
          <w:tcPr>
            <w:tcW w:w="243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509"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43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3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43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4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3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3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3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8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9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135.28 </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135.28 </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3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2011301</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102.37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17.17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5.72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08"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3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8.59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2"/>
        <w:gridCol w:w="608"/>
        <w:gridCol w:w="2404"/>
        <w:gridCol w:w="3191"/>
        <w:gridCol w:w="638"/>
        <w:gridCol w:w="2558"/>
        <w:gridCol w:w="2557"/>
        <w:gridCol w:w="2557"/>
        <w:gridCol w:w="1"/>
        <w:gridCol w:w="2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945"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7386"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巫溪县商务综合执法大队</w:t>
            </w:r>
          </w:p>
        </w:tc>
        <w:tc>
          <w:tcPr>
            <w:tcW w:w="255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7386"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55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40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102.37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102.37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17.17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17.17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8.59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8.59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135.28 </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
        <w:gridCol w:w="274"/>
        <w:gridCol w:w="289"/>
        <w:gridCol w:w="1572"/>
        <w:gridCol w:w="1323"/>
        <w:gridCol w:w="1193"/>
        <w:gridCol w:w="1293"/>
        <w:gridCol w:w="1544"/>
        <w:gridCol w:w="1442"/>
        <w:gridCol w:w="1459"/>
        <w:gridCol w:w="1515"/>
        <w:gridCol w:w="1472"/>
        <w:gridCol w:w="1500"/>
        <w:gridCol w:w="1371"/>
        <w:gridCol w:w="1154"/>
        <w:gridCol w:w="1269"/>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19945"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18944"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巫溪县商务综合执法大队</w:t>
            </w: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18944"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8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80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4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48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79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2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54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7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5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2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00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2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7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8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2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8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135.28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135.28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135.28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135.28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20113</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商贸事务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102.37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102.37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102.37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102.37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102.37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17.17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5.72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8.59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8.59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8.59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8.59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8.59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3224"/>
        <w:gridCol w:w="2364"/>
        <w:gridCol w:w="1101"/>
        <w:gridCol w:w="2556"/>
        <w:gridCol w:w="2110"/>
        <w:gridCol w:w="1011"/>
        <w:gridCol w:w="3982"/>
        <w:gridCol w:w="1"/>
        <w:gridCol w:w="2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9945"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7553"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巫溪县商务综合执法大队</w:t>
            </w:r>
          </w:p>
        </w:tc>
        <w:tc>
          <w:tcPr>
            <w:tcW w:w="239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7553"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39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6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3152"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22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0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5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01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8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9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8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9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116.86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18.42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30.05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0.31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25.58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27.96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0.02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11.45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5.72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0.36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4.46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8.59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0.61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3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5.22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39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391"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22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364"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0.15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224"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1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1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983" w:type="dxa"/>
            <w:gridSpan w:val="2"/>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2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116.86 </w:t>
            </w:r>
          </w:p>
        </w:tc>
        <w:tc>
          <w:tcPr>
            <w:tcW w:w="10761" w:type="dxa"/>
            <w:gridSpan w:val="6"/>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3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
        <w:gridCol w:w="274"/>
        <w:gridCol w:w="289"/>
        <w:gridCol w:w="1572"/>
        <w:gridCol w:w="1323"/>
        <w:gridCol w:w="1193"/>
        <w:gridCol w:w="1293"/>
        <w:gridCol w:w="1544"/>
        <w:gridCol w:w="1442"/>
        <w:gridCol w:w="1459"/>
        <w:gridCol w:w="1515"/>
        <w:gridCol w:w="1472"/>
        <w:gridCol w:w="1500"/>
        <w:gridCol w:w="1371"/>
        <w:gridCol w:w="1154"/>
        <w:gridCol w:w="1269"/>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19945"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18944"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巫溪县商务综合执法大队</w:t>
            </w: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18944"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00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8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5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380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444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48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479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2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54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1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7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7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5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27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00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8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4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0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2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7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8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2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7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28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3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32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9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ind w:firstLine="640" w:firstLineChars="200"/>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本年无</w:t>
      </w:r>
      <w:r>
        <w:rPr>
          <w:rFonts w:hint="eastAsia" w:ascii="宋体" w:hAnsi="宋体" w:eastAsia="宋体" w:cs="宋体"/>
          <w:b w:val="0"/>
          <w:bCs w:val="0"/>
          <w:i w:val="0"/>
          <w:iCs w:val="0"/>
          <w:color w:val="000000"/>
          <w:kern w:val="0"/>
          <w:sz w:val="32"/>
          <w:szCs w:val="32"/>
          <w:u w:val="none"/>
          <w:lang w:val="en-US" w:eastAsia="zh-CN" w:bidi="ar"/>
        </w:rPr>
        <w:t>政府性基金预算财政拨款</w:t>
      </w:r>
      <w:r>
        <w:rPr>
          <w:rFonts w:hint="eastAsia" w:ascii="宋体" w:hAnsi="宋体" w:eastAsia="宋体" w:cs="宋体"/>
          <w:b w:val="0"/>
          <w:bCs w:val="0"/>
          <w:sz w:val="32"/>
          <w:szCs w:val="32"/>
        </w:rPr>
        <w:t>收支，故本表无数据</w:t>
      </w:r>
      <w:r>
        <w:rPr>
          <w:rFonts w:hint="eastAsia" w:cs="宋体"/>
          <w:b w:val="0"/>
          <w:bCs w:val="0"/>
          <w:sz w:val="32"/>
          <w:szCs w:val="32"/>
          <w:lang w:eastAsia="zh-CN"/>
        </w:rPr>
        <w:t>。</w:t>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1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
        <w:gridCol w:w="315"/>
        <w:gridCol w:w="316"/>
        <w:gridCol w:w="2400"/>
        <w:gridCol w:w="2195"/>
        <w:gridCol w:w="1859"/>
        <w:gridCol w:w="1969"/>
        <w:gridCol w:w="2236"/>
        <w:gridCol w:w="2162"/>
        <w:gridCol w:w="2078"/>
        <w:gridCol w:w="2061"/>
        <w:gridCol w:w="177"/>
        <w:gridCol w:w="1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19945"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bookmarkStart w:id="0" w:name="_GoBack"/>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8039"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巫溪县商务综合执法大队</w:t>
            </w:r>
          </w:p>
        </w:tc>
        <w:tc>
          <w:tcPr>
            <w:tcW w:w="190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8039"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90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2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2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16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222"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9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5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196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7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083"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8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9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7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83"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7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7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0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00"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19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8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96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6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83"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bookmarkEnd w:id="0"/>
    </w:tbl>
    <w:p>
      <w:pPr>
        <w:ind w:firstLine="640" w:firstLineChars="200"/>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本年无</w:t>
      </w:r>
      <w:r>
        <w:rPr>
          <w:rFonts w:hint="eastAsia" w:ascii="宋体" w:hAnsi="宋体" w:eastAsia="宋体" w:cs="宋体"/>
          <w:b w:val="0"/>
          <w:bCs w:val="0"/>
          <w:sz w:val="32"/>
          <w:szCs w:val="32"/>
          <w:lang w:val="en-US" w:eastAsia="zh-CN"/>
        </w:rPr>
        <w:t>国有资本经营预算财政拨款</w:t>
      </w:r>
      <w:r>
        <w:rPr>
          <w:rFonts w:hint="eastAsia" w:ascii="宋体" w:hAnsi="宋体" w:eastAsia="宋体" w:cs="宋体"/>
          <w:b w:val="0"/>
          <w:bCs w:val="0"/>
          <w:sz w:val="32"/>
          <w:szCs w:val="32"/>
        </w:rPr>
        <w:t>收支，故本表无数据</w:t>
      </w:r>
      <w:r>
        <w:rPr>
          <w:rFonts w:hint="eastAsia" w:cs="宋体"/>
          <w:b w:val="0"/>
          <w:bCs w:val="0"/>
          <w:sz w:val="32"/>
          <w:szCs w:val="32"/>
          <w:lang w:eastAsia="zh-CN"/>
        </w:rPr>
        <w:t>。</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巫溪县商务综合执法大队</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0.20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4.46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5" w:type="default"/>
      <w:footerReference r:id="rId6" w:type="default"/>
      <w:pgSz w:w="23811" w:h="16838" w:orient="landscape"/>
      <w:pgMar w:top="1587" w:right="2098" w:bottom="1474" w:left="1984" w:header="0" w:footer="283"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63C5C"/>
    <w:rsid w:val="009B67B8"/>
    <w:rsid w:val="00B03CCD"/>
    <w:rsid w:val="00FE7556"/>
    <w:rsid w:val="01474EBF"/>
    <w:rsid w:val="01F3521E"/>
    <w:rsid w:val="01F50468"/>
    <w:rsid w:val="032408AD"/>
    <w:rsid w:val="03A55AE1"/>
    <w:rsid w:val="03B955A7"/>
    <w:rsid w:val="03E3214F"/>
    <w:rsid w:val="043E786D"/>
    <w:rsid w:val="04446191"/>
    <w:rsid w:val="044C50BA"/>
    <w:rsid w:val="0488119E"/>
    <w:rsid w:val="04E96437"/>
    <w:rsid w:val="05B8327E"/>
    <w:rsid w:val="060062F8"/>
    <w:rsid w:val="06A2550B"/>
    <w:rsid w:val="06F80EE2"/>
    <w:rsid w:val="07001CCA"/>
    <w:rsid w:val="075678DB"/>
    <w:rsid w:val="08051BCA"/>
    <w:rsid w:val="08887FC5"/>
    <w:rsid w:val="08AF7E83"/>
    <w:rsid w:val="08BA052C"/>
    <w:rsid w:val="08DB07BA"/>
    <w:rsid w:val="097C293B"/>
    <w:rsid w:val="098305D0"/>
    <w:rsid w:val="09B72B6E"/>
    <w:rsid w:val="09F45910"/>
    <w:rsid w:val="0A3851D8"/>
    <w:rsid w:val="0A5C4B69"/>
    <w:rsid w:val="0AEC3BC7"/>
    <w:rsid w:val="0B097BAD"/>
    <w:rsid w:val="0B9335CE"/>
    <w:rsid w:val="0B9550FF"/>
    <w:rsid w:val="0C486DAA"/>
    <w:rsid w:val="0C7927C4"/>
    <w:rsid w:val="0C9B098C"/>
    <w:rsid w:val="0CA1626D"/>
    <w:rsid w:val="0D11728C"/>
    <w:rsid w:val="0D4A39BC"/>
    <w:rsid w:val="0D673E11"/>
    <w:rsid w:val="0DAF3012"/>
    <w:rsid w:val="0DB50EFE"/>
    <w:rsid w:val="0DDA54E4"/>
    <w:rsid w:val="0DDC7F09"/>
    <w:rsid w:val="0E3A5F83"/>
    <w:rsid w:val="0E84025D"/>
    <w:rsid w:val="0F836721"/>
    <w:rsid w:val="103645A3"/>
    <w:rsid w:val="107B59E5"/>
    <w:rsid w:val="10956F29"/>
    <w:rsid w:val="10A95CF2"/>
    <w:rsid w:val="11003CB0"/>
    <w:rsid w:val="111445C7"/>
    <w:rsid w:val="1158083A"/>
    <w:rsid w:val="11EE42BD"/>
    <w:rsid w:val="11F03528"/>
    <w:rsid w:val="1248198E"/>
    <w:rsid w:val="12735349"/>
    <w:rsid w:val="12C921C4"/>
    <w:rsid w:val="13850DCB"/>
    <w:rsid w:val="13871C70"/>
    <w:rsid w:val="13A71CB4"/>
    <w:rsid w:val="13AF1D43"/>
    <w:rsid w:val="13C643C6"/>
    <w:rsid w:val="13CE1647"/>
    <w:rsid w:val="141A11EA"/>
    <w:rsid w:val="14200702"/>
    <w:rsid w:val="148E377E"/>
    <w:rsid w:val="14A82013"/>
    <w:rsid w:val="14CA4236"/>
    <w:rsid w:val="1580711B"/>
    <w:rsid w:val="15E72050"/>
    <w:rsid w:val="1686347B"/>
    <w:rsid w:val="17125E00"/>
    <w:rsid w:val="178F6176"/>
    <w:rsid w:val="17B549A4"/>
    <w:rsid w:val="189B0D0B"/>
    <w:rsid w:val="194A1770"/>
    <w:rsid w:val="19917D9C"/>
    <w:rsid w:val="19B31772"/>
    <w:rsid w:val="19B906A4"/>
    <w:rsid w:val="19E41477"/>
    <w:rsid w:val="1A036611"/>
    <w:rsid w:val="1A1F744B"/>
    <w:rsid w:val="1A4854EC"/>
    <w:rsid w:val="1AC25702"/>
    <w:rsid w:val="1AC901F1"/>
    <w:rsid w:val="1B6F15B6"/>
    <w:rsid w:val="1BA833D8"/>
    <w:rsid w:val="1BAA2EDC"/>
    <w:rsid w:val="1BAB7BD5"/>
    <w:rsid w:val="1C630452"/>
    <w:rsid w:val="1CD1261C"/>
    <w:rsid w:val="1CE157EE"/>
    <w:rsid w:val="1D014A01"/>
    <w:rsid w:val="1D022362"/>
    <w:rsid w:val="1D05002D"/>
    <w:rsid w:val="1D21433B"/>
    <w:rsid w:val="1DD26311"/>
    <w:rsid w:val="1E0223DE"/>
    <w:rsid w:val="1EDB05E9"/>
    <w:rsid w:val="1EED0A64"/>
    <w:rsid w:val="1EF67CA4"/>
    <w:rsid w:val="1F411804"/>
    <w:rsid w:val="1F994585"/>
    <w:rsid w:val="1FAB3C63"/>
    <w:rsid w:val="1FCD26AF"/>
    <w:rsid w:val="200D38F0"/>
    <w:rsid w:val="201017AE"/>
    <w:rsid w:val="20642787"/>
    <w:rsid w:val="20936EF7"/>
    <w:rsid w:val="212E2217"/>
    <w:rsid w:val="21556F04"/>
    <w:rsid w:val="221B47BD"/>
    <w:rsid w:val="22375191"/>
    <w:rsid w:val="2239740B"/>
    <w:rsid w:val="22403BD3"/>
    <w:rsid w:val="236069E5"/>
    <w:rsid w:val="24685E52"/>
    <w:rsid w:val="24B92327"/>
    <w:rsid w:val="2533755C"/>
    <w:rsid w:val="26396DF4"/>
    <w:rsid w:val="270642A6"/>
    <w:rsid w:val="27167136"/>
    <w:rsid w:val="272D1047"/>
    <w:rsid w:val="27B23302"/>
    <w:rsid w:val="28457BA3"/>
    <w:rsid w:val="2880049D"/>
    <w:rsid w:val="28BA7A05"/>
    <w:rsid w:val="28ED3877"/>
    <w:rsid w:val="29106D19"/>
    <w:rsid w:val="29310A5F"/>
    <w:rsid w:val="294A2CE6"/>
    <w:rsid w:val="299947CC"/>
    <w:rsid w:val="29C37A35"/>
    <w:rsid w:val="29C95E09"/>
    <w:rsid w:val="29FC1E22"/>
    <w:rsid w:val="2A076083"/>
    <w:rsid w:val="2A73162E"/>
    <w:rsid w:val="2AD422AE"/>
    <w:rsid w:val="2AE802DF"/>
    <w:rsid w:val="2B1632B5"/>
    <w:rsid w:val="2B167953"/>
    <w:rsid w:val="2B200583"/>
    <w:rsid w:val="2B20146D"/>
    <w:rsid w:val="2B8209DE"/>
    <w:rsid w:val="2C161D32"/>
    <w:rsid w:val="2C2D3EC7"/>
    <w:rsid w:val="2C6762A3"/>
    <w:rsid w:val="2D8D2A49"/>
    <w:rsid w:val="2E017E4F"/>
    <w:rsid w:val="2ED10D33"/>
    <w:rsid w:val="2F190E27"/>
    <w:rsid w:val="2FE029D7"/>
    <w:rsid w:val="2FF06E00"/>
    <w:rsid w:val="315D199F"/>
    <w:rsid w:val="315F0B22"/>
    <w:rsid w:val="31D84415"/>
    <w:rsid w:val="32285F6F"/>
    <w:rsid w:val="324055A4"/>
    <w:rsid w:val="32770556"/>
    <w:rsid w:val="329C0913"/>
    <w:rsid w:val="32BF6B0E"/>
    <w:rsid w:val="3337290D"/>
    <w:rsid w:val="33442F45"/>
    <w:rsid w:val="34E4757F"/>
    <w:rsid w:val="34E55126"/>
    <w:rsid w:val="34FE7BE1"/>
    <w:rsid w:val="352930DB"/>
    <w:rsid w:val="35573069"/>
    <w:rsid w:val="358C217E"/>
    <w:rsid w:val="359F188C"/>
    <w:rsid w:val="35BB4273"/>
    <w:rsid w:val="362D2433"/>
    <w:rsid w:val="36C9128A"/>
    <w:rsid w:val="36D42A67"/>
    <w:rsid w:val="37340C19"/>
    <w:rsid w:val="376E0C5C"/>
    <w:rsid w:val="37841E99"/>
    <w:rsid w:val="37BF1123"/>
    <w:rsid w:val="37D46DE5"/>
    <w:rsid w:val="37F26E25"/>
    <w:rsid w:val="38845BC8"/>
    <w:rsid w:val="38BE4696"/>
    <w:rsid w:val="39166507"/>
    <w:rsid w:val="392B0BCD"/>
    <w:rsid w:val="39B82A39"/>
    <w:rsid w:val="39F33306"/>
    <w:rsid w:val="39FA2988"/>
    <w:rsid w:val="3A2C1183"/>
    <w:rsid w:val="3A58354E"/>
    <w:rsid w:val="3A9E12E8"/>
    <w:rsid w:val="3AAF47F1"/>
    <w:rsid w:val="3AD3012E"/>
    <w:rsid w:val="3B1705E5"/>
    <w:rsid w:val="3B18334B"/>
    <w:rsid w:val="3B36794F"/>
    <w:rsid w:val="3B544954"/>
    <w:rsid w:val="3B581A34"/>
    <w:rsid w:val="3B8B63EB"/>
    <w:rsid w:val="3BF014AD"/>
    <w:rsid w:val="3C6A5B02"/>
    <w:rsid w:val="3CA66636"/>
    <w:rsid w:val="3D2757A1"/>
    <w:rsid w:val="3D3D4FC4"/>
    <w:rsid w:val="3DB2337E"/>
    <w:rsid w:val="3DDF3AB1"/>
    <w:rsid w:val="3DE60B7E"/>
    <w:rsid w:val="3E1D0952"/>
    <w:rsid w:val="3E247234"/>
    <w:rsid w:val="3E42660A"/>
    <w:rsid w:val="3E7555B1"/>
    <w:rsid w:val="3F0527E5"/>
    <w:rsid w:val="3F16459E"/>
    <w:rsid w:val="3F3617F2"/>
    <w:rsid w:val="3FDE15A7"/>
    <w:rsid w:val="4004000C"/>
    <w:rsid w:val="40317559"/>
    <w:rsid w:val="40A4062F"/>
    <w:rsid w:val="40BB22CB"/>
    <w:rsid w:val="40FD5440"/>
    <w:rsid w:val="411B6CE5"/>
    <w:rsid w:val="412070D7"/>
    <w:rsid w:val="41314E40"/>
    <w:rsid w:val="4142353C"/>
    <w:rsid w:val="415C674B"/>
    <w:rsid w:val="42055006"/>
    <w:rsid w:val="426C1EA8"/>
    <w:rsid w:val="428A7F51"/>
    <w:rsid w:val="42E86A87"/>
    <w:rsid w:val="43136432"/>
    <w:rsid w:val="43770A38"/>
    <w:rsid w:val="43B75419"/>
    <w:rsid w:val="443A3B12"/>
    <w:rsid w:val="44A854C2"/>
    <w:rsid w:val="44B17380"/>
    <w:rsid w:val="44DD597D"/>
    <w:rsid w:val="45E90313"/>
    <w:rsid w:val="465B470D"/>
    <w:rsid w:val="465E10C6"/>
    <w:rsid w:val="469D6AD4"/>
    <w:rsid w:val="47674801"/>
    <w:rsid w:val="47FB65AA"/>
    <w:rsid w:val="48225EF7"/>
    <w:rsid w:val="482B21EC"/>
    <w:rsid w:val="484F4B59"/>
    <w:rsid w:val="4861482F"/>
    <w:rsid w:val="495C4A24"/>
    <w:rsid w:val="4A89574B"/>
    <w:rsid w:val="4AD70EE7"/>
    <w:rsid w:val="4AEE6539"/>
    <w:rsid w:val="4B301FF9"/>
    <w:rsid w:val="4B4003E1"/>
    <w:rsid w:val="4B7951CB"/>
    <w:rsid w:val="4B7C315C"/>
    <w:rsid w:val="4BAB7F90"/>
    <w:rsid w:val="4BBA2CD4"/>
    <w:rsid w:val="4BD47206"/>
    <w:rsid w:val="4BDC54FD"/>
    <w:rsid w:val="4C311BB9"/>
    <w:rsid w:val="4C6737E2"/>
    <w:rsid w:val="4D596429"/>
    <w:rsid w:val="4DAC4ACA"/>
    <w:rsid w:val="4DF629DB"/>
    <w:rsid w:val="4E645AEF"/>
    <w:rsid w:val="4E7F45B6"/>
    <w:rsid w:val="4EBC0F64"/>
    <w:rsid w:val="4F186D58"/>
    <w:rsid w:val="4F5A5847"/>
    <w:rsid w:val="504C4EB1"/>
    <w:rsid w:val="50615950"/>
    <w:rsid w:val="507E661C"/>
    <w:rsid w:val="50EC262C"/>
    <w:rsid w:val="510E0A7B"/>
    <w:rsid w:val="513A2761"/>
    <w:rsid w:val="51DA0C70"/>
    <w:rsid w:val="522F6E0C"/>
    <w:rsid w:val="52463BA1"/>
    <w:rsid w:val="524B7B61"/>
    <w:rsid w:val="52A277D6"/>
    <w:rsid w:val="53681995"/>
    <w:rsid w:val="53AF42E1"/>
    <w:rsid w:val="53C0244D"/>
    <w:rsid w:val="53DD4D4E"/>
    <w:rsid w:val="53E578CE"/>
    <w:rsid w:val="54314089"/>
    <w:rsid w:val="543B029D"/>
    <w:rsid w:val="545D0246"/>
    <w:rsid w:val="54987865"/>
    <w:rsid w:val="54AD6C68"/>
    <w:rsid w:val="54E01EF5"/>
    <w:rsid w:val="554E5773"/>
    <w:rsid w:val="555A3CBC"/>
    <w:rsid w:val="56530F5D"/>
    <w:rsid w:val="570476A5"/>
    <w:rsid w:val="583C07C3"/>
    <w:rsid w:val="5842572D"/>
    <w:rsid w:val="584400E0"/>
    <w:rsid w:val="59C7380F"/>
    <w:rsid w:val="5A912F40"/>
    <w:rsid w:val="5AE75037"/>
    <w:rsid w:val="5B58571C"/>
    <w:rsid w:val="5B8376C2"/>
    <w:rsid w:val="5B96133A"/>
    <w:rsid w:val="5BE60065"/>
    <w:rsid w:val="5C1336B7"/>
    <w:rsid w:val="5C263CE4"/>
    <w:rsid w:val="5C5D2777"/>
    <w:rsid w:val="5CD8155E"/>
    <w:rsid w:val="5D290C69"/>
    <w:rsid w:val="5D537F41"/>
    <w:rsid w:val="5DF85A58"/>
    <w:rsid w:val="5E8E1A74"/>
    <w:rsid w:val="5EE96762"/>
    <w:rsid w:val="5EFA176D"/>
    <w:rsid w:val="5F0247F9"/>
    <w:rsid w:val="5F2D4A41"/>
    <w:rsid w:val="5F843543"/>
    <w:rsid w:val="5F912021"/>
    <w:rsid w:val="5FAA0932"/>
    <w:rsid w:val="600579F8"/>
    <w:rsid w:val="601C34ED"/>
    <w:rsid w:val="60403037"/>
    <w:rsid w:val="60A958A9"/>
    <w:rsid w:val="60D22ADB"/>
    <w:rsid w:val="60F95D14"/>
    <w:rsid w:val="61025A59"/>
    <w:rsid w:val="6117052A"/>
    <w:rsid w:val="613D5BBC"/>
    <w:rsid w:val="61536C39"/>
    <w:rsid w:val="622A009C"/>
    <w:rsid w:val="6291260F"/>
    <w:rsid w:val="62944DD7"/>
    <w:rsid w:val="634D1435"/>
    <w:rsid w:val="63C25DC5"/>
    <w:rsid w:val="63C62057"/>
    <w:rsid w:val="63C73832"/>
    <w:rsid w:val="63CB5E49"/>
    <w:rsid w:val="642B2E9B"/>
    <w:rsid w:val="64AB1C82"/>
    <w:rsid w:val="64FB113D"/>
    <w:rsid w:val="654E4D38"/>
    <w:rsid w:val="656152C6"/>
    <w:rsid w:val="6587477F"/>
    <w:rsid w:val="658C3A08"/>
    <w:rsid w:val="65C031CA"/>
    <w:rsid w:val="65CE6852"/>
    <w:rsid w:val="66267C04"/>
    <w:rsid w:val="663F505A"/>
    <w:rsid w:val="66505A1C"/>
    <w:rsid w:val="665C1999"/>
    <w:rsid w:val="665D1E2C"/>
    <w:rsid w:val="667F2393"/>
    <w:rsid w:val="66D83858"/>
    <w:rsid w:val="66EE5541"/>
    <w:rsid w:val="672A5B0C"/>
    <w:rsid w:val="67C030A2"/>
    <w:rsid w:val="68166E6C"/>
    <w:rsid w:val="683F6A32"/>
    <w:rsid w:val="691E1874"/>
    <w:rsid w:val="692172FD"/>
    <w:rsid w:val="69EC3225"/>
    <w:rsid w:val="6A3829EE"/>
    <w:rsid w:val="6A5735EF"/>
    <w:rsid w:val="6B474EF5"/>
    <w:rsid w:val="6C466830"/>
    <w:rsid w:val="6C560CAE"/>
    <w:rsid w:val="6D0615E4"/>
    <w:rsid w:val="6D0F44AD"/>
    <w:rsid w:val="6D903FF5"/>
    <w:rsid w:val="6DA955B8"/>
    <w:rsid w:val="6DE346AB"/>
    <w:rsid w:val="6E396A7F"/>
    <w:rsid w:val="6F5E74D0"/>
    <w:rsid w:val="6F62274A"/>
    <w:rsid w:val="6F7F6A2D"/>
    <w:rsid w:val="6FB442D1"/>
    <w:rsid w:val="6FFB2E76"/>
    <w:rsid w:val="700D0ED3"/>
    <w:rsid w:val="706B6CA7"/>
    <w:rsid w:val="70DC1FCD"/>
    <w:rsid w:val="71C34D91"/>
    <w:rsid w:val="71CB291F"/>
    <w:rsid w:val="71ED38AA"/>
    <w:rsid w:val="720229AA"/>
    <w:rsid w:val="721B2360"/>
    <w:rsid w:val="72224F05"/>
    <w:rsid w:val="7287140A"/>
    <w:rsid w:val="72B63803"/>
    <w:rsid w:val="72DB435C"/>
    <w:rsid w:val="733626A1"/>
    <w:rsid w:val="73C708C6"/>
    <w:rsid w:val="74101CFC"/>
    <w:rsid w:val="750837F0"/>
    <w:rsid w:val="753E77D6"/>
    <w:rsid w:val="76346E4E"/>
    <w:rsid w:val="764F62AB"/>
    <w:rsid w:val="765C45EC"/>
    <w:rsid w:val="768A7619"/>
    <w:rsid w:val="76E14979"/>
    <w:rsid w:val="76F42B0E"/>
    <w:rsid w:val="778546D6"/>
    <w:rsid w:val="77EA362A"/>
    <w:rsid w:val="78192CD7"/>
    <w:rsid w:val="783C2EBF"/>
    <w:rsid w:val="7875383E"/>
    <w:rsid w:val="79007028"/>
    <w:rsid w:val="796D60A4"/>
    <w:rsid w:val="79A031D5"/>
    <w:rsid w:val="7A1525F7"/>
    <w:rsid w:val="7A3E6CB6"/>
    <w:rsid w:val="7A680D2D"/>
    <w:rsid w:val="7ABF4609"/>
    <w:rsid w:val="7B260559"/>
    <w:rsid w:val="7B420052"/>
    <w:rsid w:val="7BB62F29"/>
    <w:rsid w:val="7BD06A28"/>
    <w:rsid w:val="7C1E4CD7"/>
    <w:rsid w:val="7C3A7C0B"/>
    <w:rsid w:val="7C5248E4"/>
    <w:rsid w:val="7C566698"/>
    <w:rsid w:val="7D266BBD"/>
    <w:rsid w:val="7DC12542"/>
    <w:rsid w:val="7DC43063"/>
    <w:rsid w:val="7F9B4529"/>
    <w:rsid w:val="7FA960B8"/>
    <w:rsid w:val="7FE72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8"/>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TableOfAuthoring"/>
    <w:basedOn w:val="1"/>
    <w:next w:val="1"/>
    <w:uiPriority w:val="0"/>
    <w:pPr>
      <w:widowControl/>
      <w:ind w:left="420" w:leftChars="200"/>
      <w:textAlignment w:val="baseline"/>
    </w:pPr>
    <w:rPr>
      <w:rFonts w:eastAsia="宋体"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8</TotalTime>
  <ScaleCrop>false</ScaleCrop>
  <LinksUpToDate>false</LinksUpToDate>
  <CharactersWithSpaces>21460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2025-09-17T07:42:07Z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9EDAFD8FD9424A54844071572B3E9A06_13</vt:lpwstr>
  </property>
</Properties>
</file>