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colors3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charts/style3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/>
        <w:jc w:val="center"/>
        <w:textAlignment w:val="auto"/>
        <w:rPr>
          <w:rFonts w:ascii="方正小标宋_GBK" w:hAnsi="方正小标宋_GBK" w:eastAsia="方正小标宋_GBK" w:cs="方正小标宋_GBK"/>
          <w:color w:val="333333"/>
          <w:kern w:val="0"/>
          <w:sz w:val="44"/>
          <w:szCs w:val="44"/>
          <w:lang w:bidi="ar"/>
        </w:rPr>
      </w:pPr>
      <w:r>
        <w:rPr>
          <w:rFonts w:hint="eastAsia" w:ascii="方正小标宋_GBK" w:hAnsi="方正小标宋_GBK" w:eastAsia="方正小标宋_GBK" w:cs="方正小标宋_GBK"/>
          <w:color w:val="333333"/>
          <w:kern w:val="0"/>
          <w:sz w:val="44"/>
          <w:szCs w:val="44"/>
          <w:lang w:bidi="ar"/>
        </w:rPr>
        <w:t>巫溪县</w:t>
      </w:r>
      <w:r>
        <w:rPr>
          <w:rFonts w:ascii="Times New Roman" w:hAnsi="Times New Roman"/>
          <w:color w:val="333333"/>
          <w:kern w:val="0"/>
          <w:sz w:val="44"/>
          <w:szCs w:val="44"/>
          <w:lang w:bidi="ar"/>
        </w:rPr>
        <w:t>202</w:t>
      </w:r>
      <w:r>
        <w:rPr>
          <w:rFonts w:hint="eastAsia" w:ascii="Times New Roman" w:hAnsi="Times New Roman"/>
          <w:color w:val="333333"/>
          <w:kern w:val="0"/>
          <w:sz w:val="44"/>
          <w:szCs w:val="44"/>
          <w:lang w:val="en-US" w:eastAsia="zh-CN" w:bidi="ar"/>
        </w:rPr>
        <w:t>2</w:t>
      </w:r>
      <w:r>
        <w:rPr>
          <w:rFonts w:ascii="方正小标宋_GBK" w:hAnsi="方正小标宋_GBK" w:eastAsia="方正小标宋_GBK" w:cs="方正小标宋_GBK"/>
          <w:color w:val="333333"/>
          <w:kern w:val="0"/>
          <w:sz w:val="44"/>
          <w:szCs w:val="44"/>
          <w:lang w:bidi="ar"/>
        </w:rPr>
        <w:t>年国民经济和社会发展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/>
        <w:jc w:val="center"/>
        <w:textAlignment w:val="auto"/>
        <w:rPr>
          <w:rFonts w:hint="eastAsia" w:ascii="方正楷体_GBK" w:hAnsi="方正楷体_GBK" w:eastAsia="方正楷体_GBK" w:cs="方正楷体_GBK"/>
          <w:color w:val="333333"/>
          <w:sz w:val="32"/>
          <w:szCs w:val="32"/>
          <w:lang w:bidi="ar"/>
        </w:rPr>
      </w:pPr>
      <w:r>
        <w:rPr>
          <w:rFonts w:ascii="方正小标宋_GBK" w:hAnsi="方正小标宋_GBK" w:eastAsia="方正小标宋_GBK" w:cs="方正小标宋_GBK"/>
          <w:color w:val="333333"/>
          <w:kern w:val="0"/>
          <w:sz w:val="44"/>
          <w:szCs w:val="44"/>
          <w:lang w:bidi="ar"/>
        </w:rPr>
        <w:t>统计公报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hanging="640"/>
        <w:jc w:val="center"/>
        <w:textAlignment w:val="auto"/>
        <w:rPr>
          <w:rFonts w:hint="eastAsia" w:ascii="方正楷体_GBK" w:hAnsi="方正楷体_GBK" w:eastAsia="方正楷体_GBK" w:cs="方正楷体_GBK"/>
          <w:color w:val="333333"/>
          <w:sz w:val="32"/>
          <w:szCs w:val="32"/>
          <w:highlight w:val="yellow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2022年，全县面对复杂严峻的国际环境和国内疫情多发散发、高温干旱少雨极端天气等超预期因素带来的严重冲击，全县上下坚持以习近平新时代中国特色社会主义思想为指导，深入学习贯彻党的二十大精神和党中央、国务院决策部署，认真落实疫情要防住、经济要稳住、发展要安全的要求，高效统筹疫情防控和经济社会发展，着力推动稳经济一揽子政策，加快释放政策效能，保持了经济社会和谐稳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6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Cs/>
          <w:kern w:val="0"/>
          <w:sz w:val="32"/>
          <w:szCs w:val="22"/>
          <w:highlight w:val="none"/>
          <w:lang w:val="en"/>
        </w:rPr>
      </w:pPr>
      <w:r>
        <w:rPr>
          <w:rFonts w:hint="eastAsia" w:ascii="方正黑体_GBK" w:hAnsi="方正黑体_GBK" w:eastAsia="方正黑体_GBK" w:cs="方正黑体_GBK"/>
          <w:bCs/>
          <w:kern w:val="0"/>
          <w:sz w:val="32"/>
          <w:szCs w:val="22"/>
          <w:highlight w:val="none"/>
          <w:lang w:val="en"/>
        </w:rPr>
        <w:t>一、综合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初步核算，全年全县实现地区生产总值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1238761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万元，比上年增长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2.7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%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按产业分，第一产业增加值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276856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万元，增长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3.7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%；第二产业增加值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297770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万元，增长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5.2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%；第三产业增加值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664135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万元，增长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1.3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%。三次产业对经济增长的贡献率分别为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32.5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%、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42.7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%、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24.8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%，分别拉动经济增长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0.9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1.1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0.7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个百分点，三次产业结构比为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22.3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24.0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53.7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。全年人均地区生产总值达到31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869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元，比上年增长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1.8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%。民营经济增加值746554万元，增长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4.3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%，占全县经济总量的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60.3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%。</w:t>
      </w:r>
    </w:p>
    <w:p>
      <w:pPr>
        <w:pStyle w:val="2"/>
      </w:pPr>
      <w:r>
        <w:drawing>
          <wp:inline distT="0" distB="0" distL="114300" distR="114300">
            <wp:extent cx="5253990" cy="2695575"/>
            <wp:effectExtent l="4445" t="4445" r="18415" b="5080"/>
            <wp:docPr id="5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pStyle w:val="3"/>
      </w:pPr>
    </w:p>
    <w:p>
      <w:pPr>
        <w:pStyle w:val="3"/>
        <w:ind w:left="0" w:leftChars="0" w:firstLine="0" w:firstLineChars="0"/>
        <w:rPr>
          <w:rFonts w:hint="eastAsia"/>
        </w:rPr>
      </w:pPr>
      <w:r>
        <w:drawing>
          <wp:inline distT="0" distB="0" distL="114300" distR="114300">
            <wp:extent cx="5271770" cy="2703830"/>
            <wp:effectExtent l="4445" t="4445" r="19685" b="15875"/>
            <wp:docPr id="3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年末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全县常住人口38.78万人，比上年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减少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0.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18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万人。其中，城镇人口16.07万人，占常住人口比重（常住人口城镇化率）为41.44%，比上年提高0.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53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个百分点。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按户籍人口统计（公安局人口年报），年末全县有192375户，总人口为532317人，人口性别比（以女性为100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，男性对女性的比例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）为110.5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，出生婴儿性别比为106.7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（见表1）。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全年人口出生率为6.1‰，死亡率为7.2‰，人口自然增长率为-1.1‰（按照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" w:eastAsia="zh-CN"/>
        </w:rPr>
        <w:t>户籍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两年平均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" w:eastAsia="zh-CN"/>
        </w:rPr>
        <w:t>人口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计算）。全年迁出人口4595人，迁入人口2273人。</w:t>
      </w:r>
    </w:p>
    <w:tbl>
      <w:tblPr>
        <w:tblStyle w:val="5"/>
        <w:tblpPr w:leftFromText="181" w:rightFromText="181" w:vertAnchor="text" w:horzAnchor="page" w:tblpX="1828" w:tblpY="690"/>
        <w:tblOverlap w:val="never"/>
        <w:tblW w:w="4951" w:type="pct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1"/>
        <w:gridCol w:w="2255"/>
        <w:gridCol w:w="2582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exact"/>
        </w:trPr>
        <w:tc>
          <w:tcPr>
            <w:tcW w:w="5000" w:type="pct"/>
            <w:gridSpan w:val="3"/>
            <w:tcBorders>
              <w:top w:val="single" w:color="FFFFFF" w:sz="12" w:space="0"/>
              <w:left w:val="single" w:color="FFFFFF" w:sz="12" w:space="0"/>
              <w:bottom w:val="single" w:color="auto" w:sz="12" w:space="0"/>
              <w:right w:val="outset" w:color="FFFFFF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b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</w:trPr>
        <w:tc>
          <w:tcPr>
            <w:tcW w:w="2134" w:type="pct"/>
            <w:tcBorders>
              <w:top w:val="single" w:color="auto" w:sz="12" w:space="0"/>
              <w:left w:val="outset" w:color="ECE9D8" w:sz="6" w:space="0"/>
              <w:bottom w:val="single" w:color="auto" w:sz="12" w:space="0"/>
              <w:right w:val="single" w:color="auto" w:sz="4" w:space="0"/>
            </w:tcBorders>
            <w:shd w:val="clear" w:color="auto" w:fill="E6E6E6"/>
            <w:noWrap w:val="0"/>
            <w:vAlign w:val="center"/>
          </w:tcPr>
          <w:p>
            <w:pPr>
              <w:spacing w:line="280" w:lineRule="exact"/>
              <w:ind w:firstLine="555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b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32"/>
                <w:szCs w:val="32"/>
                <w:highlight w:val="none"/>
              </w:rPr>
              <w:t>指标名称</w:t>
            </w:r>
          </w:p>
        </w:tc>
        <w:tc>
          <w:tcPr>
            <w:tcW w:w="1336" w:type="pct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E6E6E6"/>
            <w:noWrap w:val="0"/>
            <w:vAlign w:val="center"/>
          </w:tcPr>
          <w:p>
            <w:pPr>
              <w:spacing w:line="280" w:lineRule="exact"/>
              <w:ind w:firstLine="157" w:firstLineChars="49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b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32"/>
                <w:szCs w:val="32"/>
                <w:highlight w:val="none"/>
              </w:rPr>
              <w:t>年末数（人）</w:t>
            </w:r>
          </w:p>
        </w:tc>
        <w:tc>
          <w:tcPr>
            <w:tcW w:w="1529" w:type="pct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outset" w:color="ECE9D8" w:sz="6" w:space="0"/>
            </w:tcBorders>
            <w:shd w:val="clear" w:color="auto" w:fill="E6E6E6"/>
            <w:noWrap w:val="0"/>
            <w:vAlign w:val="center"/>
          </w:tcPr>
          <w:p>
            <w:pPr>
              <w:spacing w:line="280" w:lineRule="exact"/>
              <w:ind w:firstLine="555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b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32"/>
                <w:szCs w:val="32"/>
                <w:highlight w:val="none"/>
              </w:rPr>
              <w:t>比　重（%）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</w:trPr>
        <w:tc>
          <w:tcPr>
            <w:tcW w:w="2134" w:type="pct"/>
            <w:tcBorders>
              <w:top w:val="single" w:color="auto" w:sz="12" w:space="0"/>
              <w:left w:val="outset" w:color="ECE9D8" w:sz="6" w:space="0"/>
              <w:bottom w:val="outset" w:color="ECE9D8" w:sz="6" w:space="0"/>
              <w:right w:val="single" w:color="auto" w:sz="4" w:space="0"/>
            </w:tcBorders>
            <w:shd w:val="clear" w:color="auto" w:fill="E6E6E6"/>
            <w:noWrap w:val="0"/>
            <w:vAlign w:val="center"/>
          </w:tcPr>
          <w:p>
            <w:pPr>
              <w:spacing w:line="280" w:lineRule="exact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</w:rPr>
              <w:t>户籍总人口</w:t>
            </w:r>
          </w:p>
        </w:tc>
        <w:tc>
          <w:tcPr>
            <w:tcW w:w="1336" w:type="pct"/>
            <w:tcBorders>
              <w:top w:val="single" w:color="auto" w:sz="12" w:space="0"/>
              <w:left w:val="single" w:color="auto" w:sz="4" w:space="0"/>
              <w:bottom w:val="outset" w:color="ECE9D8" w:sz="6" w:space="0"/>
              <w:right w:val="outset" w:color="ECE9D8" w:sz="6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</w:rPr>
              <w:t>532317</w:t>
            </w:r>
          </w:p>
        </w:tc>
        <w:tc>
          <w:tcPr>
            <w:tcW w:w="1529" w:type="pct"/>
            <w:tcBorders>
              <w:top w:val="single" w:color="auto" w:sz="12" w:space="0"/>
              <w:left w:val="outset" w:color="ECE9D8" w:sz="6" w:space="0"/>
              <w:bottom w:val="outset" w:color="ECE9D8" w:sz="6" w:space="0"/>
              <w:right w:val="outset" w:color="ECE9D8" w:sz="6" w:space="0"/>
            </w:tcBorders>
            <w:noWrap w:val="0"/>
            <w:vAlign w:val="center"/>
          </w:tcPr>
          <w:p>
            <w:pPr>
              <w:widowControl/>
              <w:ind w:firstLine="402"/>
              <w:jc w:val="right"/>
              <w:textAlignment w:val="bottom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</w:rPr>
              <w:t>100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exact"/>
        </w:trPr>
        <w:tc>
          <w:tcPr>
            <w:tcW w:w="2134" w:type="pct"/>
            <w:tcBorders>
              <w:top w:val="outset" w:color="ECE9D8" w:sz="6" w:space="0"/>
              <w:left w:val="outset" w:color="ECE9D8" w:sz="6" w:space="0"/>
              <w:bottom w:val="outset" w:color="ECE9D8" w:sz="6" w:space="0"/>
              <w:right w:val="single" w:color="auto" w:sz="4" w:space="0"/>
            </w:tcBorders>
            <w:shd w:val="clear" w:color="auto" w:fill="E6E6E6"/>
            <w:noWrap w:val="0"/>
            <w:vAlign w:val="center"/>
          </w:tcPr>
          <w:p>
            <w:pPr>
              <w:spacing w:line="280" w:lineRule="exact"/>
              <w:ind w:firstLine="479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</w:rPr>
              <w:t>其中：城镇人口</w:t>
            </w:r>
          </w:p>
        </w:tc>
        <w:tc>
          <w:tcPr>
            <w:tcW w:w="1336" w:type="pct"/>
            <w:tcBorders>
              <w:top w:val="outset" w:color="ECE9D8" w:sz="6" w:space="0"/>
              <w:left w:val="single" w:color="auto" w:sz="4" w:space="0"/>
              <w:bottom w:val="outset" w:color="ECE9D8" w:sz="6" w:space="0"/>
              <w:right w:val="outset" w:color="ECE9D8" w:sz="6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</w:rPr>
              <w:t>190842</w:t>
            </w:r>
          </w:p>
        </w:tc>
        <w:tc>
          <w:tcPr>
            <w:tcW w:w="1529" w:type="pct"/>
            <w:tcBorders>
              <w:top w:val="outset" w:color="ECE9D8" w:sz="6" w:space="0"/>
              <w:left w:val="outset" w:color="ECE9D8" w:sz="6" w:space="0"/>
              <w:bottom w:val="outset" w:color="ECE9D8" w:sz="6" w:space="0"/>
              <w:right w:val="outset" w:color="ECE9D8" w:sz="6" w:space="0"/>
            </w:tcBorders>
            <w:noWrap w:val="0"/>
            <w:vAlign w:val="center"/>
          </w:tcPr>
          <w:p>
            <w:pPr>
              <w:widowControl/>
              <w:jc w:val="right"/>
              <w:textAlignment w:val="bottom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  <w:lang w:bidi="ar"/>
              </w:rPr>
              <w:t>35.9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2134" w:type="pct"/>
            <w:tcBorders>
              <w:top w:val="outset" w:color="ECE9D8" w:sz="6" w:space="0"/>
              <w:left w:val="outset" w:color="ECE9D8" w:sz="6" w:space="0"/>
              <w:bottom w:val="outset" w:color="ECE9D8" w:sz="6" w:space="0"/>
              <w:right w:val="single" w:color="auto" w:sz="4" w:space="0"/>
            </w:tcBorders>
            <w:shd w:val="clear" w:color="auto" w:fill="E6E6E6"/>
            <w:noWrap w:val="0"/>
            <w:vAlign w:val="center"/>
          </w:tcPr>
          <w:p>
            <w:pPr>
              <w:spacing w:line="280" w:lineRule="exact"/>
              <w:ind w:firstLine="1600" w:firstLineChars="500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</w:rPr>
              <w:t>乡村人口</w:t>
            </w:r>
          </w:p>
        </w:tc>
        <w:tc>
          <w:tcPr>
            <w:tcW w:w="1336" w:type="pct"/>
            <w:tcBorders>
              <w:top w:val="outset" w:color="ECE9D8" w:sz="6" w:space="0"/>
              <w:left w:val="single" w:color="auto" w:sz="4" w:space="0"/>
              <w:bottom w:val="outset" w:color="ECE9D8" w:sz="6" w:space="0"/>
              <w:right w:val="outset" w:color="ECE9D8" w:sz="6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</w:rPr>
              <w:t>341475</w:t>
            </w:r>
          </w:p>
        </w:tc>
        <w:tc>
          <w:tcPr>
            <w:tcW w:w="1529" w:type="pct"/>
            <w:tcBorders>
              <w:top w:val="outset" w:color="ECE9D8" w:sz="6" w:space="0"/>
              <w:left w:val="outset" w:color="ECE9D8" w:sz="6" w:space="0"/>
              <w:bottom w:val="outset" w:color="ECE9D8" w:sz="6" w:space="0"/>
              <w:right w:val="outset" w:color="ECE9D8" w:sz="6" w:space="0"/>
            </w:tcBorders>
            <w:noWrap w:val="0"/>
            <w:vAlign w:val="center"/>
          </w:tcPr>
          <w:p>
            <w:pPr>
              <w:widowControl/>
              <w:jc w:val="right"/>
              <w:textAlignment w:val="bottom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  <w:lang w:bidi="ar"/>
              </w:rPr>
              <w:t>64.1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</w:trPr>
        <w:tc>
          <w:tcPr>
            <w:tcW w:w="2134" w:type="pct"/>
            <w:tcBorders>
              <w:top w:val="outset" w:color="ECE9D8" w:sz="6" w:space="0"/>
              <w:left w:val="outset" w:color="ECE9D8" w:sz="6" w:space="0"/>
              <w:bottom w:val="outset" w:color="ECE9D8" w:sz="6" w:space="0"/>
              <w:right w:val="single" w:color="auto" w:sz="4" w:space="0"/>
            </w:tcBorders>
            <w:shd w:val="clear" w:color="auto" w:fill="E6E6E6"/>
            <w:noWrap w:val="0"/>
            <w:vAlign w:val="center"/>
          </w:tcPr>
          <w:p>
            <w:pPr>
              <w:spacing w:line="280" w:lineRule="exact"/>
              <w:ind w:firstLine="479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</w:rPr>
              <w:t>其中：男性</w:t>
            </w:r>
          </w:p>
        </w:tc>
        <w:tc>
          <w:tcPr>
            <w:tcW w:w="1336" w:type="pct"/>
            <w:tcBorders>
              <w:top w:val="outset" w:color="ECE9D8" w:sz="6" w:space="0"/>
              <w:left w:val="single" w:color="auto" w:sz="4" w:space="0"/>
              <w:bottom w:val="outset" w:color="ECE9D8" w:sz="6" w:space="0"/>
              <w:right w:val="outset" w:color="ECE9D8" w:sz="6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</w:rPr>
              <w:t>279481</w:t>
            </w:r>
          </w:p>
        </w:tc>
        <w:tc>
          <w:tcPr>
            <w:tcW w:w="1529" w:type="pct"/>
            <w:tcBorders>
              <w:top w:val="outset" w:color="ECE9D8" w:sz="6" w:space="0"/>
              <w:left w:val="outset" w:color="ECE9D8" w:sz="6" w:space="0"/>
              <w:bottom w:val="outset" w:color="ECE9D8" w:sz="6" w:space="0"/>
              <w:right w:val="outset" w:color="ECE9D8" w:sz="6" w:space="0"/>
            </w:tcBorders>
            <w:noWrap w:val="0"/>
            <w:vAlign w:val="center"/>
          </w:tcPr>
          <w:p>
            <w:pPr>
              <w:widowControl/>
              <w:jc w:val="right"/>
              <w:textAlignment w:val="bottom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  <w:lang w:bidi="ar"/>
              </w:rPr>
              <w:t>52.5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exact"/>
        </w:trPr>
        <w:tc>
          <w:tcPr>
            <w:tcW w:w="2134" w:type="pct"/>
            <w:tcBorders>
              <w:top w:val="outset" w:color="ECE9D8" w:sz="6" w:space="0"/>
              <w:left w:val="outset" w:color="ECE9D8" w:sz="6" w:space="0"/>
              <w:bottom w:val="outset" w:color="ECE9D8" w:sz="6" w:space="0"/>
              <w:right w:val="single" w:color="auto" w:sz="4" w:space="0"/>
            </w:tcBorders>
            <w:shd w:val="clear" w:color="auto" w:fill="E6E6E6"/>
            <w:noWrap w:val="0"/>
            <w:vAlign w:val="center"/>
          </w:tcPr>
          <w:p>
            <w:pPr>
              <w:spacing w:line="280" w:lineRule="exact"/>
              <w:ind w:firstLine="1600" w:firstLineChars="500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</w:rPr>
              <w:t>女性</w:t>
            </w:r>
          </w:p>
        </w:tc>
        <w:tc>
          <w:tcPr>
            <w:tcW w:w="1336" w:type="pct"/>
            <w:tcBorders>
              <w:top w:val="outset" w:color="ECE9D8" w:sz="6" w:space="0"/>
              <w:left w:val="single" w:color="auto" w:sz="4" w:space="0"/>
              <w:bottom w:val="outset" w:color="ECE9D8" w:sz="6" w:space="0"/>
              <w:right w:val="outset" w:color="ECE9D8" w:sz="6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</w:rPr>
              <w:t>252836</w:t>
            </w:r>
          </w:p>
        </w:tc>
        <w:tc>
          <w:tcPr>
            <w:tcW w:w="1529" w:type="pct"/>
            <w:tcBorders>
              <w:top w:val="outset" w:color="ECE9D8" w:sz="6" w:space="0"/>
              <w:left w:val="outset" w:color="ECE9D8" w:sz="6" w:space="0"/>
              <w:bottom w:val="outset" w:color="ECE9D8" w:sz="6" w:space="0"/>
              <w:right w:val="outset" w:color="ECE9D8" w:sz="6" w:space="0"/>
            </w:tcBorders>
            <w:noWrap w:val="0"/>
            <w:vAlign w:val="center"/>
          </w:tcPr>
          <w:p>
            <w:pPr>
              <w:widowControl/>
              <w:jc w:val="right"/>
              <w:textAlignment w:val="bottom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  <w:lang w:bidi="ar"/>
              </w:rPr>
              <w:t>47.5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exact"/>
        </w:trPr>
        <w:tc>
          <w:tcPr>
            <w:tcW w:w="2134" w:type="pct"/>
            <w:tcBorders>
              <w:top w:val="outset" w:color="ECE9D8" w:sz="6" w:space="0"/>
              <w:left w:val="outset" w:color="ECE9D8" w:sz="6" w:space="0"/>
              <w:bottom w:val="outset" w:color="ECE9D8" w:sz="6" w:space="0"/>
              <w:right w:val="single" w:color="auto" w:sz="4" w:space="0"/>
            </w:tcBorders>
            <w:shd w:val="clear" w:color="auto" w:fill="E6E6E6"/>
            <w:noWrap w:val="0"/>
            <w:vAlign w:val="center"/>
          </w:tcPr>
          <w:p>
            <w:pPr>
              <w:spacing w:line="280" w:lineRule="exact"/>
              <w:ind w:firstLine="479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</w:rPr>
              <w:t>其中：0-17岁</w:t>
            </w:r>
          </w:p>
        </w:tc>
        <w:tc>
          <w:tcPr>
            <w:tcW w:w="1336" w:type="pct"/>
            <w:tcBorders>
              <w:top w:val="outset" w:color="ECE9D8" w:sz="6" w:space="0"/>
              <w:left w:val="single" w:color="auto" w:sz="4" w:space="0"/>
              <w:bottom w:val="outset" w:color="ECE9D8" w:sz="6" w:space="0"/>
              <w:right w:val="outset" w:color="ECE9D8" w:sz="6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</w:rPr>
              <w:t>101279</w:t>
            </w:r>
          </w:p>
        </w:tc>
        <w:tc>
          <w:tcPr>
            <w:tcW w:w="1529" w:type="pct"/>
            <w:tcBorders>
              <w:top w:val="outset" w:color="ECE9D8" w:sz="6" w:space="0"/>
              <w:left w:val="outset" w:color="ECE9D8" w:sz="6" w:space="0"/>
              <w:bottom w:val="outset" w:color="ECE9D8" w:sz="6" w:space="0"/>
              <w:right w:val="outset" w:color="ECE9D8" w:sz="6" w:space="0"/>
            </w:tcBorders>
            <w:noWrap w:val="0"/>
            <w:vAlign w:val="center"/>
          </w:tcPr>
          <w:p>
            <w:pPr>
              <w:widowControl/>
              <w:jc w:val="right"/>
              <w:textAlignment w:val="bottom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  <w:lang w:bidi="ar"/>
              </w:rPr>
              <w:t>19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  <w:lang w:val="en-US" w:eastAsia="zh-CN" w:bidi="ar"/>
              </w:rPr>
              <w:t>.0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exact"/>
        </w:trPr>
        <w:tc>
          <w:tcPr>
            <w:tcW w:w="2134" w:type="pct"/>
            <w:tcBorders>
              <w:top w:val="outset" w:color="ECE9D8" w:sz="6" w:space="0"/>
              <w:left w:val="outset" w:color="ECE9D8" w:sz="6" w:space="0"/>
              <w:bottom w:val="outset" w:color="ECE9D8" w:sz="6" w:space="0"/>
              <w:right w:val="single" w:color="auto" w:sz="4" w:space="0"/>
            </w:tcBorders>
            <w:shd w:val="clear" w:color="auto" w:fill="E6E6E6"/>
            <w:noWrap w:val="0"/>
            <w:vAlign w:val="center"/>
          </w:tcPr>
          <w:p>
            <w:pPr>
              <w:spacing w:line="280" w:lineRule="exact"/>
              <w:ind w:firstLine="1571" w:firstLineChars="491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</w:rPr>
              <w:t>18-34岁</w:t>
            </w:r>
          </w:p>
        </w:tc>
        <w:tc>
          <w:tcPr>
            <w:tcW w:w="1336" w:type="pct"/>
            <w:tcBorders>
              <w:top w:val="outset" w:color="ECE9D8" w:sz="6" w:space="0"/>
              <w:left w:val="single" w:color="auto" w:sz="4" w:space="0"/>
              <w:bottom w:val="outset" w:color="ECE9D8" w:sz="6" w:space="0"/>
              <w:right w:val="outset" w:color="ECE9D8" w:sz="6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</w:rPr>
              <w:t>123690</w:t>
            </w:r>
          </w:p>
        </w:tc>
        <w:tc>
          <w:tcPr>
            <w:tcW w:w="1529" w:type="pct"/>
            <w:tcBorders>
              <w:top w:val="outset" w:color="ECE9D8" w:sz="6" w:space="0"/>
              <w:left w:val="outset" w:color="ECE9D8" w:sz="6" w:space="0"/>
              <w:bottom w:val="outset" w:color="ECE9D8" w:sz="6" w:space="0"/>
              <w:right w:val="outset" w:color="ECE9D8" w:sz="6" w:space="0"/>
            </w:tcBorders>
            <w:noWrap w:val="0"/>
            <w:vAlign w:val="center"/>
          </w:tcPr>
          <w:p>
            <w:pPr>
              <w:widowControl/>
              <w:jc w:val="right"/>
              <w:textAlignment w:val="bottom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  <w:lang w:bidi="ar"/>
              </w:rPr>
              <w:t>23.3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</w:trPr>
        <w:tc>
          <w:tcPr>
            <w:tcW w:w="2134" w:type="pct"/>
            <w:tcBorders>
              <w:top w:val="outset" w:color="ECE9D8" w:sz="6" w:space="0"/>
              <w:left w:val="outset" w:color="ECE9D8" w:sz="6" w:space="0"/>
              <w:bottom w:val="outset" w:color="ECE9D8" w:sz="6" w:space="0"/>
              <w:right w:val="single" w:color="auto" w:sz="4" w:space="0"/>
            </w:tcBorders>
            <w:shd w:val="clear" w:color="auto" w:fill="E6E6E6"/>
            <w:noWrap w:val="0"/>
            <w:vAlign w:val="center"/>
          </w:tcPr>
          <w:p>
            <w:pPr>
              <w:spacing w:line="280" w:lineRule="exact"/>
              <w:ind w:firstLine="1571" w:firstLineChars="491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</w:rPr>
              <w:t>35-59岁</w:t>
            </w:r>
          </w:p>
        </w:tc>
        <w:tc>
          <w:tcPr>
            <w:tcW w:w="1336" w:type="pct"/>
            <w:tcBorders>
              <w:top w:val="outset" w:color="ECE9D8" w:sz="6" w:space="0"/>
              <w:left w:val="single" w:color="auto" w:sz="4" w:space="0"/>
              <w:bottom w:val="outset" w:color="ECE9D8" w:sz="6" w:space="0"/>
              <w:right w:val="outset" w:color="ECE9D8" w:sz="6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</w:rPr>
              <w:t>202411</w:t>
            </w:r>
          </w:p>
        </w:tc>
        <w:tc>
          <w:tcPr>
            <w:tcW w:w="1529" w:type="pct"/>
            <w:tcBorders>
              <w:top w:val="outset" w:color="ECE9D8" w:sz="6" w:space="0"/>
              <w:left w:val="outset" w:color="ECE9D8" w:sz="6" w:space="0"/>
              <w:bottom w:val="outset" w:color="ECE9D8" w:sz="6" w:space="0"/>
              <w:right w:val="outset" w:color="ECE9D8" w:sz="6" w:space="0"/>
            </w:tcBorders>
            <w:noWrap w:val="0"/>
            <w:vAlign w:val="center"/>
          </w:tcPr>
          <w:p>
            <w:pPr>
              <w:widowControl/>
              <w:jc w:val="right"/>
              <w:textAlignment w:val="bottom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  <w:lang w:bidi="ar"/>
              </w:rPr>
              <w:t>38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  <w:lang w:val="en-US" w:eastAsia="zh-CN" w:bidi="ar"/>
              </w:rPr>
              <w:t>.0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</w:trPr>
        <w:tc>
          <w:tcPr>
            <w:tcW w:w="2134" w:type="pct"/>
            <w:tcBorders>
              <w:top w:val="outset" w:color="ECE9D8" w:sz="6" w:space="0"/>
              <w:left w:val="outset" w:color="ECE9D8" w:sz="6" w:space="0"/>
              <w:bottom w:val="outset" w:color="ECE9D8" w:sz="6" w:space="0"/>
              <w:right w:val="single" w:color="auto" w:sz="4" w:space="0"/>
            </w:tcBorders>
            <w:shd w:val="clear" w:color="auto" w:fill="E6E6E6"/>
            <w:noWrap w:val="0"/>
            <w:vAlign w:val="center"/>
          </w:tcPr>
          <w:p>
            <w:pPr>
              <w:spacing w:line="280" w:lineRule="exact"/>
              <w:ind w:firstLine="1571" w:firstLineChars="491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</w:rPr>
              <w:t>60岁及以上</w:t>
            </w:r>
          </w:p>
        </w:tc>
        <w:tc>
          <w:tcPr>
            <w:tcW w:w="1336" w:type="pct"/>
            <w:tcBorders>
              <w:top w:val="outset" w:color="ECE9D8" w:sz="6" w:space="0"/>
              <w:left w:val="single" w:color="auto" w:sz="4" w:space="0"/>
              <w:bottom w:val="outset" w:color="ECE9D8" w:sz="6" w:space="0"/>
              <w:right w:val="outset" w:color="ECE9D8" w:sz="6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</w:rPr>
              <w:t>104937</w:t>
            </w:r>
          </w:p>
        </w:tc>
        <w:tc>
          <w:tcPr>
            <w:tcW w:w="1529" w:type="pct"/>
            <w:tcBorders>
              <w:top w:val="outset" w:color="ECE9D8" w:sz="6" w:space="0"/>
              <w:left w:val="outset" w:color="ECE9D8" w:sz="6" w:space="0"/>
              <w:bottom w:val="outset" w:color="ECE9D8" w:sz="6" w:space="0"/>
              <w:right w:val="outset" w:color="ECE9D8" w:sz="6" w:space="0"/>
            </w:tcBorders>
            <w:noWrap w:val="0"/>
            <w:vAlign w:val="center"/>
          </w:tcPr>
          <w:p>
            <w:pPr>
              <w:widowControl/>
              <w:jc w:val="right"/>
              <w:textAlignment w:val="bottom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  <w:lang w:bidi="ar"/>
              </w:rPr>
              <w:t>19.7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exact"/>
        </w:trPr>
        <w:tc>
          <w:tcPr>
            <w:tcW w:w="2134" w:type="pct"/>
            <w:tcBorders>
              <w:top w:val="outset" w:color="ECE9D8" w:sz="6" w:space="0"/>
              <w:left w:val="outset" w:color="ECE9D8" w:sz="6" w:space="0"/>
              <w:bottom w:val="outset" w:color="ECE9D8" w:sz="6" w:space="0"/>
              <w:right w:val="single" w:color="auto" w:sz="4" w:space="0"/>
            </w:tcBorders>
            <w:shd w:val="clear" w:color="auto" w:fill="E6E6E6"/>
            <w:noWrap w:val="0"/>
            <w:vAlign w:val="center"/>
          </w:tcPr>
          <w:p>
            <w:pPr>
              <w:spacing w:line="280" w:lineRule="exact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</w:rPr>
              <w:t>出生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  <w:lang w:val="en-US" w:eastAsia="zh-CN"/>
              </w:rPr>
              <w:t>人口</w:t>
            </w:r>
          </w:p>
        </w:tc>
        <w:tc>
          <w:tcPr>
            <w:tcW w:w="1336" w:type="pct"/>
            <w:tcBorders>
              <w:top w:val="outset" w:color="ECE9D8" w:sz="6" w:space="0"/>
              <w:left w:val="single" w:color="auto" w:sz="4" w:space="0"/>
              <w:bottom w:val="outset" w:color="ECE9D8" w:sz="6" w:space="0"/>
              <w:right w:val="outset" w:color="ECE9D8" w:sz="6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</w:rPr>
              <w:t>3249</w:t>
            </w:r>
          </w:p>
        </w:tc>
        <w:tc>
          <w:tcPr>
            <w:tcW w:w="1529" w:type="pct"/>
            <w:tcBorders>
              <w:top w:val="outset" w:color="ECE9D8" w:sz="6" w:space="0"/>
              <w:left w:val="outset" w:color="ECE9D8" w:sz="6" w:space="0"/>
              <w:bottom w:val="outset" w:color="ECE9D8" w:sz="6" w:space="0"/>
              <w:right w:val="outset" w:color="ECE9D8" w:sz="6" w:space="0"/>
            </w:tcBorders>
            <w:noWrap w:val="0"/>
            <w:vAlign w:val="center"/>
          </w:tcPr>
          <w:p>
            <w:pPr>
              <w:widowControl/>
              <w:jc w:val="right"/>
              <w:textAlignment w:val="bottom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</w:trPr>
        <w:tc>
          <w:tcPr>
            <w:tcW w:w="2134" w:type="pct"/>
            <w:tcBorders>
              <w:top w:val="outset" w:color="ECE9D8" w:sz="6" w:space="0"/>
              <w:left w:val="outset" w:color="ECE9D8" w:sz="6" w:space="0"/>
              <w:bottom w:val="outset" w:color="ECE9D8" w:sz="6" w:space="0"/>
              <w:right w:val="single" w:color="auto" w:sz="4" w:space="0"/>
            </w:tcBorders>
            <w:shd w:val="clear" w:color="auto" w:fill="E6E6E6"/>
            <w:noWrap w:val="0"/>
            <w:vAlign w:val="center"/>
          </w:tcPr>
          <w:p>
            <w:pPr>
              <w:spacing w:line="280" w:lineRule="exact"/>
              <w:ind w:firstLine="479" w:firstLineChars="0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</w:rPr>
              <w:t>其中：男性</w:t>
            </w:r>
          </w:p>
        </w:tc>
        <w:tc>
          <w:tcPr>
            <w:tcW w:w="1336" w:type="pct"/>
            <w:tcBorders>
              <w:top w:val="outset" w:color="ECE9D8" w:sz="6" w:space="0"/>
              <w:left w:val="single" w:color="auto" w:sz="4" w:space="0"/>
              <w:bottom w:val="outset" w:color="ECE9D8" w:sz="6" w:space="0"/>
              <w:right w:val="outset" w:color="ECE9D8" w:sz="6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</w:rPr>
              <w:t>1677</w:t>
            </w:r>
          </w:p>
        </w:tc>
        <w:tc>
          <w:tcPr>
            <w:tcW w:w="1529" w:type="pct"/>
            <w:tcBorders>
              <w:top w:val="outset" w:color="ECE9D8" w:sz="6" w:space="0"/>
              <w:left w:val="outset" w:color="ECE9D8" w:sz="6" w:space="0"/>
              <w:bottom w:val="outset" w:color="ECE9D8" w:sz="6" w:space="0"/>
              <w:right w:val="outset" w:color="ECE9D8" w:sz="6" w:space="0"/>
            </w:tcBorders>
            <w:noWrap w:val="0"/>
            <w:vAlign w:val="center"/>
          </w:tcPr>
          <w:p>
            <w:pPr>
              <w:widowControl/>
              <w:jc w:val="right"/>
              <w:textAlignment w:val="bottom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  <w:lang w:val="en-US" w:eastAsia="zh-CN" w:bidi="ar"/>
              </w:rPr>
              <w:t>51.6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</w:trPr>
        <w:tc>
          <w:tcPr>
            <w:tcW w:w="2134" w:type="pct"/>
            <w:tcBorders>
              <w:top w:val="outset" w:color="ECE9D8" w:sz="6" w:space="0"/>
              <w:left w:val="outset" w:color="ECE9D8" w:sz="6" w:space="0"/>
              <w:bottom w:val="outset" w:color="ECE9D8" w:sz="6" w:space="0"/>
              <w:right w:val="single" w:color="auto" w:sz="4" w:space="0"/>
            </w:tcBorders>
            <w:shd w:val="clear" w:color="auto" w:fill="E6E6E6"/>
            <w:noWrap w:val="0"/>
            <w:vAlign w:val="center"/>
          </w:tcPr>
          <w:p>
            <w:pPr>
              <w:spacing w:line="280" w:lineRule="exact"/>
              <w:ind w:firstLine="1600" w:firstLineChars="500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</w:rPr>
              <w:t>女性</w:t>
            </w:r>
          </w:p>
        </w:tc>
        <w:tc>
          <w:tcPr>
            <w:tcW w:w="1336" w:type="pct"/>
            <w:tcBorders>
              <w:top w:val="outset" w:color="ECE9D8" w:sz="6" w:space="0"/>
              <w:left w:val="single" w:color="auto" w:sz="4" w:space="0"/>
              <w:bottom w:val="outset" w:color="ECE9D8" w:sz="6" w:space="0"/>
              <w:right w:val="outset" w:color="ECE9D8" w:sz="6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</w:rPr>
              <w:t>1572</w:t>
            </w:r>
          </w:p>
        </w:tc>
        <w:tc>
          <w:tcPr>
            <w:tcW w:w="1529" w:type="pct"/>
            <w:tcBorders>
              <w:top w:val="outset" w:color="ECE9D8" w:sz="6" w:space="0"/>
              <w:left w:val="outset" w:color="ECE9D8" w:sz="6" w:space="0"/>
              <w:bottom w:val="outset" w:color="ECE9D8" w:sz="6" w:space="0"/>
              <w:right w:val="outset" w:color="ECE9D8" w:sz="6" w:space="0"/>
            </w:tcBorders>
            <w:noWrap w:val="0"/>
            <w:vAlign w:val="center"/>
          </w:tcPr>
          <w:p>
            <w:pPr>
              <w:widowControl/>
              <w:jc w:val="right"/>
              <w:textAlignment w:val="bottom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  <w:lang w:val="en-US" w:eastAsia="zh-CN" w:bidi="ar"/>
              </w:rPr>
              <w:t>48.4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2134" w:type="pct"/>
            <w:tcBorders>
              <w:top w:val="outset" w:color="ECE9D8" w:sz="6" w:space="0"/>
              <w:left w:val="outset" w:color="ECE9D8" w:sz="6" w:space="0"/>
              <w:bottom w:val="outset" w:color="ECE9D8" w:sz="6" w:space="0"/>
              <w:right w:val="single" w:color="auto" w:sz="4" w:space="0"/>
            </w:tcBorders>
            <w:shd w:val="clear" w:color="auto" w:fill="E6E6E6"/>
            <w:noWrap w:val="0"/>
            <w:vAlign w:val="center"/>
          </w:tcPr>
          <w:p>
            <w:pPr>
              <w:spacing w:line="280" w:lineRule="exact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  <w:lang w:val="en-US" w:eastAsia="zh-CN"/>
              </w:rPr>
              <w:t>死亡人口</w:t>
            </w:r>
          </w:p>
        </w:tc>
        <w:tc>
          <w:tcPr>
            <w:tcW w:w="1336" w:type="pct"/>
            <w:tcBorders>
              <w:top w:val="outset" w:color="ECE9D8" w:sz="6" w:space="0"/>
              <w:left w:val="single" w:color="auto" w:sz="4" w:space="0"/>
              <w:bottom w:val="outset" w:color="ECE9D8" w:sz="6" w:space="0"/>
              <w:right w:val="outset" w:color="ECE9D8" w:sz="6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</w:rPr>
              <w:t>3842</w:t>
            </w:r>
          </w:p>
        </w:tc>
        <w:tc>
          <w:tcPr>
            <w:tcW w:w="1529" w:type="pct"/>
            <w:tcBorders>
              <w:top w:val="outset" w:color="ECE9D8" w:sz="6" w:space="0"/>
              <w:left w:val="outset" w:color="ECE9D8" w:sz="6" w:space="0"/>
              <w:bottom w:val="outset" w:color="ECE9D8" w:sz="6" w:space="0"/>
              <w:right w:val="outset" w:color="ECE9D8" w:sz="6" w:space="0"/>
            </w:tcBorders>
            <w:noWrap w:val="0"/>
            <w:vAlign w:val="center"/>
          </w:tcPr>
          <w:p>
            <w:pPr>
              <w:widowControl/>
              <w:jc w:val="right"/>
              <w:textAlignment w:val="bottom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exact"/>
        </w:trPr>
        <w:tc>
          <w:tcPr>
            <w:tcW w:w="2134" w:type="pct"/>
            <w:tcBorders>
              <w:top w:val="outset" w:color="ECE9D8" w:sz="6" w:space="0"/>
              <w:left w:val="outset" w:color="ECE9D8" w:sz="6" w:space="0"/>
              <w:bottom w:val="outset" w:color="ECE9D8" w:sz="6" w:space="0"/>
              <w:right w:val="single" w:color="auto" w:sz="4" w:space="0"/>
            </w:tcBorders>
            <w:shd w:val="clear" w:color="auto" w:fill="E6E6E6"/>
            <w:noWrap w:val="0"/>
            <w:vAlign w:val="center"/>
          </w:tcPr>
          <w:p>
            <w:pPr>
              <w:spacing w:line="280" w:lineRule="exact"/>
              <w:ind w:firstLine="479" w:firstLineChars="0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</w:rPr>
              <w:t>其中：男性</w:t>
            </w:r>
          </w:p>
        </w:tc>
        <w:tc>
          <w:tcPr>
            <w:tcW w:w="1336" w:type="pct"/>
            <w:tcBorders>
              <w:top w:val="outset" w:color="ECE9D8" w:sz="6" w:space="0"/>
              <w:left w:val="single" w:color="auto" w:sz="4" w:space="0"/>
              <w:bottom w:val="outset" w:color="ECE9D8" w:sz="6" w:space="0"/>
              <w:right w:val="outset" w:color="ECE9D8" w:sz="6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</w:rPr>
              <w:t>2278</w:t>
            </w:r>
          </w:p>
        </w:tc>
        <w:tc>
          <w:tcPr>
            <w:tcW w:w="1529" w:type="pct"/>
            <w:tcBorders>
              <w:top w:val="outset" w:color="ECE9D8" w:sz="6" w:space="0"/>
              <w:left w:val="outset" w:color="ECE9D8" w:sz="6" w:space="0"/>
              <w:bottom w:val="outset" w:color="ECE9D8" w:sz="6" w:space="0"/>
              <w:right w:val="outset" w:color="ECE9D8" w:sz="6" w:space="0"/>
            </w:tcBorders>
            <w:noWrap w:val="0"/>
            <w:vAlign w:val="center"/>
          </w:tcPr>
          <w:p>
            <w:pPr>
              <w:widowControl/>
              <w:jc w:val="right"/>
              <w:textAlignment w:val="bottom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  <w:lang w:val="en-US" w:eastAsia="zh-CN" w:bidi="ar"/>
              </w:rPr>
              <w:t>59.3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exact"/>
        </w:trPr>
        <w:tc>
          <w:tcPr>
            <w:tcW w:w="2134" w:type="pct"/>
            <w:tcBorders>
              <w:top w:val="outset" w:color="ECE9D8" w:sz="6" w:space="0"/>
              <w:left w:val="outset" w:color="ECE9D8" w:sz="6" w:space="0"/>
              <w:bottom w:val="threeDEngrave" w:color="auto" w:sz="12" w:space="0"/>
              <w:right w:val="single" w:color="auto" w:sz="4" w:space="0"/>
            </w:tcBorders>
            <w:shd w:val="clear" w:color="auto" w:fill="E6E6E6"/>
            <w:noWrap w:val="0"/>
            <w:vAlign w:val="center"/>
          </w:tcPr>
          <w:p>
            <w:pPr>
              <w:spacing w:line="280" w:lineRule="exact"/>
              <w:ind w:firstLine="1600" w:firstLineChars="500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</w:rPr>
              <w:t>女性</w:t>
            </w:r>
          </w:p>
        </w:tc>
        <w:tc>
          <w:tcPr>
            <w:tcW w:w="1336" w:type="pct"/>
            <w:tcBorders>
              <w:top w:val="outset" w:color="ECE9D8" w:sz="6" w:space="0"/>
              <w:left w:val="single" w:color="auto" w:sz="4" w:space="0"/>
              <w:bottom w:val="threeDEngrave" w:color="auto" w:sz="12" w:space="0"/>
              <w:right w:val="outset" w:color="ECE9D8" w:sz="6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</w:rPr>
              <w:t>1564</w:t>
            </w:r>
          </w:p>
        </w:tc>
        <w:tc>
          <w:tcPr>
            <w:tcW w:w="1529" w:type="pct"/>
            <w:tcBorders>
              <w:top w:val="outset" w:color="ECE9D8" w:sz="6" w:space="0"/>
              <w:left w:val="outset" w:color="ECE9D8" w:sz="6" w:space="0"/>
              <w:bottom w:val="threeDEngrave" w:color="auto" w:sz="12" w:space="0"/>
              <w:right w:val="outset" w:color="ECE9D8" w:sz="6" w:space="0"/>
            </w:tcBorders>
            <w:noWrap w:val="0"/>
            <w:vAlign w:val="center"/>
          </w:tcPr>
          <w:p>
            <w:pPr>
              <w:widowControl/>
              <w:jc w:val="right"/>
              <w:textAlignment w:val="bottom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highlight w:val="none"/>
                <w:lang w:val="en-US" w:eastAsia="zh-CN" w:bidi="ar"/>
              </w:rPr>
              <w:t>40.7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right="0"/>
        <w:jc w:val="center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-6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-6"/>
          <w:kern w:val="0"/>
          <w:sz w:val="32"/>
          <w:szCs w:val="32"/>
          <w:highlight w:val="none"/>
          <w:lang w:val="en" w:eastAsia="zh-CN" w:bidi="ar"/>
        </w:rPr>
        <w:t>表1  202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-6"/>
          <w:kern w:val="0"/>
          <w:sz w:val="32"/>
          <w:szCs w:val="32"/>
          <w:highlight w:val="none"/>
          <w:lang w:val="en-US" w:eastAsia="zh-CN" w:bidi="ar"/>
        </w:rPr>
        <w:t>2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-6"/>
          <w:kern w:val="0"/>
          <w:sz w:val="32"/>
          <w:szCs w:val="32"/>
          <w:highlight w:val="none"/>
          <w:lang w:val="en" w:eastAsia="zh-CN" w:bidi="ar"/>
        </w:rPr>
        <w:t>年户籍人口数及其构成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96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</w:rPr>
        <w:t>城乡就业再就业工作取得新成效。城镇新增就业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-US" w:eastAsia="zh-CN"/>
        </w:rPr>
        <w:t>3778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</w:rPr>
        <w:t>人，城镇登记失业人员数2408人，城镇登记失业人员再就业人数1838人，就业困难人员就业人数1667人。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/>
          <w:lang w:val="e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年末，全县有11个乡，19个镇，2个街道办事处，288个行政村，41个社区居民委员会。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6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Cs/>
          <w:kern w:val="0"/>
          <w:sz w:val="32"/>
          <w:szCs w:val="22"/>
          <w:highlight w:val="none"/>
          <w:lang w:val="en"/>
        </w:rPr>
      </w:pPr>
      <w:r>
        <w:rPr>
          <w:rFonts w:hint="eastAsia" w:ascii="方正黑体_GBK" w:hAnsi="方正黑体_GBK" w:eastAsia="方正黑体_GBK" w:cs="方正黑体_GBK"/>
          <w:bCs/>
          <w:kern w:val="0"/>
          <w:sz w:val="32"/>
          <w:szCs w:val="22"/>
          <w:highlight w:val="none"/>
          <w:lang w:val="en"/>
        </w:rPr>
        <w:t>二、农业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96" w:lineRule="exact"/>
        <w:ind w:firstLine="640" w:firstLineChars="200"/>
        <w:jc w:val="both"/>
        <w:textAlignment w:val="auto"/>
        <w:rPr>
          <w:rFonts w:hint="default" w:ascii="方正仿宋_GBK" w:hAnsi="方正仿宋_GBK" w:eastAsia="方正仿宋_GBK" w:cs="方正仿宋_GBK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-US" w:eastAsia="zh-CN"/>
        </w:rPr>
        <w:t>全年农林牧渔业总产值443185万元，同比增长3.8%。其中农业产值247318万元，同比增长4.7%；林业产值60508万元，同比增长9.4%；牧业产值125711万元，同比下降1.3%；渔业产值3134万元，同比增长4.8%；农林牧渔专业及辅助性活动产值6514万元，同比增长3.1%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96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-US" w:eastAsia="zh-CN"/>
        </w:rPr>
        <w:t>全年粮食作物播种面积895288亩，同比增长1.5%。全年粮食总产235609吨，下降1.6%。其中，小麦267吨，下降0.4%；玉米89035吨，下降0.04%；水稻14224吨，下降0.2 %；大豆5678吨，增长0.9  %；马铃薯80067 吨，增长3.3%。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-US" w:eastAsia="zh-CN"/>
        </w:rPr>
        <w:br w:type="textWrapping"/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-US" w:eastAsia="zh-CN"/>
        </w:rPr>
        <w:t xml:space="preserve">    全年生猪出栏575388头，同比增加1.7%；牛出栏7018头，同比增长7.4%；羊出栏251809只，同比增长1.5%；家禽出栏2736805只，同比下降4.2%。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6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Cs/>
          <w:kern w:val="0"/>
          <w:sz w:val="32"/>
          <w:szCs w:val="32"/>
          <w:highlight w:val="none"/>
          <w:lang w:val="en"/>
        </w:rPr>
      </w:pPr>
      <w:r>
        <w:rPr>
          <w:rFonts w:hint="eastAsia" w:ascii="方正黑体_GBK" w:hAnsi="方正黑体_GBK" w:eastAsia="方正黑体_GBK" w:cs="方正黑体_GBK"/>
          <w:bCs/>
          <w:kern w:val="0"/>
          <w:sz w:val="32"/>
          <w:szCs w:val="22"/>
          <w:highlight w:val="none"/>
          <w:lang w:val="en"/>
        </w:rPr>
        <w:t xml:space="preserve">三、工业和建筑业  </w:t>
      </w:r>
      <w:r>
        <w:rPr>
          <w:rFonts w:hint="eastAsia" w:ascii="方正仿宋_GBK" w:hAnsi="方正仿宋_GBK" w:eastAsia="方正仿宋_GBK" w:cs="方正仿宋_GBK"/>
          <w:bCs/>
          <w:kern w:val="0"/>
          <w:sz w:val="32"/>
          <w:szCs w:val="32"/>
          <w:highlight w:val="none"/>
          <w:lang w:val="e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96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</w:rPr>
        <w:t>全年全县工业增加值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-US" w:eastAsia="zh-CN"/>
        </w:rPr>
        <w:t>77633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"/>
        </w:rPr>
        <w:t>万元，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</w:rPr>
        <w:t>同比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-US" w:eastAsia="zh-CN"/>
        </w:rPr>
        <w:t>下降7.9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"/>
        </w:rPr>
        <w:t>%，分三大门类看，采矿业增加值增长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-US" w:eastAsia="zh-CN"/>
        </w:rPr>
        <w:t>5.5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"/>
        </w:rPr>
        <w:t>%，制造业增加值下降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-US" w:eastAsia="zh-CN"/>
        </w:rPr>
        <w:t>7.0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"/>
        </w:rPr>
        <w:t>%，电力、热力、燃气及水生产和供应业增加值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-US" w:eastAsia="zh-CN"/>
        </w:rPr>
        <w:t>下降9.6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"/>
        </w:rPr>
        <w:t>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96" w:lineRule="exact"/>
        <w:ind w:firstLine="640" w:firstLineChars="200"/>
        <w:jc w:val="both"/>
        <w:textAlignment w:val="auto"/>
        <w:rPr>
          <w:rFonts w:hint="eastAsia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highlight w:val="none"/>
        </w:rPr>
        <w:t>全年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</w:rPr>
        <w:t>规模以上工业企业全年增加值比上年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-US" w:eastAsia="zh-CN"/>
        </w:rPr>
        <w:t>下降16.3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"/>
        </w:rPr>
        <w:t>%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</w:rPr>
        <w:t>。全年实现规模以上工业总产值13.0亿元，比上年下降17.7%，主要工业产品产量有增有减（见表2）。分经济类型看，国有控股企业产值下降16.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</w:rPr>
        <w:t>%，股份制企业下降28.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</w:rPr>
        <w:t>%。分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-US" w:eastAsia="zh-CN"/>
        </w:rPr>
        <w:t>三大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</w:rPr>
        <w:t>门类看，采矿业下降26.1%，制造业下降18.5%，电力、热力、燃气及水生产和供应业下降19.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</w:rPr>
        <w:t>%。分产业看，清洁能源产值比上年下降43.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</w:rPr>
        <w:t>%，建筑材料产业下降37.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</w:rPr>
        <w:t>%，食品医药增长8.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</w:rPr>
        <w:t>%，轻工纺织产业增长20.6%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eastAsia="zh-CN"/>
        </w:rPr>
        <w:t>。</w:t>
      </w:r>
    </w:p>
    <w:p>
      <w:pPr>
        <w:pStyle w:val="2"/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eastAsia="zh-CN"/>
        </w:rPr>
      </w:pPr>
      <w:r>
        <w:drawing>
          <wp:inline distT="0" distB="0" distL="114300" distR="114300">
            <wp:extent cx="5273040" cy="3204210"/>
            <wp:effectExtent l="0" t="0" r="3810" b="152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20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96" w:lineRule="exact"/>
        <w:ind w:firstLine="640" w:firstLineChars="200"/>
        <w:jc w:val="both"/>
        <w:textAlignment w:val="auto"/>
        <w:rPr>
          <w:rFonts w:hint="eastAsia"/>
          <w:highlight w:val="none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"/>
        </w:rPr>
        <w:t>全年建筑业增加值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-US" w:eastAsia="zh-CN"/>
        </w:rPr>
        <w:t>220137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"/>
        </w:rPr>
        <w:t>万元，同比增长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-US" w:eastAsia="zh-CN"/>
        </w:rPr>
        <w:t>11.2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"/>
        </w:rPr>
        <w:t>%，完成建筑产值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-US" w:eastAsia="zh-CN"/>
        </w:rPr>
        <w:t>375752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"/>
        </w:rPr>
        <w:t>万元，同比增长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-US" w:eastAsia="zh-CN"/>
        </w:rPr>
        <w:t>20.4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"/>
        </w:rPr>
        <w:t>%。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6" w:lineRule="exact"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bCs/>
          <w:kern w:val="0"/>
          <w:sz w:val="32"/>
          <w:szCs w:val="22"/>
          <w:highlight w:val="none"/>
          <w:lang w:val="en"/>
        </w:rPr>
      </w:pPr>
      <w:r>
        <w:rPr>
          <w:rFonts w:hint="eastAsia" w:ascii="方正黑体_GBK" w:hAnsi="方正黑体_GBK" w:eastAsia="方正黑体_GBK" w:cs="方正黑体_GBK"/>
          <w:bCs/>
          <w:kern w:val="0"/>
          <w:sz w:val="32"/>
          <w:szCs w:val="22"/>
          <w:highlight w:val="none"/>
          <w:lang w:val="en"/>
        </w:rPr>
        <w:t>四、服务业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96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"/>
        </w:rPr>
        <w:t>全年交通运输、仓储和邮政业增加值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-US" w:eastAsia="zh-CN"/>
        </w:rPr>
        <w:t>25268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"/>
        </w:rPr>
        <w:t>万元，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-US" w:eastAsia="zh-CN"/>
        </w:rPr>
        <w:t>同比下降4.8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"/>
        </w:rPr>
        <w:t>%；批发和零售业增加值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-US" w:eastAsia="zh-CN"/>
        </w:rPr>
        <w:t>109794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"/>
        </w:rPr>
        <w:t>万元，比上年增长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-US" w:eastAsia="zh-CN"/>
        </w:rPr>
        <w:t>1.0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"/>
        </w:rPr>
        <w:t>%；住宿和餐饮业增加值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-US" w:eastAsia="zh-CN"/>
        </w:rPr>
        <w:t>24929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"/>
        </w:rPr>
        <w:t>万元，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-US" w:eastAsia="zh-CN"/>
        </w:rPr>
        <w:t>下降0.4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"/>
        </w:rPr>
        <w:t>%；金融业增加值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-US" w:eastAsia="zh-CN"/>
        </w:rPr>
        <w:t>89593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"/>
        </w:rPr>
        <w:t>万元，增长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-US" w:eastAsia="zh-CN"/>
        </w:rPr>
        <w:t>3.6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"/>
        </w:rPr>
        <w:t>%；房地产业增加值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-US" w:eastAsia="zh-CN"/>
        </w:rPr>
        <w:t>77659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"/>
        </w:rPr>
        <w:t>万元，增长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-US" w:eastAsia="zh-CN"/>
        </w:rPr>
        <w:t>0.4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"/>
        </w:rPr>
        <w:t>%；其他服务业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-US" w:eastAsia="zh-CN"/>
        </w:rPr>
        <w:t>332811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"/>
        </w:rPr>
        <w:t>万元，增长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-US" w:eastAsia="zh-CN"/>
        </w:rPr>
        <w:t>1.6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"/>
        </w:rPr>
        <w:t>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96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"/>
        </w:rPr>
        <w:t>全年货物运输总量412.6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-US" w:eastAsia="zh-CN"/>
        </w:rPr>
        <w:t>万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"/>
        </w:rPr>
        <w:t>吨，货物运输周转量34979.5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-US" w:eastAsia="zh-CN"/>
        </w:rPr>
        <w:t>万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"/>
        </w:rPr>
        <w:t>吨公里。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96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"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"/>
        </w:rPr>
        <w:t>全年旅客运输总量149.6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-US" w:eastAsia="zh-CN"/>
        </w:rPr>
        <w:t>万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"/>
        </w:rPr>
        <w:t>人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-US" w:eastAsia="zh-CN"/>
        </w:rPr>
        <w:t>次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"/>
        </w:rPr>
        <w:t>。旅客运输周转量7894.7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-US" w:eastAsia="zh-CN"/>
        </w:rPr>
        <w:t>万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"/>
        </w:rPr>
        <w:t>人公里。年末营运车辆635辆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" w:eastAsia="zh-CN"/>
        </w:rPr>
        <w:t>，公交车路数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" w:eastAsia="zh-CN"/>
        </w:rPr>
        <w:t>路，实有公共汽(电)车营运车辆数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-US" w:eastAsia="zh-CN"/>
        </w:rPr>
        <w:t>43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" w:eastAsia="zh-CN"/>
        </w:rPr>
        <w:t>辆，实有出租汽车数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-US" w:eastAsia="zh-CN"/>
        </w:rPr>
        <w:t>69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" w:eastAsia="zh-CN"/>
        </w:rPr>
        <w:t>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96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-US" w:eastAsia="zh-CN"/>
        </w:rPr>
        <w:t>年末，全县公路里程年底到达数7414.3公里，其中，等级公路6949.3公里(二级公路220.2公里，三级公路335.3公里，四级公路6393.8公里)，等外级公路465公里。乡镇通车率100%，行政村通车率100%，行政村通达率100%。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96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-US" w:eastAsia="zh-CN"/>
        </w:rPr>
        <w:t>全年完成邮政行业业务总量9727.6万元，比上年增长4.9%。全年完成邮政函件业务25284件，包裹业务1398件，快递业务521829件。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96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-US" w:eastAsia="zh-CN"/>
        </w:rPr>
        <w:t>全年完成电信业务总量12029万元，比上年增长10.9%。全县固定电话用户55453户，移动电话用户161491户。互联网用户107431户。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6" w:lineRule="exact"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bCs/>
          <w:kern w:val="0"/>
          <w:sz w:val="32"/>
          <w:szCs w:val="22"/>
          <w:highlight w:val="none"/>
          <w:lang w:val="en"/>
        </w:rPr>
      </w:pPr>
      <w:r>
        <w:rPr>
          <w:rFonts w:hint="eastAsia" w:ascii="方正黑体_GBK" w:hAnsi="方正黑体_GBK" w:eastAsia="方正黑体_GBK" w:cs="方正黑体_GBK"/>
          <w:bCs/>
          <w:kern w:val="0"/>
          <w:sz w:val="32"/>
          <w:szCs w:val="22"/>
          <w:highlight w:val="none"/>
          <w:lang w:val="en"/>
        </w:rPr>
        <w:t>五、国内贸易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96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</w:rPr>
        <w:t>全年社会消费品零售总额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-US" w:eastAsia="zh-CN"/>
        </w:rPr>
        <w:t>657017.6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</w:rPr>
        <w:t>万元，同比增长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-US" w:eastAsia="zh-CN"/>
        </w:rPr>
        <w:t>1.4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</w:rPr>
        <w:t>%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</w:rPr>
        <w:t>批发业商品销售额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-US" w:eastAsia="zh-CN"/>
        </w:rPr>
        <w:t>232072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</w:rPr>
        <w:t>万元，同比增长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-US" w:eastAsia="zh-CN"/>
        </w:rPr>
        <w:t>7.8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</w:rPr>
        <w:t>%；零售业商品销售额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-US" w:eastAsia="zh-CN"/>
        </w:rPr>
        <w:t>612820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</w:rPr>
        <w:t>万元，同比增长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-US" w:eastAsia="zh-CN"/>
        </w:rPr>
        <w:t>4.5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</w:rPr>
        <w:t>%；住宿业营业额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-US" w:eastAsia="zh-CN"/>
        </w:rPr>
        <w:t>54365万元，同比下降0.4%；餐饮业营业额36188万元，同比增长0.1%。按经营地统计，城镇消费品零售额下降10%，乡村消费品零售额下降30.6%。按消费类型统计，商品零售额下降9.9%，餐饮收入下降14%。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-US" w:eastAsia="zh-CN"/>
        </w:rPr>
        <w:br w:type="textWrapping"/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-US" w:eastAsia="zh-CN"/>
        </w:rPr>
        <w:t xml:space="preserve">    在在限额以上单位中，粮油、食品类商品零售额比上年下降1.2%，饮料类商品增长25.3%，烟酒类商品下降56.6%，服装、鞋帽、针纺织品类商品下降21.3%，化妆品类商品下降38.8%，金银珠宝类商品增长38.5%，家用电器和音像器材类商品下降13.7%，中西药品类商品增长3.5%，文化办公用品类商品下降30.4%，家具类商品下降40.3%，通讯器材类商品下降88.8%，建筑及装潢材料类商品下降28.2%，石油及制品类商品下降5.1%，汽车类商品增长0.1%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6" w:lineRule="exact"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bCs/>
          <w:kern w:val="0"/>
          <w:sz w:val="32"/>
          <w:szCs w:val="22"/>
          <w:highlight w:val="none"/>
          <w:lang w:val="en"/>
        </w:rPr>
      </w:pPr>
      <w:r>
        <w:rPr>
          <w:rFonts w:hint="eastAsia" w:ascii="方正黑体_GBK" w:hAnsi="方正黑体_GBK" w:eastAsia="方正黑体_GBK" w:cs="方正黑体_GBK"/>
          <w:bCs/>
          <w:kern w:val="0"/>
          <w:sz w:val="32"/>
          <w:szCs w:val="22"/>
          <w:highlight w:val="none"/>
          <w:lang w:val="en"/>
        </w:rPr>
        <w:t xml:space="preserve">六、固定资产投资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6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全年全县固定资产投资同比增长3.2%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"/>
        </w:rPr>
        <w:t>（见表3）。其中，民间投资同比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-US" w:eastAsia="zh-CN"/>
        </w:rPr>
        <w:t>增长121.6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"/>
        </w:rPr>
        <w:t>%，占全县固定资产投资的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-US" w:eastAsia="zh-CN"/>
        </w:rPr>
        <w:t>8.6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"/>
        </w:rPr>
        <w:t>%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。分版块看，基础设施建设投资下降1.6%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房地产投资下降22.5%，工业投资增长38.4%。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分产业看，第一产业增长51.5%；第二产业增长38.4%；第三产业增长0.2%。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96" w:lineRule="exact"/>
        <w:ind w:left="0" w:right="0" w:firstLine="640" w:firstLineChars="200"/>
        <w:jc w:val="both"/>
        <w:textAlignment w:val="auto"/>
        <w:rPr>
          <w:rFonts w:hint="eastAsia"/>
          <w:lang w:val="en" w:eastAsia="zh-CN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highlight w:val="none"/>
          <w:lang w:val="en-US" w:eastAsia="zh-CN" w:bidi="ar-SA"/>
        </w:rPr>
        <w:t>全年房地产开发投资147298万元，比上年下降22.5%。其中，住宅投资120082万元，下降7.8%；商业营业用房投资13679万元，下降35.9%；其他投资13537万元，下降64.9%。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" w:eastAsia="zh-CN"/>
        </w:rPr>
        <w:t>表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-US" w:eastAsia="zh-CN"/>
        </w:rPr>
        <w:t>3   2022年全社会固定资产投资情况</w:t>
      </w:r>
    </w:p>
    <w:tbl>
      <w:tblPr>
        <w:tblStyle w:val="5"/>
        <w:tblW w:w="9780" w:type="dxa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0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5" w:hRule="atLeast"/>
          <w:jc w:val="center"/>
        </w:trPr>
        <w:tc>
          <w:tcPr>
            <w:tcW w:w="9780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FFFFFF"/>
            <w:noWrap w:val="0"/>
            <w:vAlign w:val="center"/>
          </w:tcPr>
          <w:tbl>
            <w:tblPr>
              <w:tblStyle w:val="5"/>
              <w:tblW w:w="8279" w:type="dxa"/>
              <w:jc w:val="center"/>
              <w:tblBorders>
                <w:top w:val="single" w:color="auto" w:sz="12" w:space="0"/>
                <w:left w:val="none" w:color="auto" w:sz="0" w:space="0"/>
                <w:bottom w:val="single" w:color="auto" w:sz="12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546"/>
              <w:gridCol w:w="3733"/>
            </w:tblGrid>
            <w:tr>
              <w:tblPrEx>
                <w:tblBorders>
                  <w:top w:val="single" w:color="auto" w:sz="12" w:space="0"/>
                  <w:left w:val="none" w:color="auto" w:sz="0" w:space="0"/>
                  <w:bottom w:val="single" w:color="auto" w:sz="12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  <w:jc w:val="center"/>
              </w:trPr>
              <w:tc>
                <w:tcPr>
                  <w:tcW w:w="4546" w:type="dxa"/>
                  <w:tcBorders>
                    <w:top w:val="single" w:color="auto" w:sz="12" w:space="0"/>
                    <w:left w:val="inset" w:color="ECE9D8" w:sz="6" w:space="0"/>
                    <w:bottom w:val="single" w:color="auto" w:sz="12" w:space="0"/>
                    <w:right w:val="single" w:color="auto" w:sz="4" w:space="0"/>
                  </w:tcBorders>
                  <w:shd w:val="clear" w:color="auto" w:fill="E6E6E6"/>
                  <w:noWrap w:val="0"/>
                  <w:vAlign w:val="top"/>
                </w:tcPr>
                <w:p>
                  <w:pPr>
                    <w:spacing w:line="280" w:lineRule="exact"/>
                    <w:ind w:firstLine="403"/>
                    <w:jc w:val="center"/>
                    <w:textAlignment w:val="baseline"/>
                    <w:rPr>
                      <w:rFonts w:hint="eastAsia" w:ascii="方正仿宋_GBK" w:hAnsi="方正仿宋_GBK" w:eastAsia="方正仿宋_GBK" w:cs="方正仿宋_GBK"/>
                      <w:b/>
                      <w:bCs/>
                      <w:kern w:val="0"/>
                      <w:sz w:val="32"/>
                      <w:szCs w:val="32"/>
                      <w:highlight w:val="none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b/>
                      <w:bCs/>
                      <w:kern w:val="0"/>
                      <w:sz w:val="32"/>
                      <w:szCs w:val="32"/>
                      <w:highlight w:val="none"/>
                    </w:rPr>
                    <w:t>指标名称</w:t>
                  </w:r>
                </w:p>
              </w:tc>
              <w:tc>
                <w:tcPr>
                  <w:tcW w:w="3733" w:type="dxa"/>
                  <w:tcBorders>
                    <w:top w:val="single" w:color="auto" w:sz="12" w:space="0"/>
                    <w:left w:val="single" w:color="auto" w:sz="0" w:space="0"/>
                    <w:bottom w:val="single" w:color="auto" w:sz="12" w:space="0"/>
                    <w:right w:val="single" w:color="auto" w:sz="4" w:space="0"/>
                  </w:tcBorders>
                  <w:shd w:val="clear" w:color="auto" w:fill="E6E6E6"/>
                  <w:noWrap w:val="0"/>
                  <w:vAlign w:val="top"/>
                </w:tcPr>
                <w:p>
                  <w:pPr>
                    <w:spacing w:line="280" w:lineRule="exact"/>
                    <w:jc w:val="center"/>
                    <w:textAlignment w:val="baseline"/>
                    <w:rPr>
                      <w:rFonts w:hint="eastAsia" w:ascii="方正仿宋_GBK" w:hAnsi="方正仿宋_GBK" w:eastAsia="方正仿宋_GBK" w:cs="方正仿宋_GBK"/>
                      <w:b/>
                      <w:bCs/>
                      <w:kern w:val="0"/>
                      <w:sz w:val="32"/>
                      <w:szCs w:val="32"/>
                      <w:highlight w:val="none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b/>
                      <w:bCs/>
                      <w:kern w:val="0"/>
                      <w:sz w:val="32"/>
                      <w:szCs w:val="32"/>
                      <w:highlight w:val="none"/>
                    </w:rPr>
                    <w:t>比上年增长(%)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none" w:color="auto" w:sz="0" w:space="0"/>
                  <w:bottom w:val="single" w:color="auto" w:sz="12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6" w:hRule="atLeast"/>
                <w:jc w:val="center"/>
              </w:trPr>
              <w:tc>
                <w:tcPr>
                  <w:tcW w:w="4546" w:type="dxa"/>
                  <w:tcBorders>
                    <w:top w:val="single" w:color="auto" w:sz="12" w:space="0"/>
                    <w:left w:val="inset" w:color="ECE9D8" w:sz="6" w:space="0"/>
                    <w:bottom w:val="inset" w:color="ECE9D8" w:sz="6" w:space="0"/>
                    <w:right w:val="single" w:color="auto" w:sz="4" w:space="0"/>
                  </w:tcBorders>
                  <w:shd w:val="clear" w:color="auto" w:fill="E6E6E6"/>
                  <w:noWrap w:val="0"/>
                  <w:vAlign w:val="top"/>
                </w:tcPr>
                <w:p>
                  <w:pPr>
                    <w:spacing w:line="320" w:lineRule="exact"/>
                    <w:jc w:val="both"/>
                    <w:rPr>
                      <w:rFonts w:hint="eastAsia" w:ascii="方正仿宋_GBK" w:hAnsi="方正仿宋_GBK" w:eastAsia="方正仿宋_GBK" w:cs="方正仿宋_GBK"/>
                      <w:sz w:val="32"/>
                      <w:szCs w:val="32"/>
                      <w:highlight w:val="none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32"/>
                      <w:szCs w:val="32"/>
                      <w:highlight w:val="none"/>
                    </w:rPr>
                    <w:t>投资总额(万元)</w:t>
                  </w:r>
                </w:p>
              </w:tc>
              <w:tc>
                <w:tcPr>
                  <w:tcW w:w="3733" w:type="dxa"/>
                  <w:tcBorders>
                    <w:top w:val="single" w:color="auto" w:sz="12" w:space="0"/>
                    <w:left w:val="single" w:color="auto" w:sz="0" w:space="0"/>
                    <w:bottom w:val="inset" w:color="ECE9D8" w:sz="6" w:space="0"/>
                    <w:right w:val="inset" w:color="ECE9D8" w:sz="6" w:space="0"/>
                  </w:tcBorders>
                  <w:noWrap w:val="0"/>
                  <w:vAlign w:val="top"/>
                </w:tcPr>
                <w:p>
                  <w:pPr>
                    <w:snapToGrid w:val="0"/>
                    <w:spacing w:line="320" w:lineRule="exact"/>
                    <w:ind w:left="555" w:firstLine="611" w:firstLineChars="191"/>
                    <w:jc w:val="right"/>
                    <w:rPr>
                      <w:rFonts w:hint="eastAsia" w:ascii="方正仿宋_GBK" w:hAnsi="方正仿宋_GBK" w:eastAsia="方正仿宋_GBK" w:cs="方正仿宋_GBK"/>
                      <w:sz w:val="32"/>
                      <w:szCs w:val="32"/>
                      <w:highlight w:val="none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32"/>
                      <w:szCs w:val="32"/>
                      <w:highlight w:val="none"/>
                      <w:lang w:val="en-US" w:eastAsia="zh-CN"/>
                    </w:rPr>
                    <w:t>3.2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none" w:color="auto" w:sz="0" w:space="0"/>
                  <w:bottom w:val="single" w:color="auto" w:sz="12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3" w:hRule="atLeast"/>
                <w:jc w:val="center"/>
              </w:trPr>
              <w:tc>
                <w:tcPr>
                  <w:tcW w:w="4546" w:type="dxa"/>
                  <w:tcBorders>
                    <w:top w:val="inset" w:color="ECE9D8" w:sz="6" w:space="0"/>
                    <w:left w:val="inset" w:color="ECE9D8" w:sz="6" w:space="0"/>
                    <w:bottom w:val="inset" w:color="ECE9D8" w:sz="6" w:space="0"/>
                    <w:right w:val="single" w:color="auto" w:sz="4" w:space="0"/>
                  </w:tcBorders>
                  <w:shd w:val="clear" w:color="auto" w:fill="E6E6E6"/>
                  <w:noWrap w:val="0"/>
                  <w:vAlign w:val="top"/>
                </w:tcPr>
                <w:p>
                  <w:pPr>
                    <w:spacing w:line="320" w:lineRule="exact"/>
                    <w:jc w:val="both"/>
                    <w:rPr>
                      <w:rFonts w:hint="eastAsia" w:ascii="方正仿宋_GBK" w:hAnsi="方正仿宋_GBK" w:eastAsia="方正仿宋_GBK" w:cs="方正仿宋_GBK"/>
                      <w:sz w:val="32"/>
                      <w:szCs w:val="32"/>
                      <w:highlight w:val="none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32"/>
                      <w:szCs w:val="32"/>
                      <w:highlight w:val="none"/>
                    </w:rPr>
                    <w:t xml:space="preserve"> 500万元以上项目投资</w:t>
                  </w:r>
                </w:p>
              </w:tc>
              <w:tc>
                <w:tcPr>
                  <w:tcW w:w="3733" w:type="dxa"/>
                  <w:tcBorders>
                    <w:top w:val="inset" w:color="ECE9D8" w:sz="6" w:space="0"/>
                    <w:left w:val="single" w:color="auto" w:sz="0" w:space="0"/>
                    <w:bottom w:val="inset" w:color="ECE9D8" w:sz="6" w:space="0"/>
                    <w:right w:val="inset" w:color="ECE9D8" w:sz="6" w:space="0"/>
                  </w:tcBorders>
                  <w:noWrap w:val="0"/>
                  <w:vAlign w:val="top"/>
                </w:tcPr>
                <w:p>
                  <w:pPr>
                    <w:snapToGrid w:val="0"/>
                    <w:spacing w:line="320" w:lineRule="exact"/>
                    <w:ind w:left="555" w:firstLine="611" w:firstLineChars="191"/>
                    <w:jc w:val="right"/>
                    <w:rPr>
                      <w:rFonts w:hint="eastAsia" w:ascii="方正仿宋_GBK" w:hAnsi="方正仿宋_GBK" w:eastAsia="方正仿宋_GBK" w:cs="方正仿宋_GBK"/>
                      <w:sz w:val="32"/>
                      <w:szCs w:val="32"/>
                      <w:highlight w:val="none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32"/>
                      <w:szCs w:val="32"/>
                      <w:highlight w:val="none"/>
                      <w:lang w:val="en-US" w:eastAsia="zh-CN"/>
                    </w:rPr>
                    <w:t>11.2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none" w:color="auto" w:sz="0" w:space="0"/>
                  <w:bottom w:val="single" w:color="auto" w:sz="12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3" w:hRule="atLeast"/>
                <w:jc w:val="center"/>
              </w:trPr>
              <w:tc>
                <w:tcPr>
                  <w:tcW w:w="4546" w:type="dxa"/>
                  <w:tcBorders>
                    <w:top w:val="inset" w:color="ECE9D8" w:sz="6" w:space="0"/>
                    <w:left w:val="inset" w:color="ECE9D8" w:sz="6" w:space="0"/>
                    <w:bottom w:val="inset" w:color="ECE9D8" w:sz="6" w:space="0"/>
                    <w:right w:val="single" w:color="auto" w:sz="4" w:space="0"/>
                  </w:tcBorders>
                  <w:shd w:val="clear" w:color="auto" w:fill="E6E6E6"/>
                  <w:noWrap w:val="0"/>
                  <w:vAlign w:val="top"/>
                </w:tcPr>
                <w:p>
                  <w:pPr>
                    <w:spacing w:line="320" w:lineRule="exact"/>
                    <w:jc w:val="both"/>
                    <w:rPr>
                      <w:rFonts w:hint="eastAsia" w:ascii="方正仿宋_GBK" w:hAnsi="方正仿宋_GBK" w:eastAsia="方正仿宋_GBK" w:cs="方正仿宋_GBK"/>
                      <w:sz w:val="32"/>
                      <w:szCs w:val="32"/>
                      <w:highlight w:val="none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32"/>
                      <w:szCs w:val="32"/>
                      <w:highlight w:val="none"/>
                    </w:rPr>
                    <w:t xml:space="preserve"> 房地产开发投资</w:t>
                  </w:r>
                </w:p>
              </w:tc>
              <w:tc>
                <w:tcPr>
                  <w:tcW w:w="3733" w:type="dxa"/>
                  <w:tcBorders>
                    <w:top w:val="inset" w:color="ECE9D8" w:sz="6" w:space="0"/>
                    <w:left w:val="single" w:color="auto" w:sz="0" w:space="0"/>
                    <w:bottom w:val="inset" w:color="ECE9D8" w:sz="6" w:space="0"/>
                    <w:right w:val="inset" w:color="ECE9D8" w:sz="6" w:space="0"/>
                  </w:tcBorders>
                  <w:noWrap w:val="0"/>
                  <w:vAlign w:val="top"/>
                </w:tcPr>
                <w:p>
                  <w:pPr>
                    <w:snapToGrid w:val="0"/>
                    <w:spacing w:line="320" w:lineRule="exact"/>
                    <w:ind w:left="555" w:firstLine="611" w:firstLineChars="191"/>
                    <w:jc w:val="right"/>
                    <w:rPr>
                      <w:rFonts w:hint="eastAsia" w:ascii="方正仿宋_GBK" w:hAnsi="方正仿宋_GBK" w:eastAsia="方正仿宋_GBK" w:cs="方正仿宋_GBK"/>
                      <w:sz w:val="32"/>
                      <w:szCs w:val="32"/>
                      <w:highlight w:val="none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32"/>
                      <w:szCs w:val="32"/>
                      <w:highlight w:val="none"/>
                      <w:lang w:val="en-US" w:eastAsia="zh-CN"/>
                    </w:rPr>
                    <w:t>-22.5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none" w:color="auto" w:sz="0" w:space="0"/>
                  <w:bottom w:val="single" w:color="auto" w:sz="12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3" w:hRule="atLeast"/>
                <w:jc w:val="center"/>
              </w:trPr>
              <w:tc>
                <w:tcPr>
                  <w:tcW w:w="4546" w:type="dxa"/>
                  <w:tcBorders>
                    <w:top w:val="inset" w:color="ECE9D8" w:sz="6" w:space="0"/>
                    <w:left w:val="inset" w:color="ECE9D8" w:sz="6" w:space="0"/>
                    <w:bottom w:val="inset" w:color="ECE9D8" w:sz="6" w:space="0"/>
                    <w:right w:val="single" w:color="auto" w:sz="4" w:space="0"/>
                  </w:tcBorders>
                  <w:shd w:val="clear" w:color="auto" w:fill="E6E6E6"/>
                  <w:noWrap w:val="0"/>
                  <w:vAlign w:val="top"/>
                </w:tcPr>
                <w:p>
                  <w:pPr>
                    <w:spacing w:line="320" w:lineRule="exact"/>
                    <w:jc w:val="both"/>
                    <w:rPr>
                      <w:rFonts w:hint="eastAsia" w:ascii="方正仿宋_GBK" w:hAnsi="方正仿宋_GBK" w:eastAsia="方正仿宋_GBK" w:cs="方正仿宋_GBK"/>
                      <w:sz w:val="32"/>
                      <w:szCs w:val="32"/>
                      <w:highlight w:val="none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32"/>
                      <w:szCs w:val="32"/>
                      <w:highlight w:val="none"/>
                    </w:rPr>
                    <w:t>按构成分</w:t>
                  </w:r>
                </w:p>
              </w:tc>
              <w:tc>
                <w:tcPr>
                  <w:tcW w:w="3733" w:type="dxa"/>
                  <w:tcBorders>
                    <w:top w:val="inset" w:color="ECE9D8" w:sz="6" w:space="0"/>
                    <w:left w:val="single" w:color="auto" w:sz="0" w:space="0"/>
                    <w:bottom w:val="inset" w:color="ECE9D8" w:sz="6" w:space="0"/>
                    <w:right w:val="inset" w:color="ECE9D8" w:sz="6" w:space="0"/>
                  </w:tcBorders>
                  <w:noWrap w:val="0"/>
                  <w:vAlign w:val="top"/>
                </w:tcPr>
                <w:p>
                  <w:pPr>
                    <w:snapToGrid w:val="0"/>
                    <w:spacing w:line="320" w:lineRule="exact"/>
                    <w:ind w:left="555" w:firstLine="611" w:firstLineChars="191"/>
                    <w:jc w:val="right"/>
                    <w:rPr>
                      <w:rFonts w:hint="eastAsia" w:ascii="方正仿宋_GBK" w:hAnsi="方正仿宋_GBK" w:eastAsia="方正仿宋_GBK" w:cs="方正仿宋_GBK"/>
                      <w:sz w:val="32"/>
                      <w:szCs w:val="32"/>
                      <w:highlight w:val="none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32"/>
                      <w:szCs w:val="32"/>
                      <w:highlight w:val="none"/>
                    </w:rPr>
                    <w:t>　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none" w:color="auto" w:sz="0" w:space="0"/>
                  <w:bottom w:val="single" w:color="auto" w:sz="12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3" w:hRule="atLeast"/>
                <w:jc w:val="center"/>
              </w:trPr>
              <w:tc>
                <w:tcPr>
                  <w:tcW w:w="4546" w:type="dxa"/>
                  <w:tcBorders>
                    <w:top w:val="inset" w:color="ECE9D8" w:sz="6" w:space="0"/>
                    <w:left w:val="inset" w:color="ECE9D8" w:sz="6" w:space="0"/>
                    <w:bottom w:val="inset" w:color="ECE9D8" w:sz="6" w:space="0"/>
                    <w:right w:val="single" w:color="auto" w:sz="4" w:space="0"/>
                  </w:tcBorders>
                  <w:shd w:val="clear" w:color="auto" w:fill="E6E6E6"/>
                  <w:noWrap w:val="0"/>
                  <w:vAlign w:val="top"/>
                </w:tcPr>
                <w:p>
                  <w:pPr>
                    <w:spacing w:line="320" w:lineRule="exact"/>
                    <w:ind w:firstLine="640" w:firstLineChars="200"/>
                    <w:jc w:val="both"/>
                    <w:rPr>
                      <w:rFonts w:hint="eastAsia" w:ascii="方正仿宋_GBK" w:hAnsi="方正仿宋_GBK" w:eastAsia="方正仿宋_GBK" w:cs="方正仿宋_GBK"/>
                      <w:sz w:val="32"/>
                      <w:szCs w:val="32"/>
                      <w:highlight w:val="none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32"/>
                      <w:szCs w:val="32"/>
                      <w:highlight w:val="none"/>
                    </w:rPr>
                    <w:t>建安工程</w:t>
                  </w:r>
                </w:p>
              </w:tc>
              <w:tc>
                <w:tcPr>
                  <w:tcW w:w="3733" w:type="dxa"/>
                  <w:tcBorders>
                    <w:top w:val="inset" w:color="ECE9D8" w:sz="6" w:space="0"/>
                    <w:left w:val="single" w:color="auto" w:sz="0" w:space="0"/>
                    <w:bottom w:val="inset" w:color="ECE9D8" w:sz="6" w:space="0"/>
                    <w:right w:val="inset" w:color="ECE9D8" w:sz="6" w:space="0"/>
                  </w:tcBorders>
                  <w:noWrap w:val="0"/>
                  <w:vAlign w:val="top"/>
                </w:tcPr>
                <w:p>
                  <w:pPr>
                    <w:snapToGrid w:val="0"/>
                    <w:spacing w:line="320" w:lineRule="exact"/>
                    <w:ind w:left="555" w:firstLine="611" w:firstLineChars="191"/>
                    <w:jc w:val="right"/>
                    <w:rPr>
                      <w:rFonts w:hint="eastAsia" w:ascii="方正仿宋_GBK" w:hAnsi="方正仿宋_GBK" w:eastAsia="方正仿宋_GBK" w:cs="方正仿宋_GBK"/>
                      <w:sz w:val="32"/>
                      <w:szCs w:val="32"/>
                      <w:highlight w:val="none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32"/>
                      <w:szCs w:val="32"/>
                      <w:highlight w:val="none"/>
                      <w:lang w:val="en-US" w:eastAsia="zh-CN"/>
                    </w:rPr>
                    <w:t>12.1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none" w:color="auto" w:sz="0" w:space="0"/>
                  <w:bottom w:val="single" w:color="auto" w:sz="12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3" w:hRule="atLeast"/>
                <w:jc w:val="center"/>
              </w:trPr>
              <w:tc>
                <w:tcPr>
                  <w:tcW w:w="4546" w:type="dxa"/>
                  <w:tcBorders>
                    <w:top w:val="inset" w:color="ECE9D8" w:sz="6" w:space="0"/>
                    <w:left w:val="inset" w:color="ECE9D8" w:sz="6" w:space="0"/>
                    <w:bottom w:val="inset" w:color="ECE9D8" w:sz="6" w:space="0"/>
                    <w:right w:val="single" w:color="auto" w:sz="4" w:space="0"/>
                  </w:tcBorders>
                  <w:shd w:val="clear" w:color="auto" w:fill="E6E6E6"/>
                  <w:noWrap w:val="0"/>
                  <w:vAlign w:val="top"/>
                </w:tcPr>
                <w:p>
                  <w:pPr>
                    <w:spacing w:line="320" w:lineRule="exact"/>
                    <w:ind w:firstLine="627" w:firstLineChars="196"/>
                    <w:jc w:val="both"/>
                    <w:rPr>
                      <w:rFonts w:hint="eastAsia" w:ascii="方正仿宋_GBK" w:hAnsi="方正仿宋_GBK" w:eastAsia="方正仿宋_GBK" w:cs="方正仿宋_GBK"/>
                      <w:sz w:val="32"/>
                      <w:szCs w:val="32"/>
                      <w:highlight w:val="none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32"/>
                      <w:szCs w:val="32"/>
                      <w:highlight w:val="none"/>
                    </w:rPr>
                    <w:t>设备工器具购置</w:t>
                  </w:r>
                </w:p>
              </w:tc>
              <w:tc>
                <w:tcPr>
                  <w:tcW w:w="3733" w:type="dxa"/>
                  <w:tcBorders>
                    <w:top w:val="inset" w:color="ECE9D8" w:sz="6" w:space="0"/>
                    <w:left w:val="single" w:color="auto" w:sz="0" w:space="0"/>
                    <w:bottom w:val="inset" w:color="ECE9D8" w:sz="6" w:space="0"/>
                    <w:right w:val="inset" w:color="ECE9D8" w:sz="6" w:space="0"/>
                  </w:tcBorders>
                  <w:noWrap w:val="0"/>
                  <w:vAlign w:val="top"/>
                </w:tcPr>
                <w:p>
                  <w:pPr>
                    <w:snapToGrid w:val="0"/>
                    <w:spacing w:line="320" w:lineRule="exact"/>
                    <w:ind w:left="555" w:firstLine="611" w:firstLineChars="191"/>
                    <w:jc w:val="right"/>
                    <w:rPr>
                      <w:rFonts w:hint="eastAsia" w:ascii="方正仿宋_GBK" w:hAnsi="方正仿宋_GBK" w:eastAsia="方正仿宋_GBK" w:cs="方正仿宋_GBK"/>
                      <w:sz w:val="32"/>
                      <w:szCs w:val="32"/>
                      <w:highlight w:val="none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32"/>
                      <w:szCs w:val="32"/>
                      <w:highlight w:val="none"/>
                      <w:lang w:val="en-US" w:eastAsia="zh-CN"/>
                    </w:rPr>
                    <w:t>40.2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none" w:color="auto" w:sz="0" w:space="0"/>
                  <w:bottom w:val="single" w:color="auto" w:sz="12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3" w:hRule="atLeast"/>
                <w:jc w:val="center"/>
              </w:trPr>
              <w:tc>
                <w:tcPr>
                  <w:tcW w:w="4546" w:type="dxa"/>
                  <w:tcBorders>
                    <w:top w:val="inset" w:color="ECE9D8" w:sz="6" w:space="0"/>
                    <w:left w:val="inset" w:color="ECE9D8" w:sz="6" w:space="0"/>
                    <w:bottom w:val="inset" w:color="ECE9D8" w:sz="6" w:space="0"/>
                    <w:right w:val="single" w:color="auto" w:sz="4" w:space="0"/>
                  </w:tcBorders>
                  <w:shd w:val="clear" w:color="auto" w:fill="E6E6E6"/>
                  <w:noWrap w:val="0"/>
                  <w:vAlign w:val="top"/>
                </w:tcPr>
                <w:p>
                  <w:pPr>
                    <w:spacing w:line="320" w:lineRule="exact"/>
                    <w:ind w:firstLine="787" w:firstLineChars="246"/>
                    <w:jc w:val="both"/>
                    <w:rPr>
                      <w:rFonts w:hint="eastAsia" w:ascii="方正仿宋_GBK" w:hAnsi="方正仿宋_GBK" w:eastAsia="方正仿宋_GBK" w:cs="方正仿宋_GBK"/>
                      <w:sz w:val="32"/>
                      <w:szCs w:val="32"/>
                      <w:highlight w:val="none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32"/>
                      <w:szCs w:val="32"/>
                      <w:highlight w:val="none"/>
                    </w:rPr>
                    <w:t>其他费用</w:t>
                  </w:r>
                </w:p>
              </w:tc>
              <w:tc>
                <w:tcPr>
                  <w:tcW w:w="3733" w:type="dxa"/>
                  <w:tcBorders>
                    <w:top w:val="inset" w:color="ECE9D8" w:sz="6" w:space="0"/>
                    <w:left w:val="single" w:color="auto" w:sz="0" w:space="0"/>
                    <w:bottom w:val="inset" w:color="ECE9D8" w:sz="6" w:space="0"/>
                    <w:right w:val="inset" w:color="ECE9D8" w:sz="6" w:space="0"/>
                  </w:tcBorders>
                  <w:noWrap w:val="0"/>
                  <w:vAlign w:val="top"/>
                </w:tcPr>
                <w:p>
                  <w:pPr>
                    <w:snapToGrid w:val="0"/>
                    <w:spacing w:line="320" w:lineRule="exact"/>
                    <w:ind w:left="555" w:firstLine="611" w:firstLineChars="191"/>
                    <w:jc w:val="right"/>
                    <w:rPr>
                      <w:rFonts w:hint="eastAsia" w:ascii="方正仿宋_GBK" w:hAnsi="方正仿宋_GBK" w:eastAsia="方正仿宋_GBK" w:cs="方正仿宋_GBK"/>
                      <w:sz w:val="32"/>
                      <w:szCs w:val="32"/>
                      <w:highlight w:val="none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32"/>
                      <w:szCs w:val="32"/>
                      <w:highlight w:val="none"/>
                      <w:lang w:val="en-US" w:eastAsia="zh-CN"/>
                    </w:rPr>
                    <w:t>-49.1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none" w:color="auto" w:sz="0" w:space="0"/>
                  <w:bottom w:val="single" w:color="auto" w:sz="12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3" w:hRule="atLeast"/>
                <w:jc w:val="center"/>
              </w:trPr>
              <w:tc>
                <w:tcPr>
                  <w:tcW w:w="4546" w:type="dxa"/>
                  <w:tcBorders>
                    <w:top w:val="inset" w:color="ECE9D8" w:sz="6" w:space="0"/>
                    <w:left w:val="inset" w:color="ECE9D8" w:sz="6" w:space="0"/>
                    <w:bottom w:val="inset" w:color="ECE9D8" w:sz="6" w:space="0"/>
                    <w:right w:val="single" w:color="auto" w:sz="4" w:space="0"/>
                  </w:tcBorders>
                  <w:shd w:val="clear" w:color="auto" w:fill="E6E6E6"/>
                  <w:noWrap w:val="0"/>
                  <w:vAlign w:val="top"/>
                </w:tcPr>
                <w:p>
                  <w:pPr>
                    <w:spacing w:line="320" w:lineRule="exact"/>
                    <w:jc w:val="both"/>
                    <w:rPr>
                      <w:rFonts w:hint="eastAsia" w:ascii="方正仿宋_GBK" w:hAnsi="方正仿宋_GBK" w:eastAsia="方正仿宋_GBK" w:cs="方正仿宋_GBK"/>
                      <w:sz w:val="32"/>
                      <w:szCs w:val="32"/>
                      <w:highlight w:val="none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32"/>
                      <w:szCs w:val="32"/>
                      <w:highlight w:val="none"/>
                    </w:rPr>
                    <w:t>按三次产业分</w:t>
                  </w:r>
                </w:p>
              </w:tc>
              <w:tc>
                <w:tcPr>
                  <w:tcW w:w="3733" w:type="dxa"/>
                  <w:tcBorders>
                    <w:top w:val="inset" w:color="ECE9D8" w:sz="6" w:space="0"/>
                    <w:left w:val="single" w:color="auto" w:sz="0" w:space="0"/>
                    <w:bottom w:val="inset" w:color="ECE9D8" w:sz="6" w:space="0"/>
                    <w:right w:val="inset" w:color="ECE9D8" w:sz="6" w:space="0"/>
                  </w:tcBorders>
                  <w:noWrap w:val="0"/>
                  <w:vAlign w:val="top"/>
                </w:tcPr>
                <w:p>
                  <w:pPr>
                    <w:snapToGrid w:val="0"/>
                    <w:spacing w:line="320" w:lineRule="exact"/>
                    <w:ind w:left="555" w:firstLine="611" w:firstLineChars="191"/>
                    <w:jc w:val="right"/>
                    <w:rPr>
                      <w:rFonts w:hint="eastAsia" w:ascii="方正仿宋_GBK" w:hAnsi="方正仿宋_GBK" w:eastAsia="方正仿宋_GBK" w:cs="方正仿宋_GBK"/>
                      <w:sz w:val="32"/>
                      <w:szCs w:val="32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none" w:color="auto" w:sz="0" w:space="0"/>
                  <w:bottom w:val="single" w:color="auto" w:sz="12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3" w:hRule="atLeast"/>
                <w:jc w:val="center"/>
              </w:trPr>
              <w:tc>
                <w:tcPr>
                  <w:tcW w:w="4546" w:type="dxa"/>
                  <w:tcBorders>
                    <w:top w:val="inset" w:color="ECE9D8" w:sz="6" w:space="0"/>
                    <w:left w:val="inset" w:color="ECE9D8" w:sz="6" w:space="0"/>
                    <w:bottom w:val="inset" w:color="ECE9D8" w:sz="6" w:space="0"/>
                    <w:right w:val="single" w:color="auto" w:sz="4" w:space="0"/>
                  </w:tcBorders>
                  <w:shd w:val="clear" w:color="auto" w:fill="E6E6E6"/>
                  <w:noWrap w:val="0"/>
                  <w:vAlign w:val="top"/>
                </w:tcPr>
                <w:p>
                  <w:pPr>
                    <w:spacing w:line="320" w:lineRule="exact"/>
                    <w:ind w:firstLine="320" w:firstLineChars="100"/>
                    <w:jc w:val="both"/>
                    <w:rPr>
                      <w:rFonts w:hint="eastAsia" w:ascii="方正仿宋_GBK" w:hAnsi="方正仿宋_GBK" w:eastAsia="方正仿宋_GBK" w:cs="方正仿宋_GBK"/>
                      <w:sz w:val="32"/>
                      <w:szCs w:val="32"/>
                      <w:highlight w:val="none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32"/>
                      <w:szCs w:val="32"/>
                      <w:highlight w:val="none"/>
                    </w:rPr>
                    <w:t>第一产业</w:t>
                  </w:r>
                </w:p>
              </w:tc>
              <w:tc>
                <w:tcPr>
                  <w:tcW w:w="3733" w:type="dxa"/>
                  <w:tcBorders>
                    <w:top w:val="inset" w:color="ECE9D8" w:sz="6" w:space="0"/>
                    <w:left w:val="single" w:color="auto" w:sz="0" w:space="0"/>
                    <w:bottom w:val="inset" w:color="ECE9D8" w:sz="6" w:space="0"/>
                    <w:right w:val="inset" w:color="ECE9D8" w:sz="6" w:space="0"/>
                  </w:tcBorders>
                  <w:noWrap w:val="0"/>
                  <w:vAlign w:val="top"/>
                </w:tcPr>
                <w:p>
                  <w:pPr>
                    <w:snapToGrid w:val="0"/>
                    <w:spacing w:line="320" w:lineRule="exact"/>
                    <w:ind w:left="555" w:firstLine="611" w:firstLineChars="191"/>
                    <w:jc w:val="right"/>
                    <w:rPr>
                      <w:rFonts w:hint="eastAsia" w:ascii="方正仿宋_GBK" w:hAnsi="方正仿宋_GBK" w:eastAsia="方正仿宋_GBK" w:cs="方正仿宋_GBK"/>
                      <w:sz w:val="32"/>
                      <w:szCs w:val="32"/>
                      <w:highlight w:val="none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32"/>
                      <w:szCs w:val="32"/>
                      <w:highlight w:val="none"/>
                      <w:lang w:val="en-US" w:eastAsia="zh-CN"/>
                    </w:rPr>
                    <w:t>51.5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none" w:color="auto" w:sz="0" w:space="0"/>
                  <w:bottom w:val="single" w:color="auto" w:sz="12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3" w:hRule="atLeast"/>
                <w:jc w:val="center"/>
              </w:trPr>
              <w:tc>
                <w:tcPr>
                  <w:tcW w:w="4546" w:type="dxa"/>
                  <w:tcBorders>
                    <w:top w:val="inset" w:color="ECE9D8" w:sz="6" w:space="0"/>
                    <w:left w:val="inset" w:color="ECE9D8" w:sz="6" w:space="0"/>
                    <w:bottom w:val="inset" w:color="ECE9D8" w:sz="6" w:space="0"/>
                    <w:right w:val="single" w:color="auto" w:sz="4" w:space="0"/>
                  </w:tcBorders>
                  <w:shd w:val="clear" w:color="auto" w:fill="E6E6E6"/>
                  <w:noWrap w:val="0"/>
                  <w:vAlign w:val="top"/>
                </w:tcPr>
                <w:p>
                  <w:pPr>
                    <w:spacing w:line="320" w:lineRule="exact"/>
                    <w:ind w:firstLine="320" w:firstLineChars="100"/>
                    <w:jc w:val="both"/>
                    <w:rPr>
                      <w:rFonts w:hint="eastAsia" w:ascii="方正仿宋_GBK" w:hAnsi="方正仿宋_GBK" w:eastAsia="方正仿宋_GBK" w:cs="方正仿宋_GBK"/>
                      <w:sz w:val="32"/>
                      <w:szCs w:val="32"/>
                      <w:highlight w:val="none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32"/>
                      <w:szCs w:val="32"/>
                      <w:highlight w:val="none"/>
                    </w:rPr>
                    <w:t>第二产业</w:t>
                  </w:r>
                </w:p>
              </w:tc>
              <w:tc>
                <w:tcPr>
                  <w:tcW w:w="3733" w:type="dxa"/>
                  <w:tcBorders>
                    <w:top w:val="inset" w:color="ECE9D8" w:sz="6" w:space="0"/>
                    <w:left w:val="single" w:color="auto" w:sz="0" w:space="0"/>
                    <w:bottom w:val="inset" w:color="ECE9D8" w:sz="6" w:space="0"/>
                    <w:right w:val="inset" w:color="ECE9D8" w:sz="6" w:space="0"/>
                  </w:tcBorders>
                  <w:noWrap w:val="0"/>
                  <w:vAlign w:val="top"/>
                </w:tcPr>
                <w:p>
                  <w:pPr>
                    <w:snapToGrid w:val="0"/>
                    <w:spacing w:line="320" w:lineRule="exact"/>
                    <w:ind w:left="555" w:firstLine="611" w:firstLineChars="191"/>
                    <w:jc w:val="right"/>
                    <w:rPr>
                      <w:rFonts w:hint="eastAsia" w:ascii="方正仿宋_GBK" w:hAnsi="方正仿宋_GBK" w:eastAsia="方正仿宋_GBK" w:cs="方正仿宋_GBK"/>
                      <w:sz w:val="32"/>
                      <w:szCs w:val="32"/>
                      <w:highlight w:val="none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32"/>
                      <w:szCs w:val="32"/>
                      <w:highlight w:val="none"/>
                      <w:lang w:val="en-US" w:eastAsia="zh-CN"/>
                    </w:rPr>
                    <w:t>38.4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none" w:color="auto" w:sz="0" w:space="0"/>
                  <w:bottom w:val="single" w:color="auto" w:sz="12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3" w:hRule="atLeast"/>
                <w:jc w:val="center"/>
              </w:trPr>
              <w:tc>
                <w:tcPr>
                  <w:tcW w:w="4546" w:type="dxa"/>
                  <w:tcBorders>
                    <w:top w:val="inset" w:color="ECE9D8" w:sz="6" w:space="0"/>
                    <w:left w:val="inset" w:color="ECE9D8" w:sz="6" w:space="0"/>
                    <w:bottom w:val="inset" w:color="ECE9D8" w:sz="6" w:space="0"/>
                    <w:right w:val="single" w:color="auto" w:sz="4" w:space="0"/>
                  </w:tcBorders>
                  <w:shd w:val="clear" w:color="auto" w:fill="E6E6E6"/>
                  <w:noWrap w:val="0"/>
                  <w:vAlign w:val="top"/>
                </w:tcPr>
                <w:p>
                  <w:pPr>
                    <w:spacing w:line="320" w:lineRule="exact"/>
                    <w:ind w:firstLine="467" w:firstLineChars="146"/>
                    <w:jc w:val="both"/>
                    <w:rPr>
                      <w:rFonts w:hint="eastAsia" w:ascii="方正仿宋_GBK" w:hAnsi="方正仿宋_GBK" w:eastAsia="方正仿宋_GBK" w:cs="方正仿宋_GBK"/>
                      <w:sz w:val="32"/>
                      <w:szCs w:val="32"/>
                      <w:highlight w:val="none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32"/>
                      <w:szCs w:val="32"/>
                      <w:highlight w:val="none"/>
                    </w:rPr>
                    <w:t xml:space="preserve"> #工业</w:t>
                  </w:r>
                </w:p>
              </w:tc>
              <w:tc>
                <w:tcPr>
                  <w:tcW w:w="3733" w:type="dxa"/>
                  <w:tcBorders>
                    <w:top w:val="inset" w:color="ECE9D8" w:sz="6" w:space="0"/>
                    <w:left w:val="single" w:color="auto" w:sz="0" w:space="0"/>
                    <w:bottom w:val="inset" w:color="ECE9D8" w:sz="6" w:space="0"/>
                    <w:right w:val="inset" w:color="ECE9D8" w:sz="6" w:space="0"/>
                  </w:tcBorders>
                  <w:noWrap w:val="0"/>
                  <w:vAlign w:val="top"/>
                </w:tcPr>
                <w:p>
                  <w:pPr>
                    <w:snapToGrid w:val="0"/>
                    <w:spacing w:line="320" w:lineRule="exact"/>
                    <w:ind w:left="555" w:firstLine="611" w:firstLineChars="191"/>
                    <w:jc w:val="right"/>
                    <w:rPr>
                      <w:rFonts w:hint="eastAsia" w:ascii="方正仿宋_GBK" w:hAnsi="方正仿宋_GBK" w:eastAsia="方正仿宋_GBK" w:cs="方正仿宋_GBK"/>
                      <w:sz w:val="32"/>
                      <w:szCs w:val="32"/>
                      <w:highlight w:val="none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32"/>
                      <w:szCs w:val="32"/>
                      <w:highlight w:val="none"/>
                      <w:lang w:val="en-US" w:eastAsia="zh-CN"/>
                    </w:rPr>
                    <w:t>38.4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none" w:color="auto" w:sz="0" w:space="0"/>
                  <w:bottom w:val="single" w:color="auto" w:sz="12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0" w:hRule="atLeast"/>
                <w:jc w:val="center"/>
              </w:trPr>
              <w:tc>
                <w:tcPr>
                  <w:tcW w:w="4546" w:type="dxa"/>
                  <w:tcBorders>
                    <w:top w:val="inset" w:color="ECE9D8" w:sz="6" w:space="0"/>
                    <w:left w:val="inset" w:color="ECE9D8" w:sz="6" w:space="0"/>
                    <w:bottom w:val="single" w:color="auto" w:sz="12" w:space="0"/>
                    <w:right w:val="single" w:color="auto" w:sz="4" w:space="0"/>
                  </w:tcBorders>
                  <w:shd w:val="clear" w:color="auto" w:fill="E6E6E6"/>
                  <w:noWrap w:val="0"/>
                  <w:vAlign w:val="top"/>
                </w:tcPr>
                <w:p>
                  <w:pPr>
                    <w:spacing w:line="320" w:lineRule="exact"/>
                    <w:ind w:firstLine="320" w:firstLineChars="100"/>
                    <w:jc w:val="both"/>
                    <w:rPr>
                      <w:rFonts w:hint="eastAsia" w:ascii="方正仿宋_GBK" w:hAnsi="方正仿宋_GBK" w:eastAsia="方正仿宋_GBK" w:cs="方正仿宋_GBK"/>
                      <w:sz w:val="32"/>
                      <w:szCs w:val="32"/>
                      <w:highlight w:val="none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32"/>
                      <w:szCs w:val="32"/>
                      <w:highlight w:val="none"/>
                    </w:rPr>
                    <w:t>第三产业</w:t>
                  </w:r>
                </w:p>
              </w:tc>
              <w:tc>
                <w:tcPr>
                  <w:tcW w:w="3733" w:type="dxa"/>
                  <w:tcBorders>
                    <w:top w:val="inset" w:color="ECE9D8" w:sz="6" w:space="0"/>
                    <w:left w:val="single" w:color="auto" w:sz="0" w:space="0"/>
                    <w:bottom w:val="single" w:color="auto" w:sz="12" w:space="0"/>
                    <w:right w:val="inset" w:color="ECE9D8" w:sz="6" w:space="0"/>
                  </w:tcBorders>
                  <w:noWrap w:val="0"/>
                  <w:vAlign w:val="top"/>
                </w:tcPr>
                <w:p>
                  <w:pPr>
                    <w:snapToGrid w:val="0"/>
                    <w:spacing w:line="320" w:lineRule="exact"/>
                    <w:ind w:left="555" w:firstLine="928" w:firstLineChars="290"/>
                    <w:jc w:val="right"/>
                    <w:rPr>
                      <w:rFonts w:hint="eastAsia" w:ascii="方正仿宋_GBK" w:hAnsi="方正仿宋_GBK" w:eastAsia="方正仿宋_GBK" w:cs="方正仿宋_GBK"/>
                      <w:sz w:val="32"/>
                      <w:szCs w:val="32"/>
                      <w:highlight w:val="none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32"/>
                      <w:szCs w:val="32"/>
                      <w:highlight w:val="none"/>
                      <w:lang w:val="en-US" w:eastAsia="zh-CN"/>
                    </w:rPr>
                    <w:t>0.2</w:t>
                  </w:r>
                </w:p>
              </w:tc>
            </w:tr>
          </w:tbl>
          <w:p>
            <w:pPr>
              <w:jc w:val="both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6" w:lineRule="exact"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bCs/>
          <w:kern w:val="0"/>
          <w:sz w:val="32"/>
          <w:szCs w:val="22"/>
          <w:highlight w:val="none"/>
          <w:lang w:val="en"/>
        </w:rPr>
      </w:pPr>
      <w:r>
        <w:rPr>
          <w:rFonts w:hint="eastAsia" w:ascii="方正黑体_GBK" w:hAnsi="方正黑体_GBK" w:eastAsia="方正黑体_GBK" w:cs="方正黑体_GBK"/>
          <w:bCs/>
          <w:kern w:val="0"/>
          <w:sz w:val="32"/>
          <w:szCs w:val="22"/>
          <w:highlight w:val="none"/>
          <w:lang w:val="en"/>
        </w:rPr>
        <w:t xml:space="preserve">七、财政金融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96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</w:rPr>
        <w:t>全年全县一般公共预算收入完成88435万元，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highlight w:val="none"/>
        </w:rPr>
        <w:t>扣除留抵退税因素后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</w:rPr>
        <w:t>增长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-US" w:eastAsia="zh-CN"/>
        </w:rPr>
        <w:t>26.8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</w:rPr>
        <w:t>%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highlight w:val="none"/>
        </w:rPr>
        <w:t>按自然口径计算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highlight w:val="none"/>
          <w:lang w:val="en-US" w:eastAsia="zh-CN"/>
        </w:rPr>
        <w:t>增长19.7%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</w:rPr>
        <w:t>。其中：税收收入完成39029万元，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highlight w:val="none"/>
        </w:rPr>
        <w:t>扣除留抵退税因素后下降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highlight w:val="none"/>
          <w:lang w:val="en-US" w:eastAsia="zh-CN"/>
        </w:rPr>
        <w:t>0.4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highlight w:val="none"/>
        </w:rPr>
        <w:t>%，按自然口径计算下降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highlight w:val="none"/>
          <w:lang w:val="en-US" w:eastAsia="zh-CN"/>
        </w:rPr>
        <w:t>12.0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highlight w:val="none"/>
        </w:rPr>
        <w:t>%。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</w:rPr>
        <w:t>非税收入完成49406万元，增长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-US" w:eastAsia="zh-CN"/>
        </w:rPr>
        <w:t>67.1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</w:rPr>
        <w:t>%。一般公共预算支出完成498215万元，下降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-US" w:eastAsia="zh-CN"/>
        </w:rPr>
        <w:t>4.9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</w:rPr>
        <w:t>%。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96" w:lineRule="exac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highlight w:val="none"/>
        </w:rPr>
        <w:t>年末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highlight w:val="none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highlight w:val="none"/>
        </w:rPr>
        <w:t>人民币存款余额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</w:rPr>
        <w:t>2424300.8万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highlight w:val="none"/>
        </w:rPr>
        <w:t>元，增长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-US" w:eastAsia="zh-CN"/>
        </w:rPr>
        <w:t>11.7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highlight w:val="none"/>
        </w:rPr>
        <w:t>%。人民币贷款余额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</w:rPr>
        <w:t>1853605.8万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highlight w:val="none"/>
        </w:rPr>
        <w:t>元，增长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-US" w:eastAsia="zh-CN"/>
        </w:rPr>
        <w:t>7.5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highlight w:val="none"/>
        </w:rPr>
        <w:t>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96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"/>
        </w:rPr>
        <w:t>全县营业性保险分公司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</w:rPr>
        <w:t>13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"/>
        </w:rPr>
        <w:t>家。保费总收入52998万元。其中，财产保险收入20259万元；人身保险收入32739万元。全年赔付各类保险金2083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"/>
        </w:rPr>
        <w:t>万元。其中，财产保险赔付14247万元；人身保险赔付659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"/>
        </w:rPr>
        <w:t>万元。</w:t>
      </w:r>
    </w:p>
    <w:p>
      <w:pPr>
        <w:pStyle w:val="2"/>
        <w:ind w:firstLine="640" w:firstLineChars="200"/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" w:eastAsia="zh-CN" w:bidi="ar-SA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" w:eastAsia="zh-CN" w:bidi="ar-SA"/>
        </w:rPr>
        <w:t>全县共有证券营业部  1 家，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-US" w:eastAsia="zh-CN" w:bidi="ar-SA"/>
        </w:rPr>
        <w:t>全年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" w:eastAsia="zh-CN" w:bidi="ar-SA"/>
        </w:rPr>
        <w:t>累计开户数278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-US" w:eastAsia="zh-CN" w:bidi="ar-SA"/>
        </w:rPr>
        <w:t>户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" w:eastAsia="zh-CN" w:bidi="ar-SA"/>
        </w:rPr>
        <w:t>，证券成交量187590.5万元。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6" w:lineRule="exact"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bCs/>
          <w:kern w:val="0"/>
          <w:sz w:val="32"/>
          <w:szCs w:val="22"/>
          <w:highlight w:val="none"/>
          <w:lang w:val="en"/>
        </w:rPr>
      </w:pPr>
      <w:r>
        <w:rPr>
          <w:rFonts w:hint="eastAsia" w:ascii="方正黑体_GBK" w:hAnsi="方正黑体_GBK" w:eastAsia="方正黑体_GBK" w:cs="方正黑体_GBK"/>
          <w:bCs/>
          <w:kern w:val="0"/>
          <w:sz w:val="32"/>
          <w:szCs w:val="22"/>
          <w:highlight w:val="none"/>
          <w:lang w:val="en"/>
        </w:rPr>
        <w:t>八、居民收入消费和社会保障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96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</w:rPr>
        <w:t>全县居民人均可支配收入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-US" w:eastAsia="zh-CN"/>
        </w:rPr>
        <w:t>20918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</w:rPr>
        <w:t>元，同比增长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-US" w:eastAsia="zh-CN"/>
        </w:rPr>
        <w:t>7.9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</w:rPr>
        <w:t>%。其中，城镇常住居民人均可支配收入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-US" w:eastAsia="zh-CN"/>
        </w:rPr>
        <w:t>32117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</w:rPr>
        <w:t>元，同比增长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-US" w:eastAsia="zh-CN"/>
        </w:rPr>
        <w:t>4.1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</w:rPr>
        <w:t>%；农村常住居民人均可支配收入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-US" w:eastAsia="zh-CN"/>
        </w:rPr>
        <w:t>13163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</w:rPr>
        <w:t>元，同比增长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-US" w:eastAsia="zh-CN"/>
        </w:rPr>
        <w:t>6.9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</w:rPr>
        <w:t>%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-US" w:eastAsia="zh-CN"/>
        </w:rPr>
        <w:t>见表4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96" w:lineRule="exact"/>
        <w:ind w:firstLine="640" w:firstLineChars="200"/>
        <w:jc w:val="both"/>
        <w:textAlignment w:val="auto"/>
        <w:rPr>
          <w:rFonts w:hint="eastAsia"/>
          <w:highlight w:val="none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</w:rPr>
        <w:t>全县居民人均生活消费支出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-US" w:eastAsia="zh-CN"/>
        </w:rPr>
        <w:t>15182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</w:rPr>
        <w:t>元，同比增长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-US" w:eastAsia="zh-CN"/>
        </w:rPr>
        <w:t>5.3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</w:rPr>
        <w:t>%。其中：城镇常住居民人均生活消费支出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-US" w:eastAsia="zh-CN"/>
        </w:rPr>
        <w:t>20170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</w:rPr>
        <w:t>元，同比增长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-US" w:eastAsia="zh-CN"/>
        </w:rPr>
        <w:t>4.2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</w:rPr>
        <w:t>%；农村常住居民人均生活消费支出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-US" w:eastAsia="zh-CN"/>
        </w:rPr>
        <w:t>11728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</w:rPr>
        <w:t>元，同比增长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-US" w:eastAsia="zh-CN"/>
        </w:rPr>
        <w:t>3.2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</w:rPr>
        <w:t>%。全县居民恩格尔系数36.6%，比上年下降1.2个百分点。其中：城镇为34.8%，农村为38.7%。城乡居民收支比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-US" w:eastAsia="zh-CN"/>
        </w:rPr>
        <w:t>为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</w:rPr>
        <w:t>2.44：1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96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"/>
        </w:rPr>
        <w:t>全县城乡居民社会养老保险参保人数 28.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"/>
        </w:rPr>
        <w:t>万人，城镇职工基本养老保险参保人数9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-US" w:eastAsia="zh-CN"/>
        </w:rPr>
        <w:t>.0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"/>
        </w:rPr>
        <w:t>万人，其中企业职工7.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"/>
        </w:rPr>
        <w:t>万人，城镇职工基本养老保险实际支付人数3.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"/>
        </w:rPr>
        <w:t>万人，城镇职工基本养老保险金基金收入 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-US" w:eastAsia="zh-CN"/>
        </w:rPr>
        <w:t>7.0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"/>
        </w:rPr>
        <w:t>亿元，城镇职工基本养老保险金基金支出 11.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"/>
        </w:rPr>
        <w:t>亿元，实发养老金额  11.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"/>
        </w:rPr>
        <w:t>亿元。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96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"/>
        </w:rPr>
        <w:t>城乡居民合作医疗保险参保人数41.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"/>
        </w:rPr>
        <w:t>万人，城镇职工基本医疗保险参保人数3.7万人。医疗保险基金总收入4.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"/>
        </w:rPr>
        <w:t>亿元，医疗保险基金总支出4.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"/>
        </w:rPr>
        <w:t> 亿元。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96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"/>
        </w:rPr>
        <w:t>工伤保险参保人数3.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"/>
        </w:rPr>
        <w:t>万人，工伤保险基金收入1284万元，工伤保险基金支出2165万元。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96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"/>
        </w:rPr>
        <w:t>失业保险参保人数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-US" w:eastAsia="zh-CN"/>
        </w:rPr>
        <w:t>1.9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"/>
        </w:rPr>
        <w:t>万人，失业保险基金总收入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-US" w:eastAsia="zh-CN"/>
        </w:rPr>
        <w:t>2107.4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"/>
        </w:rPr>
        <w:t>万元，失业保险基金总支出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-US" w:eastAsia="zh-CN"/>
        </w:rPr>
        <w:t>2027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"/>
        </w:rPr>
        <w:t>万元。</w:t>
      </w:r>
    </w:p>
    <w:p>
      <w:pPr>
        <w:pStyle w:val="2"/>
        <w:ind w:firstLine="640" w:firstLineChars="200"/>
        <w:rPr>
          <w:rFonts w:hint="eastAsia"/>
          <w:lang w:val="e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" w:eastAsia="zh-CN" w:bidi="ar-SA"/>
        </w:rPr>
        <w:t>年末，全县共有2525人享受城市居民最低生活保障，16543人享受农村居民最低生活保障。城市特困人员救助供养人数82人，农村特困人员救助供养人数3239人。全年资助23748人困难群众参加医疗保险。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" w:eastAsia="zh-CN" w:bidi="ar-SA"/>
        </w:rPr>
        <w:br w:type="textWrapping"/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-US" w:eastAsia="zh-CN" w:bidi="ar-SA"/>
        </w:rPr>
        <w:t xml:space="preserve">   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" w:eastAsia="zh-CN" w:bidi="ar-SA"/>
        </w:rPr>
        <w:t>城市居民最低生活保障标准为581元/月，农村居民最低生活保障标准为717元/月，特困人员救助供养标准为932元/月，孤儿补助标准1382元/月。</w:t>
      </w:r>
    </w:p>
    <w:p>
      <w:pPr>
        <w:pStyle w:val="2"/>
      </w:pPr>
      <w:r>
        <w:drawing>
          <wp:inline distT="0" distB="0" distL="114300" distR="114300">
            <wp:extent cx="5272405" cy="3288030"/>
            <wp:effectExtent l="0" t="0" r="4445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28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/>
          <w:lang w:val="en"/>
        </w:rPr>
      </w:pPr>
      <w:r>
        <w:drawing>
          <wp:inline distT="0" distB="0" distL="114300" distR="114300">
            <wp:extent cx="5269865" cy="2703830"/>
            <wp:effectExtent l="4445" t="4445" r="21590" b="15875"/>
            <wp:docPr id="4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6" w:lineRule="exact"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bCs/>
          <w:kern w:val="0"/>
          <w:sz w:val="32"/>
          <w:szCs w:val="22"/>
          <w:highlight w:val="none"/>
          <w:lang w:val="en"/>
        </w:rPr>
      </w:pPr>
      <w:r>
        <w:rPr>
          <w:rFonts w:hint="eastAsia" w:ascii="方正黑体_GBK" w:hAnsi="方正黑体_GBK" w:eastAsia="方正黑体_GBK" w:cs="方正黑体_GBK"/>
          <w:bCs/>
          <w:kern w:val="0"/>
          <w:sz w:val="32"/>
          <w:szCs w:val="22"/>
          <w:highlight w:val="none"/>
          <w:lang w:val="en"/>
        </w:rPr>
        <w:t>九、科学技术和教育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96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"/>
        </w:rPr>
        <w:t>全县科研机构数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-US" w:eastAsia="zh-CN"/>
        </w:rPr>
        <w:t>2个，科技项目立项7个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"/>
        </w:rPr>
        <w:t>。全年引进推广科技成果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-US" w:eastAsia="zh-CN"/>
        </w:rPr>
        <w:t>33个，其中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"/>
        </w:rPr>
        <w:t>国家级11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-US" w:eastAsia="zh-CN"/>
        </w:rPr>
        <w:t>个，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"/>
        </w:rPr>
        <w:t>市级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-US" w:eastAsia="zh-CN"/>
        </w:rPr>
        <w:t>6个，县级16个。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" w:eastAsia="zh-CN"/>
        </w:rPr>
        <w:t>授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"/>
        </w:rPr>
        <w:t>权专利数2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-US" w:eastAsia="zh-CN"/>
        </w:rPr>
        <w:t>60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"/>
        </w:rPr>
        <w:t>件，授权发明专利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"/>
        </w:rPr>
        <w:t>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96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-US" w:eastAsia="zh-CN"/>
        </w:rPr>
        <w:t>全县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"/>
        </w:rPr>
        <w:t>共有普通高中教育学校4所，中等职业学校2所，普通初中15所，普通小学77所，幼儿园65所，特殊教育学校1所。高中阶段教育毛入学率 96 %，初中入学率为100%，小学学龄儿童净入学率为99.28%，学前教育三年毛入园率91.4%。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6" w:lineRule="exact"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bCs/>
          <w:kern w:val="0"/>
          <w:sz w:val="32"/>
          <w:szCs w:val="22"/>
          <w:highlight w:val="none"/>
          <w:lang w:val="en"/>
        </w:rPr>
      </w:pPr>
      <w:r>
        <w:rPr>
          <w:rFonts w:hint="eastAsia" w:ascii="方正黑体_GBK" w:hAnsi="方正黑体_GBK" w:eastAsia="方正黑体_GBK" w:cs="方正黑体_GBK"/>
          <w:bCs/>
          <w:kern w:val="0"/>
          <w:sz w:val="32"/>
          <w:szCs w:val="22"/>
          <w:highlight w:val="none"/>
          <w:lang w:val="en"/>
        </w:rPr>
        <w:t>十、文化旅游、卫生健康和体育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96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-US" w:eastAsia="zh-CN"/>
        </w:rPr>
        <w:t>全县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</w:rPr>
        <w:t>文化及相关产业增加值21456万元，按现价计算比上年减少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-US" w:eastAsia="zh-CN"/>
        </w:rPr>
        <w:t>4.7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</w:rPr>
        <w:t>%。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"/>
        </w:rPr>
        <w:t>年末，全县共有博物馆2个，文化馆1个，文化站32个，公共图书馆1个，艺术表演团体13个。广播节目综合人口覆盖率97.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"/>
        </w:rPr>
        <w:t>%；电视节目综合人口覆盖率97.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"/>
        </w:rPr>
        <w:t xml:space="preserve">%。公共图书馆总藏量85359册、件，书架总长度0.19万米。 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96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</w:rPr>
        <w:t>旅游及相关产业增加值44236万元，按现价计算比上年减少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-US" w:eastAsia="zh-CN"/>
        </w:rPr>
        <w:t>5.9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</w:rPr>
        <w:t>%。年末全县拥有国家A级景区5个，其中，4A级景区2个，3A级景区2个，2A级景区1个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96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"/>
        </w:rPr>
        <w:t>年末，全县共有各级各类医疗卫生机构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-US" w:eastAsia="zh-CN"/>
        </w:rPr>
        <w:t>382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"/>
        </w:rPr>
        <w:t>个。其中，医院12个，社区卫生服务中心（站）2个，乡镇卫生院30个，村卫生室257个。个体诊所80个。共有医疗卫生机构床位数2412张。其中，医院床位1531张，乡镇卫生院床位881张。全县共有医疗卫生机构卫生技术人员2044人。其中，执业医师和执业助理医师1019人，注册护士990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96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"/>
        </w:rPr>
        <w:t>年末，全县有体育场地1613个，有国家级裁判80人，其中国家一级裁判13人，国家二级裁判67人。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6" w:lineRule="exact"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bCs/>
          <w:kern w:val="0"/>
          <w:sz w:val="32"/>
          <w:szCs w:val="22"/>
          <w:highlight w:val="none"/>
          <w:lang w:val="en"/>
        </w:rPr>
      </w:pPr>
      <w:r>
        <w:rPr>
          <w:rFonts w:hint="eastAsia" w:ascii="方正黑体_GBK" w:hAnsi="方正黑体_GBK" w:eastAsia="方正黑体_GBK" w:cs="方正黑体_GBK"/>
          <w:bCs/>
          <w:kern w:val="0"/>
          <w:sz w:val="32"/>
          <w:szCs w:val="22"/>
          <w:highlight w:val="none"/>
          <w:lang w:val="en"/>
        </w:rPr>
        <w:t>十一、资源、环境和应急管理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96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" w:eastAsia="zh-CN" w:bidi="ar-SA"/>
        </w:rPr>
        <w:t>年末，全县共有土地面积401914.3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-US" w:eastAsia="zh-CN" w:bidi="ar-SA"/>
        </w:rPr>
        <w:t>公顷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" w:eastAsia="zh-CN" w:bidi="ar-SA"/>
        </w:rPr>
        <w:t>。林地面积</w:t>
      </w:r>
      <w:r>
        <w:rPr>
          <w:rFonts w:hint="default" w:ascii="方正仿宋_GBK" w:hAnsi="方正仿宋_GBK" w:eastAsia="方正仿宋_GBK" w:cs="方正仿宋_GBK"/>
          <w:kern w:val="0"/>
          <w:sz w:val="32"/>
          <w:szCs w:val="32"/>
          <w:highlight w:val="none"/>
          <w:lang w:val="en" w:eastAsia="zh-CN" w:bidi="ar-SA"/>
        </w:rPr>
        <w:t>333866.7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-US" w:eastAsia="zh-CN" w:bidi="ar-SA"/>
        </w:rPr>
        <w:t>公顷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" w:eastAsia="zh-CN" w:bidi="ar-SA"/>
        </w:rPr>
        <w:t>，森林面积</w:t>
      </w:r>
      <w:r>
        <w:rPr>
          <w:rFonts w:hint="default" w:ascii="方正仿宋_GBK" w:hAnsi="方正仿宋_GBK" w:eastAsia="方正仿宋_GBK" w:cs="方正仿宋_GBK"/>
          <w:kern w:val="0"/>
          <w:sz w:val="32"/>
          <w:szCs w:val="32"/>
          <w:highlight w:val="none"/>
          <w:lang w:val="en" w:eastAsia="zh-CN" w:bidi="ar-SA"/>
        </w:rPr>
        <w:t>282344.4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-US" w:eastAsia="zh-CN" w:bidi="ar-SA"/>
        </w:rPr>
        <w:t>公顷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" w:eastAsia="zh-CN" w:bidi="ar-SA"/>
        </w:rPr>
        <w:t>，森林覆盖率70.2%，森林蓄积量1470万立方米，当年造林面积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-US" w:eastAsia="zh-CN" w:bidi="ar-SA"/>
        </w:rPr>
        <w:t>2.3万亩，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" w:eastAsia="zh-CN" w:bidi="ar-SA"/>
        </w:rPr>
        <w:t>退耕还林累计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-US" w:eastAsia="zh-CN" w:bidi="ar-SA"/>
        </w:rPr>
        <w:t>59.1万亩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" w:eastAsia="zh-CN" w:bidi="ar-SA"/>
        </w:rPr>
        <w:t>。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-US" w:eastAsia="zh-CN" w:bidi="ar-SA"/>
        </w:rPr>
        <w:t>全县自然保护区1个，其中，国家级自然保护区1个。完成营造林面积2.3万亩。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96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" w:eastAsia="zh-CN" w:bidi="ar-SA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-US" w:eastAsia="zh-CN" w:bidi="ar-SA"/>
        </w:rPr>
        <w:t>全年城区空气质量优良天数341天。城市空气质量达标率93.42%。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" w:eastAsia="zh-CN" w:bidi="ar-SA"/>
        </w:rPr>
        <w:t>饮用水源水质达标率100%，城区区域环境噪声平均值54.0分贝。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96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"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"/>
        </w:rPr>
        <w:t>全年安全事故亡人总起数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-US" w:eastAsia="zh-CN"/>
        </w:rPr>
        <w:t>14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"/>
        </w:rPr>
        <w:t>起, 总死亡人数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-US" w:eastAsia="zh-CN"/>
        </w:rPr>
        <w:t>15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"/>
        </w:rPr>
        <w:t>人。其中交通事故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"/>
        </w:rPr>
        <w:t>起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" w:eastAsia="zh-CN"/>
        </w:rPr>
        <w:t>，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"/>
        </w:rPr>
        <w:t>死亡人数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-US" w:eastAsia="zh-CN"/>
        </w:rPr>
        <w:t>6人；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"/>
        </w:rPr>
        <w:t>建筑施工事故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"/>
        </w:rPr>
        <w:t>起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" w:eastAsia="zh-CN"/>
        </w:rPr>
        <w:t>，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"/>
        </w:rPr>
        <w:t>死亡人数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-US" w:eastAsia="zh-CN"/>
        </w:rPr>
        <w:t>7人；其他事故6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"/>
        </w:rPr>
        <w:t>起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" w:eastAsia="zh-CN"/>
        </w:rPr>
        <w:t>，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"/>
        </w:rPr>
        <w:t>死亡人数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-US" w:eastAsia="zh-CN"/>
        </w:rPr>
        <w:t>2人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"/>
        </w:rPr>
        <w:t>。</w:t>
      </w:r>
    </w:p>
    <w:p>
      <w:pPr>
        <w:widowControl/>
        <w:spacing w:line="520" w:lineRule="exact"/>
        <w:ind w:firstLine="560" w:firstLineChars="200"/>
        <w:jc w:val="left"/>
        <w:rPr>
          <w:rFonts w:hint="eastAsia" w:ascii="方正楷体_GBK" w:hAnsi="方正楷体_GBK" w:eastAsia="方正楷体_GBK" w:cs="方正楷体_GBK"/>
          <w:kern w:val="0"/>
          <w:sz w:val="28"/>
          <w:szCs w:val="28"/>
          <w:lang w:bidi="ar"/>
        </w:rPr>
      </w:pPr>
    </w:p>
    <w:p>
      <w:pPr>
        <w:widowControl/>
        <w:spacing w:line="520" w:lineRule="exact"/>
        <w:ind w:firstLine="560" w:firstLineChars="200"/>
        <w:jc w:val="left"/>
        <w:rPr>
          <w:rFonts w:hint="eastAsia" w:ascii="方正楷体_GBK" w:hAnsi="方正楷体_GBK" w:eastAsia="方正楷体_GBK" w:cs="方正楷体_GBK"/>
          <w:kern w:val="0"/>
          <w:sz w:val="28"/>
          <w:szCs w:val="28"/>
          <w:lang w:bidi="ar"/>
        </w:rPr>
      </w:pPr>
    </w:p>
    <w:p>
      <w:pPr>
        <w:widowControl/>
        <w:spacing w:line="520" w:lineRule="exact"/>
        <w:ind w:firstLine="560" w:firstLineChars="200"/>
        <w:jc w:val="left"/>
        <w:rPr>
          <w:rFonts w:hint="eastAsia" w:ascii="方正楷体_GBK" w:hAnsi="方正楷体_GBK" w:eastAsia="方正楷体_GBK" w:cs="方正楷体_GBK"/>
          <w:kern w:val="0"/>
          <w:sz w:val="28"/>
          <w:szCs w:val="28"/>
          <w:lang w:bidi="ar"/>
        </w:rPr>
      </w:pPr>
    </w:p>
    <w:p>
      <w:pPr>
        <w:widowControl/>
        <w:spacing w:line="520" w:lineRule="exact"/>
        <w:ind w:firstLine="560" w:firstLineChars="200"/>
        <w:jc w:val="left"/>
        <w:rPr>
          <w:rFonts w:hint="eastAsia" w:ascii="方正楷体_GBK" w:hAnsi="方正楷体_GBK" w:eastAsia="方正楷体_GBK" w:cs="方正楷体_GBK"/>
          <w:kern w:val="0"/>
          <w:sz w:val="28"/>
          <w:szCs w:val="28"/>
          <w:lang w:bidi="ar"/>
        </w:rPr>
      </w:pPr>
      <w:r>
        <w:rPr>
          <w:rFonts w:hint="eastAsia" w:ascii="方正楷体_GBK" w:hAnsi="方正楷体_GBK" w:eastAsia="方正楷体_GBK" w:cs="方正楷体_GBK"/>
          <w:kern w:val="0"/>
          <w:sz w:val="28"/>
          <w:szCs w:val="28"/>
          <w:lang w:bidi="ar"/>
        </w:rPr>
        <w:t>注释：</w:t>
      </w:r>
    </w:p>
    <w:p>
      <w:pPr>
        <w:widowControl/>
        <w:spacing w:line="520" w:lineRule="exact"/>
        <w:ind w:firstLine="560" w:firstLineChars="200"/>
        <w:jc w:val="left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kern w:val="0"/>
          <w:sz w:val="28"/>
          <w:szCs w:val="28"/>
          <w:lang w:bidi="ar"/>
        </w:rPr>
        <w:t>1.本公报中202</w:t>
      </w:r>
      <w:r>
        <w:rPr>
          <w:rFonts w:hint="eastAsia" w:ascii="方正楷体_GBK" w:hAnsi="方正楷体_GBK" w:eastAsia="方正楷体_GBK" w:cs="方正楷体_GBK"/>
          <w:kern w:val="0"/>
          <w:sz w:val="28"/>
          <w:szCs w:val="28"/>
          <w:lang w:val="en-US" w:eastAsia="zh-CN" w:bidi="ar"/>
        </w:rPr>
        <w:t>2</w:t>
      </w:r>
      <w:r>
        <w:rPr>
          <w:rFonts w:hint="eastAsia" w:ascii="方正楷体_GBK" w:hAnsi="方正楷体_GBK" w:eastAsia="方正楷体_GBK" w:cs="方正楷体_GBK"/>
          <w:kern w:val="0"/>
          <w:sz w:val="28"/>
          <w:szCs w:val="28"/>
          <w:lang w:bidi="ar"/>
        </w:rPr>
        <w:t>年数据均为初步统计数，部分数据因四舍五入的原因，存在与分项合计不等的情况。</w:t>
      </w:r>
    </w:p>
    <w:p>
      <w:pPr>
        <w:widowControl/>
        <w:spacing w:line="520" w:lineRule="exact"/>
        <w:ind w:firstLine="560"/>
        <w:jc w:val="left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kern w:val="0"/>
          <w:sz w:val="28"/>
          <w:szCs w:val="28"/>
          <w:lang w:bidi="ar"/>
        </w:rPr>
        <w:t>2.地区生产总值、三次产业及相关行业增加值、人均地区生产总值、农林牧渔业总产值绝对数按现价计算，增长速度按可比价计算。</w:t>
      </w:r>
    </w:p>
    <w:p>
      <w:pPr>
        <w:widowControl/>
        <w:spacing w:line="520" w:lineRule="exact"/>
        <w:ind w:firstLine="560"/>
        <w:jc w:val="left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kern w:val="0"/>
          <w:sz w:val="28"/>
          <w:szCs w:val="28"/>
          <w:lang w:val="en-US" w:eastAsia="zh-CN" w:bidi="ar"/>
        </w:rPr>
        <w:t>3</w:t>
      </w:r>
      <w:r>
        <w:rPr>
          <w:rFonts w:hint="eastAsia" w:ascii="方正楷体_GBK" w:hAnsi="方正楷体_GBK" w:eastAsia="方正楷体_GBK" w:cs="方正楷体_GBK"/>
          <w:kern w:val="0"/>
          <w:sz w:val="28"/>
          <w:szCs w:val="28"/>
          <w:lang w:bidi="ar"/>
        </w:rPr>
        <w:t>.其</w:t>
      </w:r>
      <w:r>
        <w:rPr>
          <w:rFonts w:hint="eastAsia" w:ascii="方正楷体_GBK" w:hAnsi="方正楷体_GBK" w:eastAsia="方正楷体_GBK" w:cs="方正楷体_GBK"/>
          <w:spacing w:val="-4"/>
          <w:kern w:val="0"/>
          <w:sz w:val="28"/>
          <w:szCs w:val="28"/>
          <w:lang w:bidi="ar"/>
        </w:rPr>
        <w:t>他服务业包括农、林、牧、渔专业及辅助性活动，信息传输、软件和信息技术服务业，租赁和商务服务业，科学研究和技术服务业，水利、环境和公共设施管理业，居民服务、修理和其他服务业，教育，卫生和社会工作，文化、体育和娱乐业，公共管理、社会保障和社会组织等行业。</w:t>
      </w:r>
    </w:p>
    <w:p>
      <w:pPr>
        <w:widowControl/>
        <w:spacing w:line="520" w:lineRule="exact"/>
        <w:ind w:firstLine="560"/>
        <w:jc w:val="left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kern w:val="0"/>
          <w:sz w:val="28"/>
          <w:szCs w:val="28"/>
          <w:lang w:val="en-US" w:eastAsia="zh-CN" w:bidi="ar"/>
        </w:rPr>
        <w:t>4</w:t>
      </w:r>
      <w:r>
        <w:rPr>
          <w:rFonts w:hint="eastAsia" w:ascii="方正楷体_GBK" w:hAnsi="方正楷体_GBK" w:eastAsia="方正楷体_GBK" w:cs="方正楷体_GBK"/>
          <w:kern w:val="0"/>
          <w:sz w:val="28"/>
          <w:szCs w:val="28"/>
          <w:lang w:bidi="ar"/>
        </w:rPr>
        <w:t>.行业统计标准：</w:t>
      </w:r>
    </w:p>
    <w:p>
      <w:pPr>
        <w:widowControl/>
        <w:spacing w:line="520" w:lineRule="exact"/>
        <w:ind w:firstLine="560"/>
        <w:jc w:val="left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kern w:val="0"/>
          <w:sz w:val="28"/>
          <w:szCs w:val="28"/>
          <w:lang w:bidi="ar"/>
        </w:rPr>
        <w:t>规模以上工业：年主营业务收入2000万元及以上的工业法人单位。</w:t>
      </w:r>
    </w:p>
    <w:p>
      <w:pPr>
        <w:widowControl/>
        <w:spacing w:line="520" w:lineRule="exact"/>
        <w:ind w:firstLine="560"/>
        <w:jc w:val="left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kern w:val="0"/>
          <w:sz w:val="28"/>
          <w:szCs w:val="28"/>
          <w:lang w:bidi="ar"/>
        </w:rPr>
        <w:t>有资质的建筑业：有总承包和专业承包资质的建筑业法人单位。</w:t>
      </w:r>
    </w:p>
    <w:p>
      <w:pPr>
        <w:widowControl/>
        <w:spacing w:line="520" w:lineRule="exact"/>
        <w:ind w:firstLine="560"/>
        <w:jc w:val="left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kern w:val="0"/>
          <w:sz w:val="28"/>
          <w:szCs w:val="28"/>
          <w:lang w:bidi="ar"/>
        </w:rPr>
        <w:t>限额以上批发和零售业：年主营业务收入2000万元及以上的批发业、年主营业务收入500万元及以上的零售业企业（单位）。</w:t>
      </w:r>
    </w:p>
    <w:p>
      <w:pPr>
        <w:widowControl/>
        <w:spacing w:line="520" w:lineRule="exact"/>
        <w:ind w:firstLine="560"/>
        <w:jc w:val="left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kern w:val="0"/>
          <w:sz w:val="28"/>
          <w:szCs w:val="28"/>
          <w:lang w:bidi="ar"/>
        </w:rPr>
        <w:t>限额以上住宿和餐饮业：年主营业务收入200万元及以上的住宿和餐饮业企业（单位）。</w:t>
      </w:r>
    </w:p>
    <w:p>
      <w:pPr>
        <w:widowControl/>
        <w:spacing w:line="520" w:lineRule="exact"/>
        <w:ind w:firstLine="560"/>
        <w:jc w:val="left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kern w:val="0"/>
          <w:sz w:val="28"/>
          <w:szCs w:val="28"/>
          <w:lang w:bidi="ar"/>
        </w:rPr>
        <w:t>房地产开发经营业：全部房地产开发经营业法人单位。</w:t>
      </w:r>
    </w:p>
    <w:p>
      <w:pPr>
        <w:widowControl/>
        <w:spacing w:line="520" w:lineRule="exact"/>
        <w:ind w:firstLine="560"/>
        <w:jc w:val="left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kern w:val="0"/>
          <w:sz w:val="28"/>
          <w:szCs w:val="28"/>
          <w:lang w:bidi="ar"/>
        </w:rPr>
        <w:t>规模以上服务业：年营业收入2000万元及以上服务业法人单位。包括：交通运输、仓储和邮政业，信息传输、软件和信息技术服务业，水利、环境和公共设施管理业三个门类和卫生行业大类。</w:t>
      </w:r>
    </w:p>
    <w:p>
      <w:pPr>
        <w:widowControl/>
        <w:spacing w:line="520" w:lineRule="exact"/>
        <w:ind w:firstLine="560"/>
        <w:jc w:val="left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kern w:val="0"/>
          <w:sz w:val="28"/>
          <w:szCs w:val="28"/>
          <w:lang w:bidi="ar"/>
        </w:rPr>
        <w:t>年营业收入1000万元及以上服务业法人单位。包括：租赁和商务服务业、科学研究和技术服务业、教育三个门类，以及物业管理、房地产中介服务、房地产租赁经营和其他房地产业四个行业大类。</w:t>
      </w:r>
    </w:p>
    <w:p>
      <w:pPr>
        <w:widowControl/>
        <w:spacing w:line="520" w:lineRule="exact"/>
        <w:ind w:firstLine="560"/>
        <w:jc w:val="left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kern w:val="0"/>
          <w:sz w:val="28"/>
          <w:szCs w:val="28"/>
          <w:lang w:bidi="ar"/>
        </w:rPr>
        <w:t>年营业收入500万元及以上服务业法人单位。包括：居民服务、修理和其他服务业，文化、体育和娱乐业两个门类，以及社会工作行业大类。</w:t>
      </w:r>
    </w:p>
    <w:p>
      <w:pPr>
        <w:pStyle w:val="2"/>
        <w:rPr>
          <w:rFonts w:hint="eastAsia" w:eastAsia="方正仿宋_GBK" w:cs="方正仿宋_GBK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仪报宋简">
    <w:panose1 w:val="02010609000101010101"/>
    <w:charset w:val="86"/>
    <w:family w:val="modern"/>
    <w:pitch w:val="default"/>
    <w:sig w:usb0="00000001" w:usb1="080E0800" w:usb2="00000002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C0D08"/>
    <w:rsid w:val="01F22B77"/>
    <w:rsid w:val="02740165"/>
    <w:rsid w:val="03224022"/>
    <w:rsid w:val="036348F5"/>
    <w:rsid w:val="03BE1149"/>
    <w:rsid w:val="05721D59"/>
    <w:rsid w:val="06A74DBD"/>
    <w:rsid w:val="06B961DA"/>
    <w:rsid w:val="06EA61F8"/>
    <w:rsid w:val="07D07F1D"/>
    <w:rsid w:val="08B50476"/>
    <w:rsid w:val="08DA0675"/>
    <w:rsid w:val="08E6374F"/>
    <w:rsid w:val="0B417592"/>
    <w:rsid w:val="0B6B2AF8"/>
    <w:rsid w:val="0C4818CD"/>
    <w:rsid w:val="0C5A10F3"/>
    <w:rsid w:val="0D424536"/>
    <w:rsid w:val="0D872F82"/>
    <w:rsid w:val="0D8D1D4C"/>
    <w:rsid w:val="0DD85DDD"/>
    <w:rsid w:val="0EA37B51"/>
    <w:rsid w:val="0F8F3E7B"/>
    <w:rsid w:val="0FA21600"/>
    <w:rsid w:val="0FC373BA"/>
    <w:rsid w:val="10024E6A"/>
    <w:rsid w:val="102F1450"/>
    <w:rsid w:val="10E53986"/>
    <w:rsid w:val="11373594"/>
    <w:rsid w:val="11477787"/>
    <w:rsid w:val="1154007F"/>
    <w:rsid w:val="118F0C1D"/>
    <w:rsid w:val="11AD085B"/>
    <w:rsid w:val="12D96979"/>
    <w:rsid w:val="12DB157F"/>
    <w:rsid w:val="12F83578"/>
    <w:rsid w:val="136F0304"/>
    <w:rsid w:val="14540713"/>
    <w:rsid w:val="14F1225C"/>
    <w:rsid w:val="15321C87"/>
    <w:rsid w:val="15C74786"/>
    <w:rsid w:val="15DC405B"/>
    <w:rsid w:val="16A5468C"/>
    <w:rsid w:val="16B918F1"/>
    <w:rsid w:val="16CA1D25"/>
    <w:rsid w:val="16CA7686"/>
    <w:rsid w:val="176C1788"/>
    <w:rsid w:val="193420F5"/>
    <w:rsid w:val="19767EEA"/>
    <w:rsid w:val="19DD7D07"/>
    <w:rsid w:val="1A794E25"/>
    <w:rsid w:val="1C6A111E"/>
    <w:rsid w:val="1D1A0EC7"/>
    <w:rsid w:val="1D8B61B8"/>
    <w:rsid w:val="1DA66104"/>
    <w:rsid w:val="1ED51388"/>
    <w:rsid w:val="1EF70239"/>
    <w:rsid w:val="1F0F03BB"/>
    <w:rsid w:val="1FD62313"/>
    <w:rsid w:val="213E7BEB"/>
    <w:rsid w:val="218A3DB3"/>
    <w:rsid w:val="21EB58E7"/>
    <w:rsid w:val="242F25FA"/>
    <w:rsid w:val="250C2633"/>
    <w:rsid w:val="25DF20E1"/>
    <w:rsid w:val="25F07571"/>
    <w:rsid w:val="26566D7A"/>
    <w:rsid w:val="26785A69"/>
    <w:rsid w:val="26BC20B0"/>
    <w:rsid w:val="27433447"/>
    <w:rsid w:val="27481F77"/>
    <w:rsid w:val="281D6EEF"/>
    <w:rsid w:val="28A8713E"/>
    <w:rsid w:val="28E956E3"/>
    <w:rsid w:val="29194BAB"/>
    <w:rsid w:val="292C1F8F"/>
    <w:rsid w:val="29335093"/>
    <w:rsid w:val="29B41518"/>
    <w:rsid w:val="29CB7AFD"/>
    <w:rsid w:val="2A2A2D2E"/>
    <w:rsid w:val="2AE9621B"/>
    <w:rsid w:val="2C21783C"/>
    <w:rsid w:val="2C9922FB"/>
    <w:rsid w:val="2CB45D63"/>
    <w:rsid w:val="2CB73383"/>
    <w:rsid w:val="2CC85276"/>
    <w:rsid w:val="2CFB694E"/>
    <w:rsid w:val="2D7D3C90"/>
    <w:rsid w:val="2DCC7AC8"/>
    <w:rsid w:val="2E265C19"/>
    <w:rsid w:val="2EBE2F18"/>
    <w:rsid w:val="2EF153E2"/>
    <w:rsid w:val="2EF84EF8"/>
    <w:rsid w:val="2F040E5A"/>
    <w:rsid w:val="302738A6"/>
    <w:rsid w:val="30765516"/>
    <w:rsid w:val="30953705"/>
    <w:rsid w:val="30BD2283"/>
    <w:rsid w:val="30D9583B"/>
    <w:rsid w:val="31985FAC"/>
    <w:rsid w:val="326E5985"/>
    <w:rsid w:val="32C03644"/>
    <w:rsid w:val="32DE1B84"/>
    <w:rsid w:val="32E23873"/>
    <w:rsid w:val="32F71B4C"/>
    <w:rsid w:val="33DB5A3A"/>
    <w:rsid w:val="359A173D"/>
    <w:rsid w:val="365C11D3"/>
    <w:rsid w:val="36A376AB"/>
    <w:rsid w:val="36FE2013"/>
    <w:rsid w:val="37885D55"/>
    <w:rsid w:val="385B1DBB"/>
    <w:rsid w:val="3B07012B"/>
    <w:rsid w:val="3B757620"/>
    <w:rsid w:val="3BB20B49"/>
    <w:rsid w:val="3D983173"/>
    <w:rsid w:val="3DA02173"/>
    <w:rsid w:val="3DF36883"/>
    <w:rsid w:val="3E772454"/>
    <w:rsid w:val="3E8B11DC"/>
    <w:rsid w:val="3EF56008"/>
    <w:rsid w:val="3FBF22FD"/>
    <w:rsid w:val="3FBF4394"/>
    <w:rsid w:val="3FE05189"/>
    <w:rsid w:val="40134EAC"/>
    <w:rsid w:val="40432312"/>
    <w:rsid w:val="409F121B"/>
    <w:rsid w:val="40C24631"/>
    <w:rsid w:val="41554A8C"/>
    <w:rsid w:val="417845CF"/>
    <w:rsid w:val="41ED21DA"/>
    <w:rsid w:val="41FD5669"/>
    <w:rsid w:val="42B17B30"/>
    <w:rsid w:val="43FA0D5B"/>
    <w:rsid w:val="4453760D"/>
    <w:rsid w:val="446F0FAD"/>
    <w:rsid w:val="44F14EA2"/>
    <w:rsid w:val="47220E76"/>
    <w:rsid w:val="474D154C"/>
    <w:rsid w:val="489908D8"/>
    <w:rsid w:val="49586942"/>
    <w:rsid w:val="4A1705D7"/>
    <w:rsid w:val="4A171087"/>
    <w:rsid w:val="4A64210F"/>
    <w:rsid w:val="4A9A3470"/>
    <w:rsid w:val="4E58223B"/>
    <w:rsid w:val="4EFD5600"/>
    <w:rsid w:val="4FAC1D5A"/>
    <w:rsid w:val="4FBC522F"/>
    <w:rsid w:val="50A857A6"/>
    <w:rsid w:val="5137310B"/>
    <w:rsid w:val="5149202C"/>
    <w:rsid w:val="51B7343A"/>
    <w:rsid w:val="53562E86"/>
    <w:rsid w:val="537216D6"/>
    <w:rsid w:val="53920B01"/>
    <w:rsid w:val="54294F47"/>
    <w:rsid w:val="54335BF2"/>
    <w:rsid w:val="544A2DC9"/>
    <w:rsid w:val="550A00FD"/>
    <w:rsid w:val="55A577B7"/>
    <w:rsid w:val="55B569F2"/>
    <w:rsid w:val="55B8405C"/>
    <w:rsid w:val="562848DF"/>
    <w:rsid w:val="564A29DC"/>
    <w:rsid w:val="56EE45F7"/>
    <w:rsid w:val="57B23613"/>
    <w:rsid w:val="5804253D"/>
    <w:rsid w:val="58A64AEB"/>
    <w:rsid w:val="58C5485D"/>
    <w:rsid w:val="58E3739B"/>
    <w:rsid w:val="596417C8"/>
    <w:rsid w:val="5A523E42"/>
    <w:rsid w:val="5B3E0EEC"/>
    <w:rsid w:val="5BA879C4"/>
    <w:rsid w:val="5C4C5719"/>
    <w:rsid w:val="5D941718"/>
    <w:rsid w:val="5F343C44"/>
    <w:rsid w:val="5FD9187D"/>
    <w:rsid w:val="60595C65"/>
    <w:rsid w:val="608C6BD2"/>
    <w:rsid w:val="60C1275F"/>
    <w:rsid w:val="61054A93"/>
    <w:rsid w:val="62AA3D7A"/>
    <w:rsid w:val="62F432F4"/>
    <w:rsid w:val="62F84AD7"/>
    <w:rsid w:val="638C152E"/>
    <w:rsid w:val="63A90460"/>
    <w:rsid w:val="64241777"/>
    <w:rsid w:val="645A194B"/>
    <w:rsid w:val="64671171"/>
    <w:rsid w:val="655F4388"/>
    <w:rsid w:val="65D77011"/>
    <w:rsid w:val="65FC2020"/>
    <w:rsid w:val="66DC6E07"/>
    <w:rsid w:val="673C3D0C"/>
    <w:rsid w:val="67EF6AE0"/>
    <w:rsid w:val="681311FB"/>
    <w:rsid w:val="681A3CB6"/>
    <w:rsid w:val="68425A00"/>
    <w:rsid w:val="689D789A"/>
    <w:rsid w:val="69893D4C"/>
    <w:rsid w:val="6A020B77"/>
    <w:rsid w:val="6A7C295F"/>
    <w:rsid w:val="6AB13ECB"/>
    <w:rsid w:val="6B773A4D"/>
    <w:rsid w:val="6CEE359C"/>
    <w:rsid w:val="6CFF31E9"/>
    <w:rsid w:val="6E8B2454"/>
    <w:rsid w:val="6F063902"/>
    <w:rsid w:val="6F95017F"/>
    <w:rsid w:val="7000120A"/>
    <w:rsid w:val="701F7367"/>
    <w:rsid w:val="70511501"/>
    <w:rsid w:val="707127FD"/>
    <w:rsid w:val="71773C56"/>
    <w:rsid w:val="71B1418F"/>
    <w:rsid w:val="7204014C"/>
    <w:rsid w:val="725D4480"/>
    <w:rsid w:val="72B67150"/>
    <w:rsid w:val="73117E08"/>
    <w:rsid w:val="73977F9E"/>
    <w:rsid w:val="74512647"/>
    <w:rsid w:val="75D17851"/>
    <w:rsid w:val="76286424"/>
    <w:rsid w:val="76602978"/>
    <w:rsid w:val="76BE662A"/>
    <w:rsid w:val="76D257E2"/>
    <w:rsid w:val="771E02BF"/>
    <w:rsid w:val="771F14CD"/>
    <w:rsid w:val="77236E09"/>
    <w:rsid w:val="772A1545"/>
    <w:rsid w:val="77410D75"/>
    <w:rsid w:val="77721A61"/>
    <w:rsid w:val="77A50B2A"/>
    <w:rsid w:val="790F7BAF"/>
    <w:rsid w:val="794A36CE"/>
    <w:rsid w:val="795520DE"/>
    <w:rsid w:val="7A8658C6"/>
    <w:rsid w:val="7A8D1EC1"/>
    <w:rsid w:val="7C557D24"/>
    <w:rsid w:val="7CD36CBB"/>
    <w:rsid w:val="7DD15684"/>
    <w:rsid w:val="7DD46ACA"/>
    <w:rsid w:val="7DF55331"/>
    <w:rsid w:val="7F305B86"/>
    <w:rsid w:val="7F96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styleId="3">
    <w:name w:val="toc 5"/>
    <w:basedOn w:val="1"/>
    <w:next w:val="1"/>
    <w:qFormat/>
    <w:uiPriority w:val="0"/>
    <w:pPr>
      <w:ind w:left="1680" w:leftChars="800"/>
    </w:pPr>
    <w:rPr>
      <w:rFonts w:eastAsia="方正仿宋_GBK"/>
      <w:sz w:val="32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font31"/>
    <w:qFormat/>
    <w:uiPriority w:val="0"/>
    <w:rPr>
      <w:rFonts w:hint="eastAsia" w:ascii="汉仪报宋简" w:hAnsi="汉仪报宋简" w:eastAsia="汉仪报宋简" w:cs="汉仪报宋简"/>
      <w:color w:val="000000"/>
      <w:sz w:val="21"/>
      <w:szCs w:val="21"/>
      <w:u w:val="none"/>
      <w:vertAlign w:val="superscript"/>
    </w:rPr>
  </w:style>
  <w:style w:type="character" w:customStyle="1" w:styleId="8">
    <w:name w:val="font01"/>
    <w:qFormat/>
    <w:uiPriority w:val="0"/>
    <w:rPr>
      <w:rFonts w:hint="eastAsia" w:ascii="汉仪报宋简" w:hAnsi="汉仪报宋简" w:eastAsia="汉仪报宋简" w:cs="汉仪报宋简"/>
      <w:color w:val="000000"/>
      <w:sz w:val="21"/>
      <w:szCs w:val="21"/>
      <w:u w:val="none"/>
    </w:rPr>
  </w:style>
  <w:style w:type="character" w:customStyle="1" w:styleId="9">
    <w:name w:val="font2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chart" Target="charts/chart3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Administrator\Desktop\2018-2020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C:\Users\Administrator\Desktop\2018-2020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ColorStyle" Target="colors3.xml"/><Relationship Id="rId2" Type="http://schemas.microsoft.com/office/2011/relationships/chartStyle" Target="style3.xml"/><Relationship Id="rId1" Type="http://schemas.openxmlformats.org/officeDocument/2006/relationships/oleObject" Target="file:///d:\Documents\WXWork\1688855000313718\Cache\File\2023-02\11&#22478;&#20065;&#23621;&#27665;&#25910;&#25903;(1)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sz="1200">
                <a:solidFill>
                  <a:sysClr val="windowText" lastClr="000000"/>
                </a:solidFill>
                <a:latin typeface="方正小标宋_GBK" panose="03000509000000000000" charset="-122"/>
                <a:ea typeface="方正小标宋_GBK" panose="03000509000000000000" charset="-122"/>
                <a:cs typeface="方正小标宋_GBK" panose="03000509000000000000" charset="-122"/>
              </a:rPr>
              <a:t>图1    2018―2022年全县地区生产总值及其增长速度</a:t>
            </a:r>
            <a:endParaRPr sz="1200">
              <a:solidFill>
                <a:sysClr val="windowText" lastClr="000000"/>
              </a:solidFill>
              <a:latin typeface="方正小标宋_GBK" panose="03000509000000000000" charset="-122"/>
              <a:ea typeface="方正小标宋_GBK" panose="03000509000000000000" charset="-122"/>
              <a:cs typeface="方正小标宋_GBK" panose="03000509000000000000" charset="-122"/>
            </a:endParaRPr>
          </a:p>
        </c:rich>
      </c:tx>
      <c:layout>
        <c:manualLayout>
          <c:xMode val="edge"/>
          <c:yMode val="edge"/>
          <c:x val="0.118611111111111"/>
          <c:y val="0.0208333333333333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'[2018-2020.xlsx]结果'!$B$26</c:f>
              <c:strCache>
                <c:ptCount val="1"/>
                <c:pt idx="0">
                  <c:v>全县地区生产总值（GDP）（万元）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.00833333333333333"/>
                  <c:y val="-0.027777777777777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'[2018-2020.xlsx]结果'!$A$27:$A$31</c:f>
              <c:strCache>
                <c:ptCount val="5"/>
                <c:pt idx="0">
                  <c:v>2018年</c:v>
                </c:pt>
                <c:pt idx="1">
                  <c:v>2019年</c:v>
                </c:pt>
                <c:pt idx="2">
                  <c:v>2020年</c:v>
                </c:pt>
                <c:pt idx="3">
                  <c:v>2021年</c:v>
                </c:pt>
                <c:pt idx="4">
                  <c:v>2022年</c:v>
                </c:pt>
              </c:strCache>
            </c:strRef>
          </c:cat>
          <c:val>
            <c:numRef>
              <c:f>'[2018-2020.xlsx]结果'!$B$27:$B$31</c:f>
              <c:numCache>
                <c:formatCode>0</c:formatCode>
                <c:ptCount val="5"/>
                <c:pt idx="0">
                  <c:v>955539</c:v>
                </c:pt>
                <c:pt idx="1" c:formatCode="General">
                  <c:v>1033301</c:v>
                </c:pt>
                <c:pt idx="2" c:formatCode="General">
                  <c:v>1109522</c:v>
                </c:pt>
                <c:pt idx="3" c:formatCode="General">
                  <c:v>1195977</c:v>
                </c:pt>
                <c:pt idx="4" c:formatCode="General">
                  <c:v>1238761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55797384"/>
        <c:axId val="184602840"/>
      </c:barChart>
      <c:lineChart>
        <c:grouping val="standard"/>
        <c:varyColors val="0"/>
        <c:ser>
          <c:idx val="1"/>
          <c:order val="1"/>
          <c:tx>
            <c:strRef>
              <c:f>'[2018-2020.xlsx]结果'!$C$26</c:f>
              <c:strCache>
                <c:ptCount val="1"/>
                <c:pt idx="0">
                  <c:v>增速（%）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1"/>
              <c:layout>
                <c:manualLayout>
                  <c:x val="0.00416666666666667"/>
                  <c:y val="0.034722222222222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'[2018-2020.xlsx]结果'!$A$27:$A$31</c:f>
              <c:strCache>
                <c:ptCount val="5"/>
                <c:pt idx="0">
                  <c:v>2018年</c:v>
                </c:pt>
                <c:pt idx="1">
                  <c:v>2019年</c:v>
                </c:pt>
                <c:pt idx="2">
                  <c:v>2020年</c:v>
                </c:pt>
                <c:pt idx="3">
                  <c:v>2021年</c:v>
                </c:pt>
                <c:pt idx="4">
                  <c:v>2022年</c:v>
                </c:pt>
              </c:strCache>
            </c:strRef>
          </c:cat>
          <c:val>
            <c:numRef>
              <c:f>'[2018-2020.xlsx]结果'!$C$27:$C$31</c:f>
              <c:numCache>
                <c:formatCode>0.0_ </c:formatCode>
                <c:ptCount val="5"/>
                <c:pt idx="0">
                  <c:v>8.5</c:v>
                </c:pt>
                <c:pt idx="1">
                  <c:v>7</c:v>
                </c:pt>
                <c:pt idx="2">
                  <c:v>2.7</c:v>
                </c:pt>
                <c:pt idx="3">
                  <c:v>6.7</c:v>
                </c:pt>
                <c:pt idx="4">
                  <c:v>2.7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0"/>
        <c:smooth val="0"/>
        <c:axId val="485346027"/>
        <c:axId val="763184291"/>
      </c:lineChart>
      <c:catAx>
        <c:axId val="555797384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84602840"/>
        <c:crosses val="autoZero"/>
        <c:auto val="1"/>
        <c:lblAlgn val="ctr"/>
        <c:lblOffset val="100"/>
        <c:noMultiLvlLbl val="0"/>
      </c:catAx>
      <c:valAx>
        <c:axId val="184602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55797384"/>
        <c:crosses val="autoZero"/>
        <c:crossBetween val="between"/>
      </c:valAx>
      <c:catAx>
        <c:axId val="485346027"/>
        <c:scaling>
          <c:orientation val="minMax"/>
        </c:scaling>
        <c:delete val="1"/>
        <c:axPos val="b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763184291"/>
        <c:crosses val="autoZero"/>
        <c:auto val="1"/>
        <c:lblAlgn val="ctr"/>
        <c:lblOffset val="100"/>
        <c:noMultiLvlLbl val="0"/>
      </c:catAx>
      <c:valAx>
        <c:axId val="763184291"/>
        <c:scaling>
          <c:orientation val="minMax"/>
        </c:scaling>
        <c:delete val="0"/>
        <c:axPos val="r"/>
        <c:numFmt formatCode="0.0_ 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85346027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sz="1200">
                <a:solidFill>
                  <a:sysClr val="windowText" lastClr="000000"/>
                </a:solidFill>
                <a:latin typeface="方正小标宋_GBK" panose="03000509000000000000" charset="-122"/>
                <a:ea typeface="方正小标宋_GBK" panose="03000509000000000000" charset="-122"/>
                <a:cs typeface="方正小标宋_GBK" panose="03000509000000000000" charset="-122"/>
              </a:rPr>
              <a:t>图2　2018―2022年三次产业增加值占全县地区生产总值比重</a:t>
            </a:r>
            <a:endParaRPr sz="1200">
              <a:solidFill>
                <a:sysClr val="windowText" lastClr="000000"/>
              </a:solidFill>
              <a:latin typeface="方正小标宋_GBK" panose="03000509000000000000" charset="-122"/>
              <a:ea typeface="方正小标宋_GBK" panose="03000509000000000000" charset="-122"/>
              <a:cs typeface="方正小标宋_GBK" panose="03000509000000000000" charset="-122"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'[2018-2020.xlsx]结果'!$B$34</c:f>
              <c:strCache>
                <c:ptCount val="1"/>
                <c:pt idx="0">
                  <c:v>第一产业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'[2018-2020.xlsx]结果'!$A$35:$A$39</c:f>
              <c:strCache>
                <c:ptCount val="5"/>
                <c:pt idx="0">
                  <c:v>2018年</c:v>
                </c:pt>
                <c:pt idx="1">
                  <c:v>2019年</c:v>
                </c:pt>
                <c:pt idx="2">
                  <c:v>2020年</c:v>
                </c:pt>
                <c:pt idx="3">
                  <c:v>2021年</c:v>
                </c:pt>
                <c:pt idx="4">
                  <c:v>2022年</c:v>
                </c:pt>
              </c:strCache>
            </c:strRef>
          </c:cat>
          <c:val>
            <c:numRef>
              <c:f>'[2018-2020.xlsx]结果'!$B$35:$B$39</c:f>
              <c:numCache>
                <c:formatCode>0.0_ </c:formatCode>
                <c:ptCount val="5"/>
                <c:pt idx="0">
                  <c:v>20.8</c:v>
                </c:pt>
                <c:pt idx="1">
                  <c:v>22.5</c:v>
                </c:pt>
                <c:pt idx="2">
                  <c:v>24.1</c:v>
                </c:pt>
                <c:pt idx="3">
                  <c:v>22.5</c:v>
                </c:pt>
                <c:pt idx="4">
                  <c:v>22.3</c:v>
                </c:pt>
              </c:numCache>
            </c:numRef>
          </c:val>
        </c:ser>
        <c:ser>
          <c:idx val="1"/>
          <c:order val="1"/>
          <c:tx>
            <c:strRef>
              <c:f>'[2018-2020.xlsx]结果'!$C$34</c:f>
              <c:strCache>
                <c:ptCount val="1"/>
                <c:pt idx="0">
                  <c:v>第二产业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'[2018-2020.xlsx]结果'!$A$35:$A$39</c:f>
              <c:strCache>
                <c:ptCount val="5"/>
                <c:pt idx="0">
                  <c:v>2018年</c:v>
                </c:pt>
                <c:pt idx="1">
                  <c:v>2019年</c:v>
                </c:pt>
                <c:pt idx="2">
                  <c:v>2020年</c:v>
                </c:pt>
                <c:pt idx="3">
                  <c:v>2021年</c:v>
                </c:pt>
                <c:pt idx="4">
                  <c:v>2022年</c:v>
                </c:pt>
              </c:strCache>
            </c:strRef>
          </c:cat>
          <c:val>
            <c:numRef>
              <c:f>'[2018-2020.xlsx]结果'!$C$35:$C$39</c:f>
              <c:numCache>
                <c:formatCode>0.0_ </c:formatCode>
                <c:ptCount val="5"/>
                <c:pt idx="0">
                  <c:v>24.8</c:v>
                </c:pt>
                <c:pt idx="1">
                  <c:v>22.8</c:v>
                </c:pt>
                <c:pt idx="2">
                  <c:v>22.9</c:v>
                </c:pt>
                <c:pt idx="3">
                  <c:v>23.4</c:v>
                </c:pt>
                <c:pt idx="4">
                  <c:v>24</c:v>
                </c:pt>
              </c:numCache>
            </c:numRef>
          </c:val>
        </c:ser>
        <c:ser>
          <c:idx val="2"/>
          <c:order val="2"/>
          <c:tx>
            <c:strRef>
              <c:f>'[2018-2020.xlsx]结果'!$D$34</c:f>
              <c:strCache>
                <c:ptCount val="1"/>
                <c:pt idx="0">
                  <c:v>第三产业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'[2018-2020.xlsx]结果'!$A$35:$A$39</c:f>
              <c:strCache>
                <c:ptCount val="5"/>
                <c:pt idx="0">
                  <c:v>2018年</c:v>
                </c:pt>
                <c:pt idx="1">
                  <c:v>2019年</c:v>
                </c:pt>
                <c:pt idx="2">
                  <c:v>2020年</c:v>
                </c:pt>
                <c:pt idx="3">
                  <c:v>2021年</c:v>
                </c:pt>
                <c:pt idx="4">
                  <c:v>2022年</c:v>
                </c:pt>
              </c:strCache>
            </c:strRef>
          </c:cat>
          <c:val>
            <c:numRef>
              <c:f>'[2018-2020.xlsx]结果'!$D$35:$D$39</c:f>
              <c:numCache>
                <c:formatCode>0.0_ </c:formatCode>
                <c:ptCount val="5"/>
                <c:pt idx="0">
                  <c:v>54.4</c:v>
                </c:pt>
                <c:pt idx="1">
                  <c:v>54.7</c:v>
                </c:pt>
                <c:pt idx="2">
                  <c:v>53</c:v>
                </c:pt>
                <c:pt idx="3">
                  <c:v>54.1</c:v>
                </c:pt>
                <c:pt idx="4">
                  <c:v>53.7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100"/>
        <c:axId val="273360721"/>
        <c:axId val="922793991"/>
      </c:barChart>
      <c:catAx>
        <c:axId val="273360721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922793991"/>
        <c:crosses val="autoZero"/>
        <c:auto val="1"/>
        <c:lblAlgn val="ctr"/>
        <c:lblOffset val="100"/>
        <c:noMultiLvlLbl val="0"/>
      </c:catAx>
      <c:valAx>
        <c:axId val="92279399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7336072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>
                <a:solidFill>
                  <a:schemeClr val="tx1"/>
                </a:solidFill>
                <a:latin typeface="方正小标宋_GBK" panose="03000509000000000000" charset="-122"/>
                <a:ea typeface="方正小标宋_GBK" panose="03000509000000000000" charset="-122"/>
                <a:cs typeface="方正小标宋_GBK" panose="03000509000000000000" charset="-122"/>
              </a:rPr>
              <a:t>图</a:t>
            </a:r>
            <a:r>
              <a:rPr lang="en-US" altLang="zh-CN">
                <a:solidFill>
                  <a:schemeClr val="tx1"/>
                </a:solidFill>
                <a:latin typeface="方正小标宋_GBK" panose="03000509000000000000" charset="-122"/>
                <a:ea typeface="方正小标宋_GBK" panose="03000509000000000000" charset="-122"/>
                <a:cs typeface="方正小标宋_GBK" panose="03000509000000000000" charset="-122"/>
              </a:rPr>
              <a:t>3      </a:t>
            </a:r>
            <a:r>
              <a:rPr>
                <a:solidFill>
                  <a:schemeClr val="tx1"/>
                </a:solidFill>
                <a:latin typeface="方正小标宋_GBK" panose="03000509000000000000" charset="-122"/>
                <a:ea typeface="方正小标宋_GBK" panose="03000509000000000000" charset="-122"/>
                <a:cs typeface="方正小标宋_GBK" panose="03000509000000000000" charset="-122"/>
              </a:rPr>
              <a:t>2022年全县居民人均消费支出及其构成</a:t>
            </a:r>
            <a:endParaRPr>
              <a:solidFill>
                <a:schemeClr val="tx1"/>
              </a:solidFill>
              <a:latin typeface="方正小标宋_GBK" panose="03000509000000000000" charset="-122"/>
              <a:ea typeface="方正小标宋_GBK" panose="03000509000000000000" charset="-122"/>
              <a:cs typeface="方正小标宋_GBK" panose="03000509000000000000" charset="-122"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spPr/>
          <c:explosion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/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t>2.0</a:t>
                    </a:r>
                    <a:r>
                      <a:rPr lang="en-US" altLang="zh-CN"/>
                      <a:t>%</a:t>
                    </a:r>
                    <a:endParaRPr lang="en-US" altLang="zh-CN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0507662597271406"/>
                  <c:y val="0.141834988166872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t>7.5%</a:t>
                    </a:r>
                  </a:p>
                  <a:p>
                    <a:pPr defTabSz="914400">
                      <a:defRPr lang="zh-CN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0876388888888889"/>
                      <c:h val="0.128009259259259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0.0729166666666667"/>
                  <c:y val="0.0381944444444444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t>6.6%</a:t>
                    </a:r>
                  </a:p>
                  <a:p>
                    <a:pPr defTabSz="914400">
                      <a:defRPr lang="zh-CN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t>8.4%</a:t>
                    </a:r>
                  </a:p>
                  <a:p>
                    <a:pPr defTabSz="914400">
                      <a:defRPr lang="zh-CN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0.00585333548312494"/>
                  <c:y val="-0.118236925499544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t>6.5%</a:t>
                    </a:r>
                  </a:p>
                  <a:p>
                    <a:pPr defTabSz="914400">
                      <a:defRPr lang="zh-CN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0733333333333333"/>
                      <c:h val="0.136111111111111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0.0727453162260184"/>
                  <c:y val="-0.0995074045490626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t>9.4%</a:t>
                    </a:r>
                  </a:p>
                  <a:p>
                    <a:pPr defTabSz="914400">
                      <a:defRPr lang="zh-CN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0936111111111111"/>
                      <c:h val="0.128240740740741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0.0835314934280715"/>
                  <c:y val="0.0396493910367412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t>6.8%</a:t>
                    </a:r>
                  </a:p>
                  <a:p>
                    <a:pPr defTabSz="914400">
                      <a:defRPr lang="zh-CN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0840277777777778"/>
                      <c:h val="0.120833333333333"/>
                    </c:manualLayout>
                  </c15:layout>
                </c:ext>
              </c:extLst>
            </c:dLbl>
            <c:dLbl>
              <c:idx val="7"/>
              <c:layout/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t>10.2%</a:t>
                    </a:r>
                  </a:p>
                  <a:p>
                    <a:pPr defTabSz="914400">
                      <a:defRPr lang="zh-CN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'[11城乡居民收支(1).xls]城乡居民支出'!$A$7:$B$14</c:f>
              <c:multiLvlStrCache>
                <c:ptCount val="8"/>
                <c:lvl>
                  <c:pt idx="0" c:formatCode="0_ ">
                    <c:v>5554元</c:v>
                  </c:pt>
                  <c:pt idx="1" c:formatCode="0_ ">
                    <c:v>1134元</c:v>
                  </c:pt>
                  <c:pt idx="2" c:formatCode="0_ ">
                    <c:v>3552元</c:v>
                  </c:pt>
                  <c:pt idx="3" c:formatCode="0_ ">
                    <c:v>1381元</c:v>
                  </c:pt>
                  <c:pt idx="4" c:formatCode="0_ ">
                    <c:v>1300元</c:v>
                  </c:pt>
                  <c:pt idx="5" c:formatCode="0_ ">
                    <c:v>1050元</c:v>
                  </c:pt>
                  <c:pt idx="6" c:formatCode="0_ ">
                    <c:v>958元</c:v>
                  </c:pt>
                  <c:pt idx="7" c:formatCode="0_ ">
                    <c:v>252元</c:v>
                  </c:pt>
                </c:lvl>
                <c:lvl>
                  <c:pt idx="0" c:formatCode="0_ ">
                    <c:v>食品烟酒</c:v>
                  </c:pt>
                  <c:pt idx="1" c:formatCode="0_ ">
                    <c:v>衣着</c:v>
                  </c:pt>
                  <c:pt idx="2" c:formatCode="0_ ">
                    <c:v>居住</c:v>
                  </c:pt>
                  <c:pt idx="3" c:formatCode="0_ ">
                    <c:v>生活用品及服务</c:v>
                  </c:pt>
                  <c:pt idx="4" c:formatCode="0_ ">
                    <c:v>交通通信</c:v>
                  </c:pt>
                  <c:pt idx="5" c:formatCode="0_ ">
                    <c:v>教育文化娱乐</c:v>
                  </c:pt>
                  <c:pt idx="6" c:formatCode="0_ ">
                    <c:v>医疗保健</c:v>
                  </c:pt>
                  <c:pt idx="7" c:formatCode="0_ ">
                    <c:v>其他用品和服务</c:v>
                  </c:pt>
                </c:lvl>
              </c:multiLvlStrCache>
            </c:multiLvlStrRef>
          </c:cat>
          <c:val>
            <c:numRef>
              <c:f>'[11城乡居民收支(1).xls]城乡居民支出'!$C$7:$C$14</c:f>
              <c:numCache>
                <c:formatCode>0.0_ </c:formatCode>
                <c:ptCount val="8"/>
                <c:pt idx="0">
                  <c:v>2.04594091441324</c:v>
                </c:pt>
                <c:pt idx="1">
                  <c:v>7.48740108714516</c:v>
                </c:pt>
                <c:pt idx="2">
                  <c:v>6.58042490382273</c:v>
                </c:pt>
                <c:pt idx="3">
                  <c:v>8.35669160431025</c:v>
                </c:pt>
                <c:pt idx="4">
                  <c:v>6.53147203225968</c:v>
                </c:pt>
                <c:pt idx="5">
                  <c:v>9.35464961848878</c:v>
                </c:pt>
                <c:pt idx="6">
                  <c:v>6.75433604131641</c:v>
                </c:pt>
                <c:pt idx="7">
                  <c:v>10.1877622243403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2023-02-23T00:28:00Z</dcterms:created>
  <dc:creator>Administrator</dc:creator>
  <cp:lastModifiedBy>Administrator</cp:lastModifiedBy>
  <cp:lastPrinted>2023-03-23T09:49:00Z</cp:lastPrinted>
  <dcterms:modified xsi:type="dcterms:W3CDTF">2023-03-30T08:53:18Z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