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64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</w:rPr>
        <w:t>巫溪县2024年国民经济和社会发展统计公报</w:t>
      </w:r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</w:rPr>
        <w:t>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64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96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2024年是中华人民共和国成立75周年，是实现“十四五”规划目标任务的关键一年。面对复杂严峻的外部环境和国内经济运行中的新情况新问题，在以习近平同志为核心的党中央坚强领导下，全县上下全面贯彻落实党的二十大和二十届二中、三中全会精神，深化落实党中央、国务院决策部署和市委、市政府工作要求，坚持稳中求进工作总基调，完整准确全面贯彻新发展理念，加快构建新发展格局，着力推动高质量发展，国民经济运行总体平稳、稳中有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96" w:lineRule="atLeast"/>
        <w:ind w:left="0" w:right="0" w:firstLine="640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一、综合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96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初步核算，全年全县实现地区生产总值155.3亿元，同比增长5.2%。按产业分，第一产业增加值28.9亿元，增长1.3%；第二产业增加值37.5亿元，增长5.7%；第三产业增加值89.0亿元，增长6.5%。三次产业结构比为18.6：24.1：57.3。全年人均地区生产总值达到41227元，同比增长6.2%。民营经济增加值101.4亿元，增长5.2%，占全县经济总量的65.3%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年末，全县常住人口37.67万人。其中，城镇常住人口16.14万人。常住人口城镇化率为42.85%，比上年末提高0.62个百分点。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全年出生人口2662人，出生率为7.07‰；死亡人口3825人，死亡率为10.15‰；人口自然增长率为-3.08‰。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城镇新增就业3079人，同比增长1.2%。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96" w:lineRule="atLeast"/>
        <w:ind w:left="0" w:right="0" w:firstLine="64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二、农业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全年全县农林牧渔业总产值47.2亿元，同比增长1.8%。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年粮食播种面积88.6万亩，同比增长0.3%。粮食综合单产273.7公斤/亩，同比增长0.6%。全年粮食产量24.2万吨，同比增长1.0%。其中，夏粮产量7.7万吨，增长1.5%；秋粮产量16.5万吨，增长0.7%。全年谷物产量10.4万吨，同比增长0.6%。其中，稻谷产量1.2万吨，下降2.9%；玉米产量9.1万吨，增长1.1%；小麦产量23.3吨，下降77.6%。油料产量1.5万吨，增长2.7%。茶叶产量920.7吨，增产0.3%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drawing>
          <wp:inline distT="0" distB="0" distL="114300" distR="114300">
            <wp:extent cx="5372100" cy="2705100"/>
            <wp:effectExtent l="0" t="0" r="0" b="0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全年猪肉产量4.8万吨，同比下降2.0%。牛肉产量0.1万吨，同比增长2.7%，禽肉产量0.4万吨，同比下降8.0%。年末生猪存栏29.8万头，同比下降16.4%；生猪出栏57.4万头，同比下降4.8%。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三、工业和建筑业  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   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全年实现工业增加值16.1亿元，同比增长4.0%。规模以上工业增加值同比增长7.5%。分门类看，采矿业下降9.8%，制造业增长8.5%，电力、热力、燃气及水生产和供应业下降2.3%。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全年建筑业增加值21.4亿元，同比增长7.2%。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四、服务业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年批发和零售业增加值14.3亿元，同比增长8.8%；交通运输、仓储和邮政业增加值1.5亿元，同比增长11.6%；住宿和餐饮业增加值5.5亿元，同比增长5.4%；金融业增加值9.4亿元，同比增长1.0%；房地产业增加值8.8亿元，同比增长1.0%；其他服务业增加值47.3亿元，同比增长7.9%。全年规模以上服务业企业营业收入3.1亿元，同比增长8.7%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全年货物运输总量417万吨，同比增长0.45%，货物运输周转量38679万吨公里，同比增长4.6%。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全年旅客运输总量147万人次，同比下降4.5%。旅客运输周转量8920万人公里，同比下降2.0%。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年末全县车辆保有量13.3万辆，同比增加0.3%。其中载客汽车6.3万辆，载货汽车0.9万辆，摩托车6.2万辆，新能源车0.3万辆。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全年完成邮政行业业务总量1.1亿元，同比增长8.2%。全年完成邮政函件业务21197件，包裹业务443706件。全年完成邮政行业业务收入1.1亿元，同比下降5.9%。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全年完成电信业务总量1.4亿元，同比增长11.1%。全县固定电话用户50844户，移动电话用户170660户。所有互联网用户121892户。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五、国内贸易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全年社会消费品零售总额84.6亿元，同比增长3.7%。按经营地统计，城镇消费品零售额增长5.3%，乡村消费品零售额增长0.9%。按限额以上单位消费类型分，商品零售36.5亿元，增长4.8%；餐饮收入3.8亿元，增长8.4%。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    在限额以上单位商品零售额中，粮油、食品类商品零售额同比下降8.2%，饮料类商品增长64.6%，烟酒类商品增长19.3%，服装、鞋帽、针纺织品类商品增长19.7%，化妆品类商品增长157.4%，金银珠宝类商品增长26.9%，日用品类商品下降9.6%，体育、娱乐用品类商品增长7.7%，家用电器和音像器材类商品增长4.8%，中西药品类商品增长23.9%，文化办公用品类商品增长12.1%，家具类商品增长11.1%，通讯器材类商品增长27.3%，建筑及装潢材料类商品增长3.7%，石油及制品类商品增长5.8%，汽车类商品下降7.6%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六、固定资产投资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年全县固定资产投资同比增长5.6%。其中，民间投资（不含房地产）增长126.3%。分产业看，第一产业下降23.0%；第二产业增长60.0%；第三产业增长2.3%。分领域看，工业投资增长60.0%；基础设施投资增长3.1%；房地产投资11.8亿元，同比下降26.2%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七、对外经济</w:t>
      </w:r>
    </w:p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85" w:lineRule="atLeast"/>
        <w:ind w:left="0" w:right="0" w:firstLine="645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全年货物进出口总额288.23万元，同比增长199.4%。建成并投入使用出口基地3个，新企业获批进出口资质9家。从物流补贴、参展补贴等方面支持资金共计25万元。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八、财政金融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全年全县一般公共预算收入13.5亿元，同比增长14.6%。其中税收收入4.2亿元，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增长2.2%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。一般公共预算支出完成68.2亿元，增长35.4%。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年末全县金融机构本外币存款余额295.0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元，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同比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增长5.9%，其中，人民币存款余额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295.0亿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元，增长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5.9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%。金融机构本外币贷款余额209.1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元，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同比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增长5.8%，其中，人民币贷款余额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209.1亿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元，增长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5.8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全年保费总收入5.9亿元。其中，财产保险收入2.5亿元；人身保险收入3.4亿元。全年赔付各类保险金3.5亿元，其中，财产保险赔付1.7亿元；人身保险赔付1.8亿元。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九、居民收入消费和社会保障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全县居民人均可支配收入23305元，同比增长5.7%。按常住地分，城镇居民人均可支配收入34637元，增长4.0%；农村居民人均可支配收入15021元，增长6.7%。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县居民人均消费支出16623元，同比增长4.9%。按常住地分，城镇居民人均消费支出21723元，增长3.7%；农村居民人均消费支出12896元，增长5.4%。全县居民恩格尔系数为35.2%，同比下降0.8个百分点，其中，城镇为33.5%，农村为37.2%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tbl>
      <w:tblPr>
        <w:tblStyle w:val="6"/>
        <w:tblW w:w="852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3025"/>
        <w:gridCol w:w="2792"/>
        <w:gridCol w:w="270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25" w:hRule="atLeast"/>
          <w:jc w:val="center"/>
        </w:trPr>
        <w:tc>
          <w:tcPr>
            <w:tcW w:w="83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表2  2024年居民人均可支配收入及其增长速度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80" w:hRule="atLeast"/>
          <w:jc w:val="center"/>
        </w:trPr>
        <w:tc>
          <w:tcPr>
            <w:tcW w:w="2949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/>
            <w:noWrap w:val="0"/>
            <w:tcMar>
              <w:top w:w="75" w:type="dxa"/>
              <w:left w:w="108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指标名称</w:t>
            </w:r>
          </w:p>
        </w:tc>
        <w:tc>
          <w:tcPr>
            <w:tcW w:w="2722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/>
            <w:noWrap w:val="0"/>
            <w:tcMar>
              <w:top w:w="75" w:type="dxa"/>
              <w:left w:w="108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绝对量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（元）</w:t>
            </w:r>
          </w:p>
        </w:tc>
        <w:tc>
          <w:tcPr>
            <w:tcW w:w="2203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E7E6E6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增幅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（%）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2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E7E6E6"/>
            <w:noWrap w:val="0"/>
            <w:tcMar>
              <w:top w:w="75" w:type="dxa"/>
              <w:left w:w="108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全体居民</w:t>
            </w:r>
          </w:p>
        </w:tc>
        <w:tc>
          <w:tcPr>
            <w:tcW w:w="2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 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2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E7E6E6"/>
            <w:noWrap w:val="0"/>
            <w:tcMar>
              <w:top w:w="75" w:type="dxa"/>
              <w:left w:w="108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人均可支配收入</w:t>
            </w:r>
          </w:p>
        </w:tc>
        <w:tc>
          <w:tcPr>
            <w:tcW w:w="2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23305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5.7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2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E7E6E6"/>
            <w:noWrap w:val="0"/>
            <w:tcMar>
              <w:top w:w="75" w:type="dxa"/>
              <w:left w:w="108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  其中：工资性收入</w:t>
            </w:r>
          </w:p>
        </w:tc>
        <w:tc>
          <w:tcPr>
            <w:tcW w:w="2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12702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6.0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2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E7E6E6"/>
            <w:noWrap w:val="0"/>
            <w:tcMar>
              <w:top w:w="75" w:type="dxa"/>
              <w:left w:w="108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       经营净收入</w:t>
            </w:r>
          </w:p>
        </w:tc>
        <w:tc>
          <w:tcPr>
            <w:tcW w:w="2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6297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5.1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2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E7E6E6"/>
            <w:noWrap w:val="0"/>
            <w:tcMar>
              <w:top w:w="75" w:type="dxa"/>
              <w:left w:w="108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       财产净收入</w:t>
            </w:r>
          </w:p>
        </w:tc>
        <w:tc>
          <w:tcPr>
            <w:tcW w:w="2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945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7.6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2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E7E6E6"/>
            <w:noWrap w:val="0"/>
            <w:tcMar>
              <w:top w:w="75" w:type="dxa"/>
              <w:left w:w="108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       转移净收入</w:t>
            </w:r>
          </w:p>
        </w:tc>
        <w:tc>
          <w:tcPr>
            <w:tcW w:w="2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3360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5.3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2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E7E6E6"/>
            <w:noWrap w:val="0"/>
            <w:tcMar>
              <w:top w:w="75" w:type="dxa"/>
              <w:left w:w="108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城镇居民</w:t>
            </w:r>
          </w:p>
        </w:tc>
        <w:tc>
          <w:tcPr>
            <w:tcW w:w="2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 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2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E7E6E6"/>
            <w:noWrap w:val="0"/>
            <w:tcMar>
              <w:top w:w="75" w:type="dxa"/>
              <w:left w:w="108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人均可支配收入</w:t>
            </w:r>
          </w:p>
        </w:tc>
        <w:tc>
          <w:tcPr>
            <w:tcW w:w="2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34637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4.0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2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E7E6E6"/>
            <w:noWrap w:val="0"/>
            <w:tcMar>
              <w:top w:w="75" w:type="dxa"/>
              <w:left w:w="108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  其中：工资性收入</w:t>
            </w:r>
          </w:p>
        </w:tc>
        <w:tc>
          <w:tcPr>
            <w:tcW w:w="2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23195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4.1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2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E7E6E6"/>
            <w:noWrap w:val="0"/>
            <w:tcMar>
              <w:top w:w="75" w:type="dxa"/>
              <w:left w:w="108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       经营净收入</w:t>
            </w:r>
          </w:p>
        </w:tc>
        <w:tc>
          <w:tcPr>
            <w:tcW w:w="2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5960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3.1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2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E7E6E6"/>
            <w:noWrap w:val="0"/>
            <w:tcMar>
              <w:top w:w="75" w:type="dxa"/>
              <w:left w:w="108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       财产净收入</w:t>
            </w:r>
          </w:p>
        </w:tc>
        <w:tc>
          <w:tcPr>
            <w:tcW w:w="2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1715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6.5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2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E7E6E6"/>
            <w:noWrap w:val="0"/>
            <w:tcMar>
              <w:top w:w="75" w:type="dxa"/>
              <w:left w:w="108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       转移净收入</w:t>
            </w:r>
          </w:p>
        </w:tc>
        <w:tc>
          <w:tcPr>
            <w:tcW w:w="2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3768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3.5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2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E7E6E6"/>
            <w:noWrap w:val="0"/>
            <w:tcMar>
              <w:top w:w="75" w:type="dxa"/>
              <w:left w:w="108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农村居民</w:t>
            </w:r>
          </w:p>
        </w:tc>
        <w:tc>
          <w:tcPr>
            <w:tcW w:w="2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 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2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E7E6E6"/>
            <w:noWrap w:val="0"/>
            <w:tcMar>
              <w:top w:w="75" w:type="dxa"/>
              <w:left w:w="108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人均可支配收入</w:t>
            </w:r>
          </w:p>
        </w:tc>
        <w:tc>
          <w:tcPr>
            <w:tcW w:w="2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15021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6.7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2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E7E6E6"/>
            <w:noWrap w:val="0"/>
            <w:tcMar>
              <w:top w:w="75" w:type="dxa"/>
              <w:left w:w="108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  其中：工资性收入</w:t>
            </w:r>
          </w:p>
        </w:tc>
        <w:tc>
          <w:tcPr>
            <w:tcW w:w="2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5032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6.9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2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E7E6E6"/>
            <w:noWrap w:val="0"/>
            <w:tcMar>
              <w:top w:w="75" w:type="dxa"/>
              <w:left w:w="108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       经营净收入</w:t>
            </w:r>
          </w:p>
        </w:tc>
        <w:tc>
          <w:tcPr>
            <w:tcW w:w="2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6544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6.5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2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E7E6E6"/>
            <w:noWrap w:val="0"/>
            <w:tcMar>
              <w:top w:w="75" w:type="dxa"/>
              <w:left w:w="108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       财产净收入</w:t>
            </w:r>
          </w:p>
        </w:tc>
        <w:tc>
          <w:tcPr>
            <w:tcW w:w="2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383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6.0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294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/>
            <w:noWrap w:val="0"/>
            <w:tcMar>
              <w:top w:w="75" w:type="dxa"/>
              <w:left w:w="108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       转移净收入</w:t>
            </w:r>
          </w:p>
        </w:tc>
        <w:tc>
          <w:tcPr>
            <w:tcW w:w="272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3061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6.6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96" w:lineRule="atLeast"/>
        <w:ind w:right="0" w:firstLine="640" w:firstLineChars="20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县城镇职工基本养老保险参保人数9.6万人，同比增长2.6%。城乡居民基本养老保险参保人数 28.4万人，同比下降1.5%。城镇职工基本医疗保险参保人数3.9万人，城乡居民合作医疗保险参保人数39.7万人，基本医疗保险参保率98.0%。生育保险参保人数2.3万人，享受生育保险待遇2520人次。工伤保险参保人数4.1万人。失业保险参保人数1.5万人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96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末全县共有2162人享受城镇居民最低生活保障，15218人享受农村居民最低生活保障。城市特困人员救助供养人数80人，农村特困人员救助供养人数3028人。全年特殊人群参保人数为124189人，居民医保全额资助困难群众14971人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    城市居民最低生活保障标准为750元/月，农村居民最低生活保障标准为610元/月，特困人员救助供养标准为975元/月，孤儿补助标准1625元/月。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十、科学技术和教育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96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年科研机构数4个，科技项目立项15个，引进推广科技成果15个，授权专利数69件，授权发明专利3件。2023年，全县共投入研究与试验发展（R&amp;D）经费1516万元，研究与试验发展（R&amp;D）经费投入强度（与地区生产总值之比）为0.12%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96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全县共有普通高中教育学校4所，中等职业学校2所，普通初中15所，普通小学74所，幼儿园56所，特殊教育学校1所。高中阶段教育毛入学率 96.2 %，小学学龄儿童净入学率为99.5%。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十一、文化旅游、卫生健康和体育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96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全年文化及相关产业增加值3.1亿元，同比增长6.6%，占地区生产总值比重为2.0%。全县共有博物馆2个，公共图书馆1个，文化站32个，体育馆1个。公共图书馆总藏量28.2万册，文化事业经费2232.8万元。 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96" w:lineRule="atLeast"/>
        <w:ind w:left="0" w:right="0" w:firstLine="48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年旅游及相关产业增加值7.7亿元，同比增长7.7%，占地区生产总值比重为4.9%。年末全县拥有国家A级景区14个，其中，4A级景区3个，3A级景区6个，2A级景区4个。全年入境旅游者269人次，增长4.7%；国内旅游者1343.5万人次，增长15.6%；国内接待游客总花费70.0亿元，增长16.6%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96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末全县共有各级各类医疗卫生机构294个，其中，县属医疗机构4个，民营医院9个，疾控中心1个，妇幼保健院1个，乡镇卫生院及社区卫生服务中心32个，村卫生室247个。医疗卫生机构床位数2695张。其中，医院床位数1715张，卫生院床位980张。全县共有医疗卫生机构卫生技术人员2324人。其中，执业医师和执业助理医师注册人数为1080人，注册护士注册人数为1244人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96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年末，全县体育场地1895个，体育场地总面积117.9万平方米，人均体育场地面积3.1平方米。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十二、资源、环境和应急管理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96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全年规模以上工业综合能源消费量同比增长8.1%。全社会用电量增长3.5%。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96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全年水资源总量42.5亿立方米。总用水量4948万吨，同比下降0.7%。其中，生活用水增长2.8%。年平均降雨量1364毫米。全年总用水量4948万吨。治理水土流失面积110.2平方公里。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96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全县自然保护区1个。其中，国家级自然保护区1个。当年造林面积0.4万亩。全县森林覆盖率70.2%。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96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全年城区空气质量优良天数352天。城市空气质量达标率94.3%。饮用水源水质达标率100%，城区区域环境噪声平均值52.6分贝。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96" w:lineRule="atLeast"/>
        <w:ind w:left="0" w:right="0" w:firstLine="64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全年生产安全事故死亡人数8人（含道路运输事故次责及以下），同比下降11.1%。交通事故死亡人数1人，下降80%。未发生较大生产安全事故。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FF"/>
          <w:spacing w:val="0"/>
          <w:sz w:val="32"/>
          <w:szCs w:val="32"/>
        </w:rPr>
        <w:t>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注释：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1.本公报中2024年数据均为初步统计数，部分数据因四舍五入的原因，存在与分项合计不等的情况。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2.地区生产总值、三次产业及相关行业增加值、人均地区生产总值、农林牧渔业总产值绝对数按现价计算，增长速度按可比价计算。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3.其他服务业包括农、林、牧、渔专业及辅助性活动，信息传输、软件和信息技术服务业，租赁和商务服务业，科学研究和技术服务业，水利、环境和公共设施管理业，居民服务、修理和其他服务业，教育，卫生和社会工作，文化、体育和娱乐业，公共管理、社会保障和社会组织等行业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4.行业统计标准：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规模以上工业：年主营业务收入2000万元及以上的工业法人单位。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有资质的建筑业：有总承包和专业承包资质的建筑业法人单位。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限额以上批发和零售业：年主营业务收入2000万元及以上的批发业、年主营业务收入500万元及以上的零售业企业（单位）。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限额以上住宿和餐饮业：年主营业务收入200万元及以上的住宿和餐饮业企业（单位）。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房地产开发经营业：全部房地产开发经营业法人单位。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规模以上服务业：年营业收入2000万元及以上服务业法人单位。包括：交通运输、仓储和邮政业，信息传输、软件和信息技术服务业，水利、环境和公共设施管理业三个门类和卫生行业大类。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年营业收入1000万元及以上服务业法人单位。包括：租赁和商务服务业、科学研究和技术服务业、教育三个门类，以及物业管理、房地产中介服务、房地产租赁经营和其他房地产业四个行业大类。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年营业收入500万元及以上服务业法人单位。包括：居民服务、修理和其他服务业，文化、体育和娱乐业两个门类，以及社会工作行业大类。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474" w:bottom="1984" w:left="1587" w:header="720" w:footer="720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Noto Serif CJK JP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F9869"/>
    <w:rsid w:val="7B4FF8EA"/>
    <w:rsid w:val="E7EE9438"/>
    <w:rsid w:val="FBBCA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5.33333333333333</TotalTime>
  <ScaleCrop>false</ScaleCrop>
  <LinksUpToDate>false</LinksUpToDate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2018-11-27T09:47:00Z</dcterms:created>
  <dc:creator>guest</dc:creator>
  <cp:lastModifiedBy> </cp:lastModifiedBy>
  <dcterms:modified xsi:type="dcterms:W3CDTF">2025-05-21T17:05:02Z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