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巫溪县统计执法大队</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楷体" w:cs="Times New Roman"/>
          <w:b w:val="0"/>
          <w:bCs/>
          <w:sz w:val="32"/>
          <w:szCs w:val="32"/>
          <w:shd w:val="clear" w:color="auto" w:fill="FFFFFF"/>
        </w:rPr>
        <w:t>（一）职能职责</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rPr>
        <w:t>承担全县有关批发和零售业、住宿和餐饮业以及商品市场运行情况等统计调查事务性工作。</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承担全县有关交通运输、仓储业和邮政业、信息传输、计算机服务和软件业、金融业、租赁和商务服务业、水利和公共</w:t>
      </w:r>
      <w:r>
        <w:rPr>
          <w:rFonts w:hint="default" w:ascii="Times New Roman" w:hAnsi="Times New Roman" w:eastAsia="方正仿宋_GBK" w:cs="Times New Roman"/>
          <w:b w:val="0"/>
          <w:bCs/>
          <w:sz w:val="32"/>
          <w:szCs w:val="32"/>
          <w:lang w:val="en-US" w:eastAsia="zh-CN"/>
        </w:rPr>
        <w:t>设施管理业、居民服务业和其他服务业、公共管理和社会组织等服务业的统计工作调查事务性工作。</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3.承担全县有关人口、劳动工资统计调查事务性工作。</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4.承担全县有关社会发展、科技、环境等统计调查事务性工作。</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5.牵头完成国家新经济统计调查任务事务性工作。</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6.完成县统计局交办的其他工作。</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420"/>
        <w:jc w:val="left"/>
        <w:textAlignment w:val="auto"/>
        <w:rPr>
          <w:rFonts w:hint="default" w:ascii="Times New Roman" w:hAnsi="Times New Roman" w:eastAsia="楷体" w:cs="Times New Roman"/>
          <w:b w:val="0"/>
          <w:bCs/>
          <w:sz w:val="32"/>
          <w:szCs w:val="32"/>
        </w:rPr>
      </w:pPr>
      <w:r>
        <w:rPr>
          <w:rStyle w:val="10"/>
          <w:rFonts w:hint="default" w:ascii="Times New Roman" w:hAnsi="Times New Roman" w:eastAsia="楷体" w:cs="Times New Roman"/>
          <w:b w:val="0"/>
          <w:bCs/>
          <w:sz w:val="32"/>
          <w:szCs w:val="32"/>
          <w:shd w:val="clear" w:color="auto" w:fill="FFFFFF"/>
        </w:rPr>
        <w:t>（二）机构设置</w:t>
      </w:r>
    </w:p>
    <w:p>
      <w:pPr>
        <w:pStyle w:val="14"/>
        <w:keepNext w:val="0"/>
        <w:keepLines w:val="0"/>
        <w:pageBreakBefore w:val="0"/>
        <w:widowControl w:val="0"/>
        <w:tabs>
          <w:tab w:val="center" w:pos="4153"/>
          <w:tab w:val="left" w:pos="7275"/>
        </w:tabs>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巫溪县统计执法大队核定编制4名，年末</w:t>
      </w:r>
      <w:r>
        <w:rPr>
          <w:rFonts w:hint="default" w:ascii="Times New Roman" w:hAnsi="Times New Roman" w:eastAsia="仿宋_GB2312" w:cs="Times New Roman"/>
          <w:b w:val="0"/>
          <w:bCs/>
          <w:sz w:val="32"/>
          <w:szCs w:val="32"/>
          <w:lang w:val="en-US" w:eastAsia="zh-CN"/>
        </w:rPr>
        <w:t>实有人数3人。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napToGri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度收入总计51.86万元，支出总计</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万元。收、支与2023年度相比，增加51.86万元，增长100.0%，主要原因是本单位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度收入合计51.86万元，与2023年度相比，增加51.86万元，增长100.0%，主要原因是本单位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万元，与2023年度相比，增加51.86万元，增长100.0%，主要原因是本单位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Style w:val="10"/>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度财政拨款收、支总计51.86万元。与202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万元，与2023年度相比，增加51.86万元，增长100.0%。主要原因是本单位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。较年初预算数减少0.15万元，下降0.3%。主要原因是</w:t>
      </w:r>
      <w:r>
        <w:rPr>
          <w:rFonts w:hint="default" w:ascii="Times New Roman" w:hAnsi="Times New Roman" w:eastAsia="方正仿宋_GBK" w:cs="Times New Roman"/>
          <w:b w:val="0"/>
          <w:bCs/>
          <w:sz w:val="32"/>
          <w:szCs w:val="32"/>
          <w:shd w:val="clear" w:color="auto" w:fill="FFFFFF"/>
          <w:lang w:val="en-US" w:eastAsia="zh-CN"/>
        </w:rPr>
        <w:t>年中人员调出，预算减少</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万元，与2023年度相比，增加51.86万元，增长100.0%。主要原因是本单位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。较年初预算数减少0.15万元，下降0.3%。主要原因是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val="en-US"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（1）一般公共服务支出</w:t>
      </w:r>
      <w:r>
        <w:rPr>
          <w:rFonts w:hint="default" w:ascii="Times New Roman" w:hAnsi="Times New Roman" w:eastAsia="方正仿宋_GBK" w:cs="Times New Roman"/>
          <w:b w:val="0"/>
          <w:bCs/>
          <w:sz w:val="32"/>
          <w:szCs w:val="32"/>
        </w:rPr>
        <w:t>42.06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81.12</w:t>
      </w:r>
      <w:r>
        <w:rPr>
          <w:rFonts w:hint="default" w:ascii="Times New Roman" w:hAnsi="Times New Roman" w:eastAsia="方正仿宋_GBK" w:cs="Times New Roman"/>
          <w:b w:val="0"/>
          <w:bCs/>
          <w:sz w:val="32"/>
          <w:szCs w:val="32"/>
          <w:shd w:val="clear" w:color="auto" w:fill="FFFFFF"/>
        </w:rPr>
        <w:t>%，较年初预算数减少0.15万元，下降0.4%，主要原因是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（2）社会保障与就业支出</w:t>
      </w:r>
      <w:r>
        <w:rPr>
          <w:rFonts w:hint="default" w:ascii="Times New Roman" w:hAnsi="Times New Roman" w:eastAsia="方正仿宋_GBK" w:cs="Times New Roman"/>
          <w:b w:val="0"/>
          <w:bCs/>
          <w:sz w:val="32"/>
          <w:szCs w:val="32"/>
        </w:rPr>
        <w:t>5.11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9.86</w:t>
      </w:r>
      <w:r>
        <w:rPr>
          <w:rFonts w:hint="default" w:ascii="Times New Roman" w:hAnsi="Times New Roman" w:eastAsia="方正仿宋_GBK" w:cs="Times New Roman"/>
          <w:b w:val="0"/>
          <w:bCs/>
          <w:sz w:val="32"/>
          <w:szCs w:val="32"/>
          <w:shd w:val="clear" w:color="auto" w:fill="FFFFFF"/>
        </w:rPr>
        <w:t>%，较年初预算数无增减。</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2.13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4.10</w:t>
      </w:r>
      <w:r>
        <w:rPr>
          <w:rFonts w:hint="default" w:ascii="Times New Roman" w:hAnsi="Times New Roman" w:eastAsia="方正仿宋_GBK" w:cs="Times New Roman"/>
          <w:b w:val="0"/>
          <w:bCs/>
          <w:sz w:val="32"/>
          <w:szCs w:val="32"/>
          <w:shd w:val="clear" w:color="auto" w:fill="FFFFFF"/>
        </w:rPr>
        <w:t>%，较年初预算数无增减。</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住房保障支出2.55</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4.93</w:t>
      </w:r>
      <w:r>
        <w:rPr>
          <w:rFonts w:hint="default" w:ascii="Times New Roman" w:hAnsi="Times New Roman" w:eastAsia="方正仿宋_GBK" w:cs="Times New Roman"/>
          <w:b w:val="0"/>
          <w:bCs/>
          <w:sz w:val="32"/>
          <w:szCs w:val="32"/>
          <w:shd w:val="clear" w:color="auto" w:fill="FFFFFF"/>
        </w:rPr>
        <w:t>%，较年初预算数减少0.01万元，下降0.4%，主要原因是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51.86</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46.63</w:t>
      </w:r>
      <w:r>
        <w:rPr>
          <w:rFonts w:hint="default" w:ascii="Times New Roman" w:hAnsi="Times New Roman" w:eastAsia="方正仿宋_GBK" w:cs="Times New Roman"/>
          <w:b w:val="0"/>
          <w:bCs/>
          <w:sz w:val="32"/>
          <w:szCs w:val="32"/>
          <w:shd w:val="clear" w:color="auto" w:fill="FFFFFF"/>
        </w:rPr>
        <w:t>万元，与2023年度相比，增加46.63万元，增长100.0%，主要原因是本单位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。人员经费用途主要包括</w:t>
      </w:r>
      <w:r>
        <w:rPr>
          <w:rFonts w:hint="default" w:ascii="Times New Roman" w:hAnsi="Times New Roman" w:eastAsia="方正仿宋_GBK" w:cs="Times New Roman"/>
          <w:b w:val="0"/>
          <w:bCs/>
          <w:sz w:val="32"/>
          <w:szCs w:val="32"/>
          <w:lang w:val="en-US" w:eastAsia="zh-CN" w:bidi="ar-SA"/>
        </w:rPr>
        <w:t>基本工资、津贴补贴、绩效工资、社会保障缴费等。</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rPr>
        <w:t>5.23</w:t>
      </w:r>
      <w:r>
        <w:rPr>
          <w:rFonts w:hint="default" w:ascii="Times New Roman" w:hAnsi="Times New Roman" w:eastAsia="方正仿宋_GBK" w:cs="Times New Roman"/>
          <w:b w:val="0"/>
          <w:bCs/>
          <w:sz w:val="32"/>
          <w:szCs w:val="32"/>
          <w:shd w:val="clear" w:color="auto" w:fill="FFFFFF"/>
        </w:rPr>
        <w:t>万元，与2023年度相比，增加5.23万元，增长100.0%，主要原因是本单位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lang w:val="en-US" w:eastAsia="zh-CN" w:bidi="ar-SA"/>
        </w:rPr>
        <w:t>公用经费用途主要包括办公费、邮电费、差旅费等。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万元，较年初预算数无增减</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度本单位因公出国（境）费用</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公务车购置费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公务车运行维护费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公务接待费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万元，较上年</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主要原因是本单位</w:t>
      </w:r>
      <w:r>
        <w:rPr>
          <w:rFonts w:hint="default" w:ascii="Times New Roman" w:hAnsi="Times New Roman" w:eastAsia="方正仿宋_GBK" w:cs="Times New Roman"/>
          <w:b w:val="0"/>
          <w:bCs/>
          <w:sz w:val="32"/>
          <w:szCs w:val="32"/>
          <w:shd w:val="clear" w:color="auto" w:fill="FFFFFF"/>
          <w:lang w:val="en-US" w:eastAsia="zh-CN"/>
        </w:rPr>
        <w:t>在2024年第一次独立核算</w:t>
      </w:r>
      <w:r>
        <w:rPr>
          <w:rFonts w:hint="default" w:ascii="Times New Roman" w:hAnsi="Times New Roman" w:eastAsia="方正仿宋_GBK" w:cs="Times New Roman"/>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rPr>
        <w:t>按照部门决算列报口径，我单位不在机关运行经费统计范围之内。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rPr>
      </w:pPr>
      <w:r>
        <w:rPr>
          <w:rFonts w:hint="default" w:ascii="Times New Roman" w:hAnsi="Times New Roman" w:eastAsia="方正仿宋_GBK" w:cs="Times New Roman"/>
          <w:b w:val="0"/>
          <w:bCs/>
          <w:kern w:val="0"/>
          <w:sz w:val="32"/>
          <w:szCs w:val="32"/>
          <w:shd w:val="clear" w:fill="FFFFFF"/>
        </w:rPr>
        <w:t>根据预算绩效管理要求，我单位</w:t>
      </w:r>
      <w:r>
        <w:rPr>
          <w:rFonts w:hint="default" w:ascii="Times New Roman" w:hAnsi="Times New Roman" w:eastAsia="方正仿宋_GBK" w:cs="Times New Roman"/>
          <w:b w:val="0"/>
          <w:bCs/>
          <w:kern w:val="0"/>
          <w:sz w:val="32"/>
          <w:szCs w:val="32"/>
          <w:shd w:val="clear" w:fill="FFFFFF"/>
          <w:lang w:val="en-US" w:eastAsia="zh-CN"/>
        </w:rPr>
        <w:t>由巫溪县统计局</w:t>
      </w:r>
      <w:r>
        <w:rPr>
          <w:rFonts w:hint="default" w:ascii="Times New Roman" w:hAnsi="Times New Roman" w:eastAsia="方正仿宋_GBK" w:cs="Times New Roman"/>
          <w:b w:val="0"/>
          <w:bCs/>
          <w:kern w:val="0"/>
          <w:sz w:val="32"/>
          <w:szCs w:val="32"/>
          <w:shd w:val="clear" w:fill="FFFFFF"/>
        </w:rPr>
        <w:t>对部门整体开展了绩效自评，</w:t>
      </w:r>
      <w:r>
        <w:rPr>
          <w:rFonts w:hint="default" w:ascii="Times New Roman" w:hAnsi="Times New Roman" w:eastAsia="方正仿宋_GBK" w:cs="Times New Roman"/>
          <w:b w:val="0"/>
          <w:bCs/>
          <w:kern w:val="0"/>
          <w:sz w:val="32"/>
          <w:szCs w:val="32"/>
          <w:shd w:val="clear" w:fill="FFFFFF"/>
          <w:lang w:val="en-US" w:eastAsia="zh-CN"/>
        </w:rPr>
        <w:t>本</w:t>
      </w:r>
      <w:r>
        <w:rPr>
          <w:rFonts w:hint="default" w:ascii="Times New Roman" w:hAnsi="Times New Roman" w:eastAsia="方正仿宋_GBK" w:cs="Times New Roman"/>
          <w:b w:val="0"/>
          <w:bCs/>
          <w:i w:val="0"/>
          <w:iCs w:val="0"/>
          <w:caps w:val="0"/>
          <w:color w:val="000000"/>
          <w:spacing w:val="0"/>
          <w:sz w:val="31"/>
          <w:szCs w:val="31"/>
          <w:shd w:val="clear" w:color="auto" w:fill="FFFFFF"/>
        </w:rPr>
        <w:t>年无项目，</w:t>
      </w:r>
      <w:r>
        <w:rPr>
          <w:rFonts w:hint="default" w:ascii="Times New Roman" w:hAnsi="Times New Roman" w:eastAsia="方正仿宋_GBK" w:cs="Times New Roman"/>
          <w:b w:val="0"/>
          <w:bCs/>
          <w:i w:val="0"/>
          <w:iCs w:val="0"/>
          <w:caps w:val="0"/>
          <w:color w:val="000000"/>
          <w:spacing w:val="0"/>
          <w:sz w:val="31"/>
          <w:szCs w:val="31"/>
          <w:shd w:val="clear" w:color="auto" w:fill="FFFFFF"/>
          <w:lang w:val="en-US" w:eastAsia="zh-CN"/>
        </w:rPr>
        <w:t>未开展</w:t>
      </w:r>
      <w:r>
        <w:rPr>
          <w:rFonts w:hint="default" w:ascii="Times New Roman" w:hAnsi="Times New Roman" w:eastAsia="方正仿宋_GBK" w:cs="Times New Roman"/>
          <w:b w:val="0"/>
          <w:bCs/>
          <w:kern w:val="0"/>
          <w:sz w:val="32"/>
          <w:szCs w:val="32"/>
          <w:shd w:val="clear" w:fill="FFFFFF"/>
        </w:rPr>
        <w:t>绩效自评</w:t>
      </w:r>
      <w:r>
        <w:rPr>
          <w:rFonts w:hint="default" w:ascii="Times New Roman" w:hAnsi="Times New Roman" w:eastAsia="方正仿宋_GBK" w:cs="Times New Roman"/>
          <w:b w:val="0"/>
          <w:bCs/>
          <w:kern w:val="0"/>
          <w:sz w:val="32"/>
          <w:szCs w:val="32"/>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lang w:val="en-US" w:eastAsia="zh-CN" w:bidi="ar-SA"/>
        </w:rPr>
        <w:t>本单位未组织开展绩效评价。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仿宋_GBK" w:cs="Times New Roman"/>
          <w:b w:val="0"/>
          <w:bCs/>
          <w:sz w:val="32"/>
          <w:szCs w:val="32"/>
          <w:shd w:val="clear" w:fill="FFFFFF"/>
        </w:rPr>
        <w:t xml:space="preserve"> </w:t>
      </w:r>
      <w:r>
        <w:rPr>
          <w:rStyle w:val="13"/>
          <w:rFonts w:hint="default" w:ascii="Times New Roman" w:hAnsi="Times New Roman" w:eastAsia="方正仿宋_GBK" w:cs="Times New Roman"/>
          <w:b w:val="0"/>
          <w:bCs/>
          <w:sz w:val="32"/>
          <w:szCs w:val="32"/>
          <w:shd w:val="clear" w:fill="FFFFFF"/>
          <w:lang w:val="en-US" w:eastAsia="zh-CN"/>
        </w:rPr>
        <w:t xml:space="preserve">  </w:t>
      </w:r>
      <w:r>
        <w:rPr>
          <w:rStyle w:val="10"/>
          <w:rFonts w:hint="default" w:ascii="Times New Roman" w:hAnsi="Times New Roman" w:eastAsia="黑体" w:cs="Times New Roman"/>
          <w:b w:val="0"/>
          <w:bCs/>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lang w:val="en-US" w:eastAsia="zh-CN"/>
        </w:rPr>
        <w:t>刘琴</w:t>
      </w:r>
      <w:r>
        <w:rPr>
          <w:rFonts w:hint="default" w:ascii="Times New Roman" w:hAnsi="Times New Roman" w:eastAsia="方正仿宋_GBK" w:cs="Times New Roman"/>
          <w:b w:val="0"/>
          <w:bCs/>
          <w:sz w:val="32"/>
          <w:szCs w:val="32"/>
        </w:rPr>
        <w:t>023-</w:t>
      </w:r>
      <w:r>
        <w:rPr>
          <w:rFonts w:hint="default" w:ascii="Times New Roman" w:hAnsi="Times New Roman" w:eastAsia="方正仿宋_GBK" w:cs="Times New Roman"/>
          <w:b w:val="0"/>
          <w:bCs/>
          <w:sz w:val="32"/>
          <w:szCs w:val="32"/>
          <w:lang w:val="en-US" w:eastAsia="zh-CN"/>
        </w:rPr>
        <w:t>51527371</w:t>
      </w:r>
      <w:r>
        <w:rPr>
          <w:rFonts w:hint="default" w:ascii="Times New Roman" w:hAnsi="Times New Roman" w:eastAsia="方正仿宋_GBK" w:cs="Times New Roman"/>
          <w:b w:val="0"/>
          <w:bCs/>
          <w:sz w:val="32"/>
          <w:szCs w:val="32"/>
        </w:rPr>
        <w:t>。</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jc w:val="left"/>
        <w:textAlignment w:val="auto"/>
        <w:rPr>
          <w:rFonts w:hint="default" w:ascii="Times New Roman" w:hAnsi="Times New Roman" w:eastAsia="方正仿宋_GBK" w:cs="Times New Roman"/>
          <w:b w:val="0"/>
          <w:bCs/>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8"/>
        <w:gridCol w:w="657"/>
        <w:gridCol w:w="3604"/>
        <w:gridCol w:w="3888"/>
        <w:gridCol w:w="629"/>
        <w:gridCol w:w="3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巫溪县统计执法大队</w:t>
            </w: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67"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57"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02"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12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2"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51.86</w:t>
            </w:r>
          </w:p>
        </w:tc>
      </w:tr>
    </w:tbl>
    <w:p>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sectPr>
          <w:headerReference r:id="rId4" w:type="default"/>
          <w:footerReference r:id="rId5" w:type="default"/>
          <w:pgSz w:w="16838" w:h="11906" w:orient="landscape"/>
          <w:pgMar w:top="567" w:right="454" w:bottom="567" w:left="1037" w:header="0" w:footer="283" w:gutter="0"/>
          <w:pgNumType w:fmt="decimal"/>
          <w:cols w:space="720" w:num="1"/>
          <w:docGrid w:type="lines" w:linePitch="312" w:charSpace="0"/>
        </w:sectPr>
      </w:pPr>
    </w:p>
    <w:p>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686"/>
        <w:gridCol w:w="1650"/>
        <w:gridCol w:w="1650"/>
        <w:gridCol w:w="1650"/>
        <w:gridCol w:w="1650"/>
        <w:gridCol w:w="1650"/>
        <w:gridCol w:w="166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巫溪县统计执法大队</w:t>
            </w:r>
          </w:p>
        </w:tc>
        <w:tc>
          <w:tcPr>
            <w:tcW w:w="536" w:type="pct"/>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6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51.86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51.86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041"/>
        <w:gridCol w:w="1865"/>
        <w:gridCol w:w="1865"/>
        <w:gridCol w:w="1865"/>
        <w:gridCol w:w="1865"/>
        <w:gridCol w:w="188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巫溪县统计执法大队 </w:t>
            </w: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8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1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51.86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51.86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8"/>
        <w:gridCol w:w="473"/>
        <w:gridCol w:w="1877"/>
        <w:gridCol w:w="2487"/>
        <w:gridCol w:w="495"/>
        <w:gridCol w:w="1992"/>
        <w:gridCol w:w="1992"/>
        <w:gridCol w:w="2011"/>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巫溪县统计执法大队</w:t>
            </w: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42.06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42.06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5.11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5.11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51.86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巫溪县统计执法大队</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518"/>
        <w:gridCol w:w="1843"/>
        <w:gridCol w:w="856"/>
        <w:gridCol w:w="1992"/>
        <w:gridCol w:w="1647"/>
        <w:gridCol w:w="787"/>
        <w:gridCol w:w="3116"/>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巫溪县统计执法大队</w:t>
            </w: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46.63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0.61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46.63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 </w:t>
            </w:r>
          </w:p>
        </w:tc>
      </w:tr>
    </w:tbl>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巫溪县统计执法大队</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kinsoku/>
        <w:overflowPunct/>
        <w:topLinePunct w:val="0"/>
        <w:autoSpaceDN/>
        <w:bidi w:val="0"/>
        <w:adjustRightInd/>
        <w:spacing w:beforeAutospacing="0" w:afterAutospacing="0" w:line="594" w:lineRule="exact"/>
        <w:ind w:firstLine="440" w:firstLineChars="200"/>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备注：本年无政府性基金收支，故本表无数据。</w:t>
      </w: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812"/>
        <w:gridCol w:w="1653"/>
        <w:gridCol w:w="1388"/>
        <w:gridCol w:w="1479"/>
        <w:gridCol w:w="1681"/>
        <w:gridCol w:w="1625"/>
        <w:gridCol w:w="1560"/>
        <w:gridCol w:w="1544"/>
        <w:gridCol w:w="8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巫溪县统计执法大队</w:t>
            </w: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555"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51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ind w:firstLine="440" w:firstLineChars="200"/>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备注：本年无国有资本经营收支，故本表无数据。</w:t>
      </w:r>
      <w:r>
        <w:rPr>
          <w:rFonts w:hint="eastAsia" w:ascii="宋体" w:hAnsi="宋体" w:eastAsia="宋体" w:cs="宋体"/>
          <w:sz w:val="21"/>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9"/>
        <w:gridCol w:w="663"/>
        <w:gridCol w:w="3355"/>
        <w:gridCol w:w="4071"/>
        <w:gridCol w:w="685"/>
        <w:gridCol w:w="3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3" w:type="pct"/>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巫溪县统计执法大队</w:t>
            </w:r>
          </w:p>
        </w:tc>
        <w:tc>
          <w:tcPr>
            <w:tcW w:w="105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3" w:type="pct"/>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05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78"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0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56"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21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21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78"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9"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78"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6"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1078"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0.20</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6"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bl>
    <w:p>
      <w:pPr>
        <w:keepNext w:val="0"/>
        <w:keepLines w:val="0"/>
        <w:pageBreakBefore w:val="0"/>
        <w:kinsoku/>
        <w:overflowPunct/>
        <w:topLinePunct w:val="0"/>
        <w:autoSpaceDN/>
        <w:bidi w:val="0"/>
        <w:adjustRightInd/>
        <w:spacing w:beforeAutospacing="0" w:afterAutospacing="0" w:line="594" w:lineRule="exact"/>
        <w:rPr>
          <w:rFonts w:hint="default" w:ascii="宋体" w:hAnsi="宋体" w:eastAsia="宋体" w:cs="宋体"/>
          <w:color w:val="000000"/>
          <w:sz w:val="21"/>
          <w:szCs w:val="21"/>
          <w:lang w:bidi="ar"/>
        </w:rPr>
      </w:pPr>
      <w:bookmarkStart w:id="0" w:name="_GoBack"/>
      <w:bookmarkEnd w:id="0"/>
    </w:p>
    <w:sectPr>
      <w:headerReference r:id="rId6" w:type="default"/>
      <w:footerReference r:id="rId7" w:type="default"/>
      <w:pgSz w:w="16838" w:h="11906"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10</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10</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DI3NDEzMmI1NDBkNWNmYTFiMmU2YWE1ZTZiNz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4D31AF"/>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E66850"/>
    <w:rsid w:val="270642A6"/>
    <w:rsid w:val="27167136"/>
    <w:rsid w:val="27B23302"/>
    <w:rsid w:val="29310A5F"/>
    <w:rsid w:val="299947CC"/>
    <w:rsid w:val="29C37A35"/>
    <w:rsid w:val="29C95E09"/>
    <w:rsid w:val="2A076083"/>
    <w:rsid w:val="2A73162E"/>
    <w:rsid w:val="2B167953"/>
    <w:rsid w:val="2B200583"/>
    <w:rsid w:val="2B8209DE"/>
    <w:rsid w:val="2C161D32"/>
    <w:rsid w:val="2C2D3EC7"/>
    <w:rsid w:val="2C5524AE"/>
    <w:rsid w:val="2C6762A3"/>
    <w:rsid w:val="2D8D2A49"/>
    <w:rsid w:val="2FE029D7"/>
    <w:rsid w:val="2FF06E00"/>
    <w:rsid w:val="30B17ECF"/>
    <w:rsid w:val="315D199F"/>
    <w:rsid w:val="315F0B22"/>
    <w:rsid w:val="31D84415"/>
    <w:rsid w:val="32285F6F"/>
    <w:rsid w:val="32770556"/>
    <w:rsid w:val="329C0913"/>
    <w:rsid w:val="3337290D"/>
    <w:rsid w:val="348A66C9"/>
    <w:rsid w:val="34FF23BE"/>
    <w:rsid w:val="351D3D85"/>
    <w:rsid w:val="352930DB"/>
    <w:rsid w:val="35573069"/>
    <w:rsid w:val="358C217E"/>
    <w:rsid w:val="359F188C"/>
    <w:rsid w:val="362D2433"/>
    <w:rsid w:val="36C9128A"/>
    <w:rsid w:val="37841E99"/>
    <w:rsid w:val="37BF1123"/>
    <w:rsid w:val="37F26E25"/>
    <w:rsid w:val="38BE4696"/>
    <w:rsid w:val="39166507"/>
    <w:rsid w:val="39317DFF"/>
    <w:rsid w:val="39B82A39"/>
    <w:rsid w:val="39F33306"/>
    <w:rsid w:val="3B1705E5"/>
    <w:rsid w:val="3B18334B"/>
    <w:rsid w:val="3B36794F"/>
    <w:rsid w:val="3B544954"/>
    <w:rsid w:val="3BF014AD"/>
    <w:rsid w:val="3C6A5B02"/>
    <w:rsid w:val="3D2757A1"/>
    <w:rsid w:val="3D3D4FC4"/>
    <w:rsid w:val="3DDF3AB1"/>
    <w:rsid w:val="3DE60B7E"/>
    <w:rsid w:val="3E1201FF"/>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B6162D"/>
    <w:rsid w:val="443A3B12"/>
    <w:rsid w:val="44A854C2"/>
    <w:rsid w:val="44DD597D"/>
    <w:rsid w:val="465B470D"/>
    <w:rsid w:val="469D6AD4"/>
    <w:rsid w:val="47674801"/>
    <w:rsid w:val="48225EF7"/>
    <w:rsid w:val="495C4A24"/>
    <w:rsid w:val="4AD70EE7"/>
    <w:rsid w:val="4B7951CB"/>
    <w:rsid w:val="4B7C315C"/>
    <w:rsid w:val="4BAB7F90"/>
    <w:rsid w:val="4DAC4ACA"/>
    <w:rsid w:val="4F186D58"/>
    <w:rsid w:val="4FC74BC1"/>
    <w:rsid w:val="506348EA"/>
    <w:rsid w:val="50EC262C"/>
    <w:rsid w:val="514C3F21"/>
    <w:rsid w:val="522F6E0C"/>
    <w:rsid w:val="52463BA1"/>
    <w:rsid w:val="53C0244D"/>
    <w:rsid w:val="53DD4D4E"/>
    <w:rsid w:val="53E578CE"/>
    <w:rsid w:val="543B029D"/>
    <w:rsid w:val="545D0246"/>
    <w:rsid w:val="5479292E"/>
    <w:rsid w:val="54E65AEA"/>
    <w:rsid w:val="554E5773"/>
    <w:rsid w:val="555A3CBC"/>
    <w:rsid w:val="56530F5D"/>
    <w:rsid w:val="5842572D"/>
    <w:rsid w:val="5AE75037"/>
    <w:rsid w:val="5B58571C"/>
    <w:rsid w:val="5B8376C2"/>
    <w:rsid w:val="5B96133A"/>
    <w:rsid w:val="5C1336B7"/>
    <w:rsid w:val="5C263CE4"/>
    <w:rsid w:val="5C5D2777"/>
    <w:rsid w:val="5D290C69"/>
    <w:rsid w:val="5D537F41"/>
    <w:rsid w:val="5DFE12EF"/>
    <w:rsid w:val="5EFA176D"/>
    <w:rsid w:val="5F0247F9"/>
    <w:rsid w:val="5F2D4A41"/>
    <w:rsid w:val="5FAE35FA"/>
    <w:rsid w:val="601C34ED"/>
    <w:rsid w:val="6028345A"/>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8757F0"/>
    <w:rsid w:val="6F7F6A2D"/>
    <w:rsid w:val="6F9F825F"/>
    <w:rsid w:val="6FB442D1"/>
    <w:rsid w:val="6FC14D32"/>
    <w:rsid w:val="6FD902CD"/>
    <w:rsid w:val="6FFB2E76"/>
    <w:rsid w:val="70A97C9F"/>
    <w:rsid w:val="71C34D91"/>
    <w:rsid w:val="71ED38AA"/>
    <w:rsid w:val="720229AA"/>
    <w:rsid w:val="72DB435C"/>
    <w:rsid w:val="750837F0"/>
    <w:rsid w:val="764F62AB"/>
    <w:rsid w:val="765C45EC"/>
    <w:rsid w:val="768A7619"/>
    <w:rsid w:val="76E14979"/>
    <w:rsid w:val="77EA362A"/>
    <w:rsid w:val="7875383E"/>
    <w:rsid w:val="78DFE214"/>
    <w:rsid w:val="794E5888"/>
    <w:rsid w:val="796D60A4"/>
    <w:rsid w:val="79A031D5"/>
    <w:rsid w:val="7A1525F7"/>
    <w:rsid w:val="7A3E6CB6"/>
    <w:rsid w:val="7A680D2D"/>
    <w:rsid w:val="7B260559"/>
    <w:rsid w:val="7B420052"/>
    <w:rsid w:val="7B71585E"/>
    <w:rsid w:val="7BD06A28"/>
    <w:rsid w:val="7BF8230B"/>
    <w:rsid w:val="7C1E4CD7"/>
    <w:rsid w:val="7C3A7C0B"/>
    <w:rsid w:val="7C5248E4"/>
    <w:rsid w:val="7C566698"/>
    <w:rsid w:val="7CBA4C8B"/>
    <w:rsid w:val="7EB138C0"/>
    <w:rsid w:val="7F6D27E0"/>
    <w:rsid w:val="7FA960B8"/>
    <w:rsid w:val="FE5C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7480</Words>
  <Characters>9969</Characters>
  <Lines>161</Lines>
  <Paragraphs>45</Paragraphs>
  <TotalTime>8</TotalTime>
  <ScaleCrop>false</ScaleCrop>
  <LinksUpToDate>false</LinksUpToDate>
  <CharactersWithSpaces>11050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2025-09-18T01:11:05Z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9EDAFD8FD9424A54844071572B3E9A06_13</vt:lpwstr>
  </property>
</Properties>
</file>