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kinsoku/>
        <w:wordWrap/>
        <w:overflowPunct/>
        <w:autoSpaceDN/>
        <w:bidi w:val="0"/>
        <w:adjustRightInd/>
        <w:spacing w:before="0" w:beforeAutospacing="0" w:after="0" w:afterAutospacing="0" w:line="600" w:lineRule="exact"/>
        <w:ind w:firstLine="720" w:firstLineChars="200"/>
        <w:jc w:val="center"/>
        <w:textAlignment w:val="auto"/>
        <w:rPr>
          <w:rFonts w:ascii="方正小标宋_GBK" w:hAnsi="方正小标宋_GBK" w:eastAsia="方正小标宋_GBK" w:cs="方正小标宋_GBK"/>
          <w:color w:val="auto"/>
          <w:sz w:val="36"/>
          <w:szCs w:val="36"/>
        </w:rPr>
      </w:pPr>
      <w:r>
        <w:rPr>
          <w:rFonts w:ascii="方正小标宋_GBK" w:hAnsi="方正小标宋_GBK" w:eastAsia="方正小标宋_GBK" w:cs="方正小标宋_GBK"/>
          <w:color w:val="auto"/>
          <w:sz w:val="36"/>
          <w:szCs w:val="36"/>
        </w:rPr>
        <w:t>重庆市巫溪县文化和旅游发展委员会（本级）</w:t>
      </w:r>
    </w:p>
    <w:p>
      <w:pPr>
        <w:pStyle w:val="6"/>
        <w:keepNext w:val="0"/>
        <w:keepLines w:val="0"/>
        <w:pageBreakBefore w:val="0"/>
        <w:widowControl/>
        <w:kinsoku/>
        <w:wordWrap/>
        <w:overflowPunct/>
        <w:autoSpaceDN/>
        <w:bidi w:val="0"/>
        <w:adjustRightInd/>
        <w:spacing w:before="0" w:beforeAutospacing="0" w:after="0" w:afterAutospacing="0" w:line="600" w:lineRule="exact"/>
        <w:ind w:firstLine="720" w:firstLineChars="200"/>
        <w:jc w:val="center"/>
        <w:textAlignment w:val="auto"/>
        <w:rPr>
          <w:rFonts w:hint="default" w:ascii="方正小标宋_GBK" w:hAnsi="方正小标宋_GBK" w:eastAsia="方正小标宋_GBK" w:cs="方正小标宋_GBK"/>
          <w:color w:val="auto"/>
          <w:sz w:val="36"/>
          <w:szCs w:val="36"/>
          <w:shd w:val="clear" w:color="auto" w:fill="FFFFFF"/>
        </w:rPr>
      </w:pPr>
      <w:r>
        <w:rPr>
          <w:rFonts w:ascii="方正小标宋_GBK" w:hAnsi="方正小标宋_GBK" w:eastAsia="方正小标宋_GBK" w:cs="方正小标宋_GBK"/>
          <w:color w:val="auto"/>
          <w:sz w:val="36"/>
          <w:szCs w:val="36"/>
          <w:shd w:val="clear" w:color="auto" w:fill="FFFFFF"/>
        </w:rPr>
        <w:t>2023年度决算公开说明</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2" w:firstLineChars="200"/>
        <w:jc w:val="both"/>
        <w:textAlignment w:val="auto"/>
        <w:rPr>
          <w:rStyle w:val="17"/>
          <w:rFonts w:hint="default" w:ascii="方正黑体_GBK" w:hAnsi="方正黑体_GBK" w:eastAsia="方正黑体_GBK" w:cs="方正黑体_GBK"/>
          <w:b/>
          <w:bCs/>
          <w:color w:val="auto"/>
          <w:sz w:val="32"/>
          <w:szCs w:val="32"/>
          <w:shd w:val="clear" w:fill="FFFFFF"/>
        </w:rPr>
      </w:pP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Fonts w:hint="default" w:ascii="方正黑体_GBK" w:hAnsi="方正黑体_GBK" w:eastAsia="方正黑体_GBK" w:cs="方正黑体_GBK"/>
          <w:b w:val="0"/>
          <w:bCs w:val="0"/>
          <w:color w:val="auto"/>
          <w:kern w:val="0"/>
          <w:sz w:val="32"/>
          <w:szCs w:val="32"/>
          <w:shd w:val="clear" w:fill="FFFFFF"/>
        </w:rPr>
      </w:pPr>
      <w:r>
        <w:rPr>
          <w:rStyle w:val="17"/>
          <w:rFonts w:hint="default" w:ascii="方正黑体_GBK" w:hAnsi="方正黑体_GBK" w:eastAsia="方正黑体_GBK" w:cs="方正黑体_GBK"/>
          <w:b w:val="0"/>
          <w:bCs w:val="0"/>
          <w:color w:val="auto"/>
          <w:sz w:val="32"/>
          <w:szCs w:val="32"/>
          <w:shd w:val="clear" w:fill="FFFFFF"/>
        </w:rPr>
        <w:t>一、</w:t>
      </w:r>
      <w:r>
        <w:rPr>
          <w:rStyle w:val="17"/>
          <w:rFonts w:hint="eastAsia" w:ascii="方正黑体_GBK" w:hAnsi="方正黑体_GBK" w:eastAsia="方正黑体_GBK" w:cs="方正黑体_GBK"/>
          <w:b w:val="0"/>
          <w:bCs w:val="0"/>
          <w:color w:val="auto"/>
          <w:sz w:val="32"/>
          <w:szCs w:val="32"/>
          <w:shd w:val="clear" w:fill="FFFFFF"/>
          <w:lang w:val="en-US" w:eastAsia="zh-CN"/>
        </w:rPr>
        <w:t>单位</w:t>
      </w:r>
      <w:r>
        <w:rPr>
          <w:rStyle w:val="17"/>
          <w:rFonts w:hint="default" w:ascii="方正黑体_GBK" w:hAnsi="方正黑体_GBK" w:eastAsia="方正黑体_GBK" w:cs="方正黑体_GBK"/>
          <w:b w:val="0"/>
          <w:bCs w:val="0"/>
          <w:color w:val="auto"/>
          <w:sz w:val="32"/>
          <w:szCs w:val="32"/>
          <w:shd w:val="clear" w:fill="FFFFFF"/>
        </w:rPr>
        <w:t>基本情况</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Fonts w:hint="eastAsia" w:ascii="方正楷体_GBK" w:hAnsi="方正楷体_GBK" w:eastAsia="方正楷体_GBK" w:cs="方正楷体_GBK"/>
          <w:b w:val="0"/>
          <w:bCs w:val="0"/>
          <w:i w:val="0"/>
          <w:iCs w:val="0"/>
          <w:caps w:val="0"/>
          <w:color w:val="auto"/>
          <w:spacing w:val="0"/>
          <w:kern w:val="0"/>
          <w:sz w:val="32"/>
          <w:szCs w:val="32"/>
          <w:shd w:val="clear" w:fill="FFFFFF"/>
        </w:rPr>
      </w:pPr>
      <w:r>
        <w:rPr>
          <w:rStyle w:val="18"/>
          <w:rFonts w:hint="eastAsia" w:ascii="方正楷体_GBK" w:hAnsi="方正楷体_GBK" w:eastAsia="方正楷体_GBK" w:cs="方正楷体_GBK"/>
          <w:b w:val="0"/>
          <w:bCs w:val="0"/>
          <w:i w:val="0"/>
          <w:iCs w:val="0"/>
          <w:caps w:val="0"/>
          <w:color w:val="auto"/>
          <w:spacing w:val="0"/>
          <w:sz w:val="32"/>
          <w:szCs w:val="32"/>
          <w:shd w:val="clear" w:fill="FFFFFF"/>
        </w:rPr>
        <w:t>（一）职能职责</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巫溪县文化和旅游发展委员会贯彻落实党中央、国务院和市委、市政府关于文化和旅游发展工作的方针政策和决策部署以及县委、县政府的工作部署，在履行职责过程中坚持和加强党对文化和旅游发展工作的集中统</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一</w:t>
      </w:r>
      <w:r>
        <w:rPr>
          <w:rFonts w:hint="eastAsia" w:ascii="方正仿宋_GBK" w:hAnsi="方正仿宋_GBK" w:eastAsia="方正仿宋_GBK" w:cs="方正仿宋_GBK"/>
          <w:i w:val="0"/>
          <w:iCs w:val="0"/>
          <w:caps w:val="0"/>
          <w:color w:val="auto"/>
          <w:spacing w:val="0"/>
          <w:kern w:val="0"/>
          <w:sz w:val="32"/>
          <w:szCs w:val="32"/>
          <w:shd w:val="clear" w:fill="FFFFFF"/>
        </w:rPr>
        <w:t>领导。主要职责是：</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1.贯彻执行党和国家宣传、文化和旅游、体育、广播电视、文物和博物馆工作的法律法规和方针政策，贯彻落实全市文化和旅游、体育、广播电视、文物和博物馆事业政策措施。</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2.统筹规划全县文化事业、体育事业、文化产业和旅游业发展，拟订文化和旅游、体育、广播电视、文物和博物馆事业发展规划并组织实施，推进文化、旅游和体育融合发展，推进体制机制改革。</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3.管理全县性重大文化、旅游、体育活动，负责推行全民健身计划，指导县级重点文化、体育设施建设，负责全县旅游整体形象宣传和推广，促进文化产业、旅游产业和体育产业对外合作和市场推广，拟订旅游市场开发规划并组织实施，指导、推进全域旅游。指导、协调、推动广播电视领域产业发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i w:val="0"/>
          <w:iCs w:val="0"/>
          <w:caps w:val="0"/>
          <w:color w:val="auto"/>
          <w:spacing w:val="0"/>
          <w:kern w:val="0"/>
          <w:sz w:val="32"/>
          <w:szCs w:val="32"/>
          <w:shd w:val="clear" w:fill="FFFFFF"/>
        </w:rPr>
      </w:pPr>
      <w:r>
        <w:rPr>
          <w:rFonts w:hint="eastAsia" w:ascii="方正仿宋_GBK" w:hAnsi="方正仿宋_GBK" w:eastAsia="方正仿宋_GBK" w:cs="方正仿宋_GBK"/>
          <w:i w:val="0"/>
          <w:iCs w:val="0"/>
          <w:caps w:val="0"/>
          <w:color w:val="auto"/>
          <w:spacing w:val="0"/>
          <w:kern w:val="0"/>
          <w:sz w:val="32"/>
          <w:szCs w:val="32"/>
          <w:shd w:val="clear" w:fill="FFFFFF"/>
        </w:rPr>
        <w:t>4.负责管理全县文艺事业，指导艺术创作生产，扶持体现</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right="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社会主义核心价值观、具有导向性、代表性、示范性的文艺作品，推动各门类艺术、各艺术品种发展。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5.负责全县公共文化事业、体育事业发展，推进全县公共文化、公共体育服务体系建设和旅游公共服务建设，深入实施文化、体育惠民工程，统筹推进基本公共文化服务标准化、均等化。组织实施全县广播电视领域公共服务重大公益工程和公益活动。</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6.指导、推进全县文化和旅游、体育、广播电视、文物和博物馆行业科技创新发展，推进文化、旅游和体育行业信息化、标准化建设。</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7.负责全县非物质文化遗产保护，推动非物质文化遗产的保护、传承、普及、弘扬和振兴。</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8.指导、督促乡镇（街道）文化服务中心（社区文化服务中心）、村（社区）文化室开展业务工作，繁荣群众文化、社区文化、企业文化、校园文化、民族民俗文化，推动地方文化事业发展。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9.统筹规划全县文化产业、旅游产业、体育产业，组织实施文化和旅游资源普查、挖掘、保护和利用工作。承担文化市场、体育市场和旅游经济运行监测体系建设工作，促进文化产业、旅游产业和体育产业发展。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10.指导全县文化、旅游和体育市场发展，对文化、旅游和体育市场经营进行行业监管，推进文化和旅游、体育行业信用体系建设，依法规范文化和旅游、体育市场。负责文化和旅游、体育市场安全的综合协调和监督管理，指导应急救援工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11.负责全县文化市场综合执法，组织查处全县文化、体育、文物、出版、广播电视、电影、旅游等市场的违法行为，督查督办大案要案，维护市场秩序。具体执法交由巫溪县文化市场综合行政执法支队承担，并以部门名义统一执法。</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12.负责对全县各类广播电视机构进行业务指导和行业监管，会同有关部门对网络视听节目服务机构进行管理。指导全县广播电视重点基础设施建设。</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13.负责电视剧行业发展和电视剧创作生产。监督管理、审查广播电视节目、网络视听节目的内容和质量。指导、监管广播电视广告播放。负责实施广播电视节目评价工作。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14.负责推进全县广播电视与新媒体新技术新业态融合发展，推进广电网与电信网、互联网三网融合。</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15.负责对广播电视节目传输覆盖、监测和安全播出进行监管，负责全县应急广播体系建设。指导全县广播电视系统的安全工作。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16.负责指导全县文物和博物馆业务工作。负责管理和指导全县考古工作，组织、协调重大文物保护和考古项目的实施。组织开展文物资源调查，履行文物、博物馆安全监管职责。指导协调博物馆建设及博物馆间的交流与协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i w:val="0"/>
          <w:iCs w:val="0"/>
          <w:caps w:val="0"/>
          <w:color w:val="auto"/>
          <w:spacing w:val="0"/>
          <w:kern w:val="0"/>
          <w:sz w:val="32"/>
          <w:szCs w:val="32"/>
          <w:shd w:val="clear" w:fill="FFFFFF"/>
        </w:rPr>
      </w:pPr>
      <w:r>
        <w:rPr>
          <w:rFonts w:hint="eastAsia" w:ascii="方正仿宋_GBK" w:hAnsi="方正仿宋_GBK" w:eastAsia="方正仿宋_GBK" w:cs="方正仿宋_GBK"/>
          <w:i w:val="0"/>
          <w:iCs w:val="0"/>
          <w:caps w:val="0"/>
          <w:color w:val="auto"/>
          <w:spacing w:val="0"/>
          <w:kern w:val="0"/>
          <w:sz w:val="32"/>
          <w:szCs w:val="32"/>
          <w:shd w:val="clear" w:fill="FFFFFF"/>
        </w:rPr>
        <w:t>17.负责全县文化遗产保护和管理监督工作，协同住房和城</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right="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乡建设部门负责历史文化名城（镇、村）保护和监督管理工作。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18.指导、管理文化和旅游、体育、广播电视、文物和博物馆对外交流、合作和宣传、推广工作。组织全县大型文化和旅游等对外交流活动。</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19.拟订全县文化和旅游、体育行业人才队伍建设规划并组织实施，负责从业人员职业资格管理。</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20.负责机关、所属事业单位和所主管的社会组织党建工作。</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21.完成县委、县政府交办的其他任务。</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color w:val="auto"/>
          <w:kern w:val="0"/>
          <w:sz w:val="32"/>
          <w:szCs w:val="32"/>
        </w:rPr>
      </w:pPr>
      <w:r>
        <w:rPr>
          <w:rFonts w:hint="eastAsia" w:ascii="方正仿宋_GBK" w:hAnsi="方正仿宋_GBK" w:eastAsia="方正仿宋_GBK" w:cs="方正仿宋_GBK"/>
          <w:i w:val="0"/>
          <w:iCs w:val="0"/>
          <w:caps w:val="0"/>
          <w:color w:val="auto"/>
          <w:spacing w:val="0"/>
          <w:kern w:val="0"/>
          <w:sz w:val="32"/>
          <w:szCs w:val="32"/>
          <w:shd w:val="clear" w:fill="FFFFFF"/>
        </w:rPr>
        <w:t>22.职能转变。将原巫溪县文化委员会和原巫溪县旅游局所属事业单位承担的行政职能划归巫溪县文化和旅游发展委员会，除巫溪县文化市场综合行政执法支队外，所属事业单位不再承担行政职能。</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Fonts w:hint="eastAsia" w:ascii="方正楷体_GBK" w:hAnsi="方正楷体_GBK" w:eastAsia="方正楷体_GBK" w:cs="方正楷体_GBK"/>
          <w:b w:val="0"/>
          <w:bCs w:val="0"/>
          <w:i w:val="0"/>
          <w:iCs w:val="0"/>
          <w:caps w:val="0"/>
          <w:color w:val="auto"/>
          <w:spacing w:val="0"/>
          <w:kern w:val="0"/>
          <w:sz w:val="32"/>
          <w:szCs w:val="32"/>
          <w:shd w:val="clear" w:fill="FFFFFF"/>
        </w:rPr>
      </w:pPr>
      <w:r>
        <w:rPr>
          <w:rStyle w:val="18"/>
          <w:rFonts w:hint="eastAsia" w:ascii="方正楷体_GBK" w:hAnsi="方正楷体_GBK" w:eastAsia="方正楷体_GBK" w:cs="方正楷体_GBK"/>
          <w:b w:val="0"/>
          <w:bCs w:val="0"/>
          <w:i w:val="0"/>
          <w:iCs w:val="0"/>
          <w:caps w:val="0"/>
          <w:color w:val="auto"/>
          <w:spacing w:val="0"/>
          <w:sz w:val="32"/>
          <w:szCs w:val="32"/>
          <w:shd w:val="clear" w:fill="FFFFFF"/>
        </w:rPr>
        <w:t>（二）机构设置</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eastAsia" w:ascii="方正仿宋_GBK" w:hAnsi="方正仿宋_GBK" w:eastAsia="方正仿宋_GBK" w:cs="方正仿宋_GBK"/>
          <w:i w:val="0"/>
          <w:iCs w:val="0"/>
          <w:caps w:val="0"/>
          <w:color w:val="auto"/>
          <w:spacing w:val="0"/>
          <w:kern w:val="0"/>
          <w:sz w:val="32"/>
          <w:szCs w:val="32"/>
          <w:shd w:val="clear" w:fill="FFFFFF"/>
        </w:rPr>
      </w:pPr>
      <w:r>
        <w:rPr>
          <w:rFonts w:hint="eastAsia" w:ascii="方正仿宋_GBK" w:hAnsi="方正仿宋_GBK" w:eastAsia="方正仿宋_GBK" w:cs="方正仿宋_GBK"/>
          <w:i w:val="0"/>
          <w:iCs w:val="0"/>
          <w:caps w:val="0"/>
          <w:color w:val="auto"/>
          <w:spacing w:val="0"/>
          <w:kern w:val="0"/>
          <w:sz w:val="32"/>
          <w:szCs w:val="32"/>
          <w:shd w:val="clear" w:fill="FFFFFF"/>
        </w:rPr>
        <w:t>巫溪县文化和旅游发展委员会内设“五科一室”，包括：办公室、宣传营销科、规划发展科、产业经济科、公共服务科、体育事业科；下设文化馆、图书馆、文物管理所</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、巫溪县旅游发展服务中心</w:t>
      </w:r>
      <w:r>
        <w:rPr>
          <w:rFonts w:hint="eastAsia" w:ascii="方正仿宋_GBK" w:hAnsi="方正仿宋_GBK" w:eastAsia="方正仿宋_GBK" w:cs="方正仿宋_GBK"/>
          <w:i w:val="0"/>
          <w:iCs w:val="0"/>
          <w:caps w:val="0"/>
          <w:color w:val="auto"/>
          <w:spacing w:val="0"/>
          <w:kern w:val="0"/>
          <w:sz w:val="32"/>
          <w:szCs w:val="32"/>
          <w:shd w:val="clear" w:fill="FFFFFF"/>
        </w:rPr>
        <w:t>、</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巫溪县体育发展服务中心、</w:t>
      </w:r>
      <w:r>
        <w:rPr>
          <w:rFonts w:hint="eastAsia" w:ascii="方正仿宋_GBK" w:hAnsi="方正仿宋_GBK" w:eastAsia="方正仿宋_GBK" w:cs="方正仿宋_GBK"/>
          <w:i w:val="0"/>
          <w:iCs w:val="0"/>
          <w:caps w:val="0"/>
          <w:color w:val="auto"/>
          <w:spacing w:val="0"/>
          <w:kern w:val="0"/>
          <w:sz w:val="32"/>
          <w:szCs w:val="32"/>
          <w:shd w:val="clear" w:fill="FFFFFF"/>
        </w:rPr>
        <w:t>文化综合执法支队6个事业单位，巫溪县文化馆、巫溪县图书馆、巫溪县文物管理所独立核算，巫溪县</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旅游发展服务中心</w:t>
      </w:r>
      <w:r>
        <w:rPr>
          <w:rFonts w:hint="eastAsia" w:ascii="方正仿宋_GBK" w:hAnsi="方正仿宋_GBK" w:eastAsia="方正仿宋_GBK" w:cs="方正仿宋_GBK"/>
          <w:i w:val="0"/>
          <w:iCs w:val="0"/>
          <w:caps w:val="0"/>
          <w:color w:val="auto"/>
          <w:spacing w:val="0"/>
          <w:kern w:val="0"/>
          <w:sz w:val="32"/>
          <w:szCs w:val="32"/>
          <w:shd w:val="clear" w:fill="FFFFFF"/>
        </w:rPr>
        <w:t>、文化综合执法支队与委机关一起核算。巫溪县文化和旅游发展委员会机关行政编制14名。设主任1名，副主任3名；内设机构领导职数按1名配备；有事业编制</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rPr>
        <w:t>38</w:t>
      </w:r>
      <w:r>
        <w:rPr>
          <w:rFonts w:hint="eastAsia" w:ascii="方正仿宋_GBK" w:hAnsi="方正仿宋_GBK" w:eastAsia="方正仿宋_GBK" w:cs="方正仿宋_GBK"/>
          <w:i w:val="0"/>
          <w:iCs w:val="0"/>
          <w:caps w:val="0"/>
          <w:color w:val="auto"/>
          <w:spacing w:val="0"/>
          <w:kern w:val="0"/>
          <w:sz w:val="32"/>
          <w:szCs w:val="32"/>
          <w:shd w:val="clear" w:fill="FFFFFF"/>
        </w:rPr>
        <w:t>个</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，参公编制</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rPr>
        <w:t>11个</w:t>
      </w:r>
      <w:bookmarkStart w:id="0" w:name="_GoBack"/>
      <w:bookmarkEnd w:id="0"/>
      <w:r>
        <w:rPr>
          <w:rFonts w:hint="eastAsia" w:ascii="方正仿宋_GBK" w:hAnsi="方正仿宋_GBK" w:eastAsia="方正仿宋_GBK" w:cs="方正仿宋_GBK"/>
          <w:i w:val="0"/>
          <w:iCs w:val="0"/>
          <w:caps w:val="0"/>
          <w:color w:val="auto"/>
          <w:spacing w:val="0"/>
          <w:kern w:val="0"/>
          <w:sz w:val="32"/>
          <w:szCs w:val="32"/>
          <w:shd w:val="clear" w:fill="FFFFFF"/>
        </w:rPr>
        <w:t>。</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Style w:val="17"/>
          <w:rFonts w:hint="eastAsia" w:ascii="方正黑体_GBK" w:hAnsi="方正黑体_GBK" w:eastAsia="方正黑体_GBK" w:cs="方正黑体_GBK"/>
          <w:b w:val="0"/>
          <w:bCs w:val="0"/>
          <w:color w:val="auto"/>
          <w:sz w:val="32"/>
          <w:szCs w:val="32"/>
          <w:shd w:val="clear" w:fill="FFFFFF"/>
          <w:lang w:eastAsia="zh-CN"/>
        </w:rPr>
      </w:pPr>
      <w:r>
        <w:rPr>
          <w:rStyle w:val="17"/>
          <w:rFonts w:hint="eastAsia" w:ascii="方正黑体_GBK" w:hAnsi="方正黑体_GBK" w:eastAsia="方正黑体_GBK" w:cs="方正黑体_GBK"/>
          <w:b w:val="0"/>
          <w:bCs w:val="0"/>
          <w:color w:val="auto"/>
          <w:sz w:val="32"/>
          <w:szCs w:val="32"/>
          <w:shd w:val="clear" w:fill="FFFFFF"/>
        </w:rPr>
        <w:t>二、单位决算情况说</w:t>
      </w:r>
      <w:r>
        <w:rPr>
          <w:rStyle w:val="17"/>
          <w:rFonts w:hint="eastAsia" w:ascii="方正黑体_GBK" w:hAnsi="方正黑体_GBK" w:eastAsia="方正黑体_GBK" w:cs="方正黑体_GBK"/>
          <w:b w:val="0"/>
          <w:bCs w:val="0"/>
          <w:color w:val="auto"/>
          <w:sz w:val="32"/>
          <w:szCs w:val="32"/>
          <w:shd w:val="clear" w:fill="FFFFFF"/>
          <w:lang w:eastAsia="zh-CN"/>
        </w:rPr>
        <w:t>明</w:t>
      </w:r>
    </w:p>
    <w:p>
      <w:pPr>
        <w:pStyle w:val="11"/>
        <w:keepNext w:val="0"/>
        <w:keepLines w:val="0"/>
        <w:pageBreakBefore w:val="0"/>
        <w:widowControl/>
        <w:kinsoku/>
        <w:wordWrap/>
        <w:overflowPunct/>
        <w:autoSpaceDE w:val="0"/>
        <w:autoSpaceDN/>
        <w:bidi w:val="0"/>
        <w:adjustRightInd/>
        <w:spacing w:beforeAutospacing="0" w:afterAutospacing="0" w:line="600" w:lineRule="exact"/>
        <w:ind w:left="0" w:leftChars="0" w:firstLine="640" w:firstLineChars="200"/>
        <w:textAlignment w:val="auto"/>
        <w:rPr>
          <w:rFonts w:hint="eastAsia" w:ascii="方正楷体_GBK" w:hAnsi="方正楷体_GBK" w:eastAsia="方正楷体_GBK" w:cs="方正楷体_GBK"/>
          <w:b w:val="0"/>
          <w:bCs w:val="0"/>
          <w:color w:val="auto"/>
          <w:sz w:val="32"/>
          <w:szCs w:val="32"/>
          <w:shd w:val="clear" w:color="auto" w:fill="FFFFFF"/>
        </w:rPr>
      </w:pPr>
      <w:r>
        <w:rPr>
          <w:rFonts w:hint="eastAsia" w:ascii="方正楷体_GBK" w:hAnsi="方正楷体_GBK" w:eastAsia="方正楷体_GBK" w:cs="方正楷体_GBK"/>
          <w:b w:val="0"/>
          <w:bCs w:val="0"/>
          <w:color w:val="auto"/>
          <w:sz w:val="32"/>
          <w:szCs w:val="32"/>
          <w:shd w:val="clear" w:color="auto" w:fill="FFFFFF"/>
        </w:rPr>
        <w:t>（一）收入支出决算总体情况说明。</w:t>
      </w:r>
    </w:p>
    <w:p>
      <w:pPr>
        <w:pStyle w:val="6"/>
        <w:keepNext w:val="0"/>
        <w:keepLines w:val="0"/>
        <w:pageBreakBefore w:val="0"/>
        <w:widowControl/>
        <w:shd w:val="clear" w:color="auto" w:fill="FFFFFF"/>
        <w:kinsoku/>
        <w:wordWrap/>
        <w:overflowPunct/>
        <w:autoSpaceDN/>
        <w:bidi w:val="0"/>
        <w:adjustRightInd/>
        <w:spacing w:beforeAutospacing="0" w:after="0" w:afterAutospacing="0" w:line="600" w:lineRule="exact"/>
        <w:ind w:firstLine="640" w:firstLineChars="200"/>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b w:val="0"/>
          <w:bCs/>
          <w:color w:val="auto"/>
          <w:sz w:val="32"/>
          <w:szCs w:val="32"/>
          <w:shd w:val="clear" w:color="auto" w:fill="FFFFFF"/>
        </w:rPr>
        <w:t>1.总体情况。</w:t>
      </w:r>
      <w:r>
        <w:rPr>
          <w:rFonts w:ascii="方正仿宋_GBK" w:hAnsi="方正仿宋_GBK" w:eastAsia="方正仿宋_GBK" w:cs="方正仿宋_GBK"/>
          <w:color w:val="auto"/>
          <w:sz w:val="32"/>
          <w:szCs w:val="32"/>
          <w:shd w:val="clear" w:color="auto" w:fill="FFFFFF"/>
        </w:rPr>
        <w:t>2023年度收入总计4293.04万元，支出总计</w:t>
      </w:r>
      <w:r>
        <w:rPr>
          <w:rFonts w:ascii="方正仿宋_GBK" w:hAnsi="方正仿宋_GBK" w:eastAsia="方正仿宋_GBK" w:cs="方正仿宋_GBK"/>
          <w:color w:val="auto"/>
          <w:sz w:val="32"/>
          <w:szCs w:val="32"/>
        </w:rPr>
        <w:t>4293.04</w:t>
      </w:r>
      <w:r>
        <w:rPr>
          <w:rFonts w:ascii="方正仿宋_GBK" w:hAnsi="方正仿宋_GBK" w:eastAsia="方正仿宋_GBK" w:cs="方正仿宋_GBK"/>
          <w:color w:val="auto"/>
          <w:sz w:val="32"/>
          <w:szCs w:val="32"/>
          <w:shd w:val="clear" w:color="auto" w:fill="FFFFFF"/>
        </w:rPr>
        <w:t>万元。收支较上年决算数增加1920.77万元，增长80.97%，主要原因是</w:t>
      </w:r>
      <w:r>
        <w:rPr>
          <w:rFonts w:hint="eastAsia" w:ascii="方正仿宋_GBK" w:hAnsi="方正仿宋_GBK" w:eastAsia="方正仿宋_GBK" w:cs="方正仿宋_GBK"/>
          <w:color w:val="auto"/>
          <w:sz w:val="32"/>
          <w:szCs w:val="32"/>
          <w:shd w:val="clear" w:color="auto" w:fill="FFFFFF"/>
          <w:lang w:eastAsia="zh-CN"/>
        </w:rPr>
        <w:t>增加县级专项债券资金</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-旅游基础设施建设资金1500万元，新增大宁盐场遗址修缮保护资金400余万元</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shd w:val="clear" w:color="auto" w:fill="FFFFFF"/>
        <w:kinsoku/>
        <w:wordWrap/>
        <w:overflowPunct/>
        <w:autoSpaceDN/>
        <w:bidi w:val="0"/>
        <w:adjustRightInd/>
        <w:spacing w:beforeAutospacing="0" w:after="0" w:afterAutospacing="0" w:line="600" w:lineRule="exact"/>
        <w:ind w:firstLine="640" w:firstLineChars="200"/>
        <w:textAlignment w:val="auto"/>
        <w:rPr>
          <w:rFonts w:hint="default" w:ascii="方正仿宋_GBK" w:hAnsi="方正仿宋_GBK" w:eastAsia="方正仿宋_GBK" w:cs="方正仿宋_GBK"/>
          <w:color w:val="auto"/>
          <w:sz w:val="32"/>
          <w:szCs w:val="32"/>
          <w:shd w:val="clear" w:color="auto" w:fill="FFFFFF"/>
        </w:rPr>
      </w:pPr>
      <w:r>
        <w:rPr>
          <w:rStyle w:val="10"/>
          <w:rFonts w:ascii="方正仿宋_GBK" w:hAnsi="方正仿宋_GBK" w:eastAsia="方正仿宋_GBK" w:cs="方正仿宋_GBK"/>
          <w:b w:val="0"/>
          <w:bCs/>
          <w:color w:val="auto"/>
          <w:sz w:val="32"/>
          <w:szCs w:val="32"/>
          <w:shd w:val="clear" w:color="auto" w:fill="FFFFFF"/>
        </w:rPr>
        <w:t>2.收入情况</w:t>
      </w:r>
      <w:r>
        <w:rPr>
          <w:rStyle w:val="10"/>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shd w:val="clear" w:color="auto" w:fill="FFFFFF"/>
        </w:rPr>
        <w:t>2023年度收入合计4293.04万元，较上年决算数增加2002.12万元，增长87.39%，主要原因是</w:t>
      </w:r>
      <w:r>
        <w:rPr>
          <w:rFonts w:hint="eastAsia" w:ascii="方正仿宋_GBK" w:hAnsi="方正仿宋_GBK" w:eastAsia="方正仿宋_GBK" w:cs="方正仿宋_GBK"/>
          <w:color w:val="auto"/>
          <w:sz w:val="32"/>
          <w:szCs w:val="32"/>
          <w:shd w:val="clear" w:color="auto" w:fill="FFFFFF"/>
          <w:lang w:eastAsia="zh-CN"/>
        </w:rPr>
        <w:t>增加县级专项债券资金</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-旅游基础设施建设资金1500万元，新增大宁盐场遗址修缮保护资金400余万元</w:t>
      </w:r>
      <w:r>
        <w:rPr>
          <w:rFonts w:ascii="方正仿宋_GBK" w:hAnsi="方正仿宋_GBK" w:eastAsia="方正仿宋_GBK" w:cs="方正仿宋_GBK"/>
          <w:color w:val="auto"/>
          <w:sz w:val="32"/>
          <w:szCs w:val="32"/>
          <w:shd w:val="clear" w:color="auto" w:fill="FFFFFF"/>
        </w:rPr>
        <w:t>。其中：财政拨款收入</w:t>
      </w:r>
      <w:r>
        <w:rPr>
          <w:rFonts w:ascii="方正仿宋_GBK" w:hAnsi="方正仿宋_GBK" w:eastAsia="方正仿宋_GBK" w:cs="方正仿宋_GBK"/>
          <w:color w:val="auto"/>
          <w:sz w:val="32"/>
          <w:szCs w:val="32"/>
        </w:rPr>
        <w:t>4293.04</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100.00</w:t>
      </w:r>
      <w:r>
        <w:rPr>
          <w:rFonts w:ascii="方正仿宋_GBK" w:hAnsi="方正仿宋_GBK" w:eastAsia="方正仿宋_GBK" w:cs="方正仿宋_GBK"/>
          <w:color w:val="auto"/>
          <w:sz w:val="32"/>
          <w:szCs w:val="32"/>
          <w:shd w:val="clear" w:color="auto" w:fill="FFFFFF"/>
        </w:rPr>
        <w:t>%；事业收入</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万元，占0.00%；经营收入</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万元，占0.00%；其他收入</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万元，占0.00%。此外，使用非财政拨款结余和专用结余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万元，年初结转和结余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Style w:val="10"/>
          <w:rFonts w:ascii="方正仿宋_GBK" w:hAnsi="方正仿宋_GBK" w:eastAsia="方正仿宋_GBK" w:cs="方正仿宋_GBK"/>
          <w:b w:val="0"/>
          <w:bCs/>
          <w:color w:val="auto"/>
          <w:sz w:val="32"/>
          <w:szCs w:val="32"/>
          <w:shd w:val="clear" w:color="auto" w:fill="FFFFFF"/>
        </w:rPr>
        <w:t>3.支出情况。</w:t>
      </w:r>
      <w:r>
        <w:rPr>
          <w:rFonts w:ascii="方正仿宋_GBK" w:hAnsi="方正仿宋_GBK" w:eastAsia="方正仿宋_GBK" w:cs="方正仿宋_GBK"/>
          <w:color w:val="auto"/>
          <w:sz w:val="32"/>
          <w:szCs w:val="32"/>
          <w:shd w:val="clear" w:color="auto" w:fill="FFFFFF"/>
        </w:rPr>
        <w:t>2023年度支出合计</w:t>
      </w:r>
      <w:r>
        <w:rPr>
          <w:rFonts w:ascii="方正仿宋_GBK" w:hAnsi="方正仿宋_GBK" w:eastAsia="方正仿宋_GBK" w:cs="方正仿宋_GBK"/>
          <w:color w:val="auto"/>
          <w:sz w:val="32"/>
          <w:szCs w:val="32"/>
        </w:rPr>
        <w:t>4293.04</w:t>
      </w:r>
      <w:r>
        <w:rPr>
          <w:rFonts w:ascii="方正仿宋_GBK" w:hAnsi="方正仿宋_GBK" w:eastAsia="方正仿宋_GBK" w:cs="方正仿宋_GBK"/>
          <w:color w:val="auto"/>
          <w:sz w:val="32"/>
          <w:szCs w:val="32"/>
          <w:shd w:val="clear" w:color="auto" w:fill="FFFFFF"/>
        </w:rPr>
        <w:t>万元，较上年决算数增加1920.77万元，增长80.97%，主要原因是</w:t>
      </w:r>
      <w:r>
        <w:rPr>
          <w:rFonts w:hint="eastAsia" w:ascii="方正仿宋_GBK" w:hAnsi="方正仿宋_GBK" w:eastAsia="方正仿宋_GBK" w:cs="方正仿宋_GBK"/>
          <w:color w:val="auto"/>
          <w:sz w:val="32"/>
          <w:szCs w:val="32"/>
          <w:shd w:val="clear" w:color="auto" w:fill="FFFFFF"/>
          <w:lang w:eastAsia="zh-CN"/>
        </w:rPr>
        <w:t>增加县级专项债券资金</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-旅游基础设施建设资金1500万元，新增大宁盐场遗址修缮保护资金400余万元</w:t>
      </w:r>
      <w:r>
        <w:rPr>
          <w:rFonts w:ascii="方正仿宋_GBK" w:hAnsi="方正仿宋_GBK" w:eastAsia="方正仿宋_GBK" w:cs="方正仿宋_GBK"/>
          <w:color w:val="auto"/>
          <w:sz w:val="32"/>
          <w:szCs w:val="32"/>
          <w:shd w:val="clear" w:color="auto" w:fill="FFFFFF"/>
        </w:rPr>
        <w:t>。其中：基本支出</w:t>
      </w:r>
      <w:r>
        <w:rPr>
          <w:rFonts w:ascii="方正仿宋_GBK" w:hAnsi="方正仿宋_GBK" w:eastAsia="方正仿宋_GBK" w:cs="方正仿宋_GBK"/>
          <w:color w:val="auto"/>
          <w:sz w:val="32"/>
          <w:szCs w:val="32"/>
        </w:rPr>
        <w:t>666.10</w:t>
      </w:r>
      <w:r>
        <w:rPr>
          <w:rFonts w:ascii="方正仿宋_GBK" w:hAnsi="方正仿宋_GBK" w:eastAsia="方正仿宋_GBK" w:cs="方正仿宋_GBK"/>
          <w:color w:val="auto"/>
          <w:sz w:val="32"/>
          <w:szCs w:val="32"/>
          <w:shd w:val="clear" w:color="auto" w:fill="FFFFFF"/>
        </w:rPr>
        <w:t>万元，占15.52%；项目支出</w:t>
      </w:r>
      <w:r>
        <w:rPr>
          <w:rFonts w:ascii="方正仿宋_GBK" w:hAnsi="方正仿宋_GBK" w:eastAsia="方正仿宋_GBK" w:cs="方正仿宋_GBK"/>
          <w:color w:val="auto"/>
          <w:sz w:val="32"/>
          <w:szCs w:val="32"/>
        </w:rPr>
        <w:t>3626.93</w:t>
      </w:r>
      <w:r>
        <w:rPr>
          <w:rFonts w:ascii="方正仿宋_GBK" w:hAnsi="方正仿宋_GBK" w:eastAsia="方正仿宋_GBK" w:cs="方正仿宋_GBK"/>
          <w:color w:val="auto"/>
          <w:sz w:val="32"/>
          <w:szCs w:val="32"/>
          <w:shd w:val="clear" w:color="auto" w:fill="FFFFFF"/>
        </w:rPr>
        <w:t>万元，占84.48%；经营支出</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万元，占0.00%。此外，结余分配</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lang w:val="en-US" w:eastAsia="zh-CN"/>
        </w:rPr>
      </w:pPr>
      <w:r>
        <w:rPr>
          <w:rStyle w:val="10"/>
          <w:rFonts w:ascii="方正仿宋_GBK" w:hAnsi="方正仿宋_GBK" w:eastAsia="方正仿宋_GBK" w:cs="方正仿宋_GBK"/>
          <w:b w:val="0"/>
          <w:bCs/>
          <w:color w:val="auto"/>
          <w:sz w:val="32"/>
          <w:szCs w:val="32"/>
          <w:shd w:val="clear" w:color="auto" w:fill="FFFFFF"/>
        </w:rPr>
        <w:t>4.结转结余情况</w:t>
      </w:r>
      <w:r>
        <w:rPr>
          <w:rStyle w:val="10"/>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shd w:val="clear" w:color="auto" w:fill="FFFFFF"/>
        </w:rPr>
        <w:t>2023年度年末结转和结余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万元，较上年决算数无增减，主要原因是</w:t>
      </w:r>
      <w:r>
        <w:rPr>
          <w:rFonts w:hint="eastAsia" w:ascii="方正仿宋_GBK" w:hAnsi="方正仿宋_GBK" w:eastAsia="方正仿宋_GBK" w:cs="方正仿宋_GBK"/>
          <w:color w:val="auto"/>
          <w:sz w:val="32"/>
          <w:szCs w:val="32"/>
          <w:shd w:val="clear" w:color="auto" w:fill="FFFFFF"/>
          <w:lang w:eastAsia="zh-CN"/>
        </w:rPr>
        <w:t>财政执行零</w:t>
      </w:r>
      <w:r>
        <w:rPr>
          <w:rFonts w:hint="eastAsia" w:ascii="方正仿宋_GBK" w:hAnsi="方正仿宋_GBK" w:eastAsia="方正仿宋_GBK" w:cs="方正仿宋_GBK"/>
          <w:color w:val="auto"/>
          <w:sz w:val="32"/>
          <w:szCs w:val="32"/>
          <w:shd w:val="clear" w:color="auto" w:fill="FFFFFF"/>
          <w:lang w:val="en-US" w:eastAsia="zh-CN"/>
        </w:rPr>
        <w:t>结转制度。</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（二）财政拨款收入支出决算总体情况说明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2023年度财政拨款收、支总计4293.04万元。与2022年相比，财政拨款收、支总计各增加1920.77万元，增长80.97%。主要原因是</w:t>
      </w:r>
      <w:r>
        <w:rPr>
          <w:rFonts w:hint="eastAsia" w:ascii="方正仿宋_GBK" w:hAnsi="方正仿宋_GBK" w:eastAsia="方正仿宋_GBK" w:cs="方正仿宋_GBK"/>
          <w:color w:val="auto"/>
          <w:sz w:val="32"/>
          <w:szCs w:val="32"/>
          <w:shd w:val="clear" w:color="auto" w:fill="FFFFFF"/>
          <w:lang w:eastAsia="zh-CN"/>
        </w:rPr>
        <w:t>增加县级专项债券资金</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-旅游基础设施建设资金1500万元，新增大宁盐场遗址修缮保护资金400余万元</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ind w:left="0" w:leftChars="0"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（三）一般公共预算财政拨款收入支出决算情况说明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b w:val="0"/>
          <w:bCs/>
          <w:color w:val="auto"/>
          <w:sz w:val="32"/>
          <w:szCs w:val="32"/>
          <w:shd w:val="clear" w:color="auto" w:fill="FFFFFF"/>
        </w:rPr>
        <w:t>1.收入情况。</w:t>
      </w:r>
      <w:r>
        <w:rPr>
          <w:rFonts w:ascii="方正仿宋_GBK" w:hAnsi="方正仿宋_GBK" w:eastAsia="方正仿宋_GBK" w:cs="方正仿宋_GBK"/>
          <w:color w:val="auto"/>
          <w:sz w:val="32"/>
          <w:szCs w:val="32"/>
          <w:shd w:val="clear" w:color="auto" w:fill="FFFFFF"/>
        </w:rPr>
        <w:t>2023年度一般公共预算财政拨款收入</w:t>
      </w:r>
      <w:r>
        <w:rPr>
          <w:rFonts w:ascii="方正仿宋_GBK" w:hAnsi="方正仿宋_GBK" w:eastAsia="方正仿宋_GBK" w:cs="方正仿宋_GBK"/>
          <w:color w:val="auto"/>
          <w:sz w:val="32"/>
          <w:szCs w:val="32"/>
        </w:rPr>
        <w:t>2673.09</w:t>
      </w:r>
      <w:r>
        <w:rPr>
          <w:rFonts w:ascii="方正仿宋_GBK" w:hAnsi="方正仿宋_GBK" w:eastAsia="方正仿宋_GBK" w:cs="方正仿宋_GBK"/>
          <w:color w:val="auto"/>
          <w:sz w:val="32"/>
          <w:szCs w:val="32"/>
          <w:shd w:val="clear" w:color="auto" w:fill="FFFFFF"/>
        </w:rPr>
        <w:t>万元，较上年决算数增加465.58万元，增长21.09%。主要原因是</w:t>
      </w:r>
      <w:r>
        <w:rPr>
          <w:rFonts w:hint="eastAsia" w:ascii="方正仿宋_GBK" w:hAnsi="方正仿宋_GBK" w:eastAsia="方正仿宋_GBK" w:cs="方正仿宋_GBK"/>
          <w:color w:val="auto"/>
          <w:sz w:val="32"/>
          <w:szCs w:val="32"/>
          <w:shd w:val="clear" w:color="auto" w:fill="FFFFFF"/>
          <w:lang w:eastAsia="zh-CN"/>
        </w:rPr>
        <w:t>增加大宁盐场遗址保护资金</w:t>
      </w:r>
      <w:r>
        <w:rPr>
          <w:rFonts w:hint="eastAsia" w:ascii="方正仿宋_GBK" w:hAnsi="方正仿宋_GBK" w:eastAsia="方正仿宋_GBK" w:cs="方正仿宋_GBK"/>
          <w:color w:val="auto"/>
          <w:sz w:val="32"/>
          <w:szCs w:val="32"/>
          <w:shd w:val="clear" w:color="auto" w:fill="FFFFFF"/>
          <w:lang w:val="en-US" w:eastAsia="zh-CN"/>
        </w:rPr>
        <w:t>400余万元</w:t>
      </w:r>
      <w:r>
        <w:rPr>
          <w:rFonts w:ascii="方正仿宋_GBK" w:hAnsi="方正仿宋_GBK" w:eastAsia="方正仿宋_GBK" w:cs="方正仿宋_GBK"/>
          <w:color w:val="auto"/>
          <w:sz w:val="32"/>
          <w:szCs w:val="32"/>
          <w:shd w:val="clear" w:color="auto" w:fill="FFFFFF"/>
        </w:rPr>
        <w:t>。较年初预算数减少31.28万元，下降1.16%。主要原因是</w:t>
      </w:r>
      <w:r>
        <w:rPr>
          <w:rFonts w:hint="eastAsia" w:ascii="方正仿宋_GBK" w:hAnsi="方正仿宋_GBK" w:eastAsia="方正仿宋_GBK" w:cs="方正仿宋_GBK"/>
          <w:color w:val="auto"/>
          <w:sz w:val="32"/>
          <w:szCs w:val="32"/>
          <w:shd w:val="clear" w:color="auto" w:fill="FFFFFF"/>
          <w:lang w:eastAsia="zh-CN"/>
        </w:rPr>
        <w:t>本级财政厉行节约，压减支出</w:t>
      </w:r>
      <w:r>
        <w:rPr>
          <w:rFonts w:ascii="方正仿宋_GBK" w:hAnsi="方正仿宋_GBK" w:eastAsia="方正仿宋_GBK" w:cs="方正仿宋_GBK"/>
          <w:color w:val="auto"/>
          <w:sz w:val="32"/>
          <w:szCs w:val="32"/>
          <w:shd w:val="clear" w:color="auto" w:fill="FFFFFF"/>
        </w:rPr>
        <w:t>。此外，年初财政拨款结转和结余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lang w:val="en-US" w:eastAsia="zh-CN"/>
        </w:rPr>
      </w:pPr>
      <w:r>
        <w:rPr>
          <w:rStyle w:val="10"/>
          <w:rFonts w:ascii="方正仿宋_GBK" w:hAnsi="方正仿宋_GBK" w:eastAsia="方正仿宋_GBK" w:cs="方正仿宋_GBK"/>
          <w:b w:val="0"/>
          <w:bCs/>
          <w:color w:val="auto"/>
          <w:sz w:val="32"/>
          <w:szCs w:val="32"/>
          <w:shd w:val="clear" w:color="auto" w:fill="FFFFFF"/>
        </w:rPr>
        <w:t>2.支出情况。</w:t>
      </w:r>
      <w:r>
        <w:rPr>
          <w:rFonts w:ascii="方正仿宋_GBK" w:hAnsi="方正仿宋_GBK" w:eastAsia="方正仿宋_GBK" w:cs="方正仿宋_GBK"/>
          <w:color w:val="auto"/>
          <w:sz w:val="32"/>
          <w:szCs w:val="32"/>
          <w:shd w:val="clear" w:color="auto" w:fill="FFFFFF"/>
        </w:rPr>
        <w:t>2023年度一般公共预算财政拨款支出</w:t>
      </w:r>
      <w:r>
        <w:rPr>
          <w:rFonts w:ascii="方正仿宋_GBK" w:hAnsi="方正仿宋_GBK" w:eastAsia="方正仿宋_GBK" w:cs="方正仿宋_GBK"/>
          <w:color w:val="auto"/>
          <w:sz w:val="32"/>
          <w:szCs w:val="32"/>
        </w:rPr>
        <w:t>2673.09</w:t>
      </w:r>
      <w:r>
        <w:rPr>
          <w:rFonts w:ascii="方正仿宋_GBK" w:hAnsi="方正仿宋_GBK" w:eastAsia="方正仿宋_GBK" w:cs="方正仿宋_GBK"/>
          <w:color w:val="auto"/>
          <w:sz w:val="32"/>
          <w:szCs w:val="32"/>
          <w:shd w:val="clear" w:color="auto" w:fill="FFFFFF"/>
        </w:rPr>
        <w:t>万元，较上年决算数增加384.23万元，增长16.79%。主要原因是</w:t>
      </w:r>
      <w:r>
        <w:rPr>
          <w:rFonts w:hint="eastAsia" w:ascii="方正仿宋_GBK" w:hAnsi="方正仿宋_GBK" w:eastAsia="方正仿宋_GBK" w:cs="方正仿宋_GBK"/>
          <w:color w:val="auto"/>
          <w:sz w:val="32"/>
          <w:szCs w:val="32"/>
          <w:shd w:val="clear" w:color="auto" w:fill="FFFFFF"/>
          <w:lang w:eastAsia="zh-CN"/>
        </w:rPr>
        <w:t>增加大宁盐场遗址保护资金</w:t>
      </w:r>
      <w:r>
        <w:rPr>
          <w:rFonts w:ascii="方正仿宋_GBK" w:hAnsi="方正仿宋_GBK" w:eastAsia="方正仿宋_GBK" w:cs="方正仿宋_GBK"/>
          <w:color w:val="auto"/>
          <w:sz w:val="32"/>
          <w:szCs w:val="32"/>
          <w:shd w:val="clear" w:color="auto" w:fill="FFFFFF"/>
        </w:rPr>
        <w:t>。较年初预算数减少31.28万元，下降1.16%。主要原因是</w:t>
      </w:r>
      <w:r>
        <w:rPr>
          <w:rFonts w:hint="eastAsia" w:ascii="方正仿宋_GBK" w:hAnsi="方正仿宋_GBK" w:eastAsia="方正仿宋_GBK" w:cs="方正仿宋_GBK"/>
          <w:color w:val="auto"/>
          <w:sz w:val="32"/>
          <w:szCs w:val="32"/>
          <w:shd w:val="clear" w:color="auto" w:fill="FFFFFF"/>
          <w:lang w:eastAsia="zh-CN"/>
        </w:rPr>
        <w:t>本级财政厉行节约，压减支出</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Style w:val="10"/>
          <w:rFonts w:ascii="方正仿宋_GBK" w:hAnsi="方正仿宋_GBK" w:eastAsia="方正仿宋_GBK" w:cs="方正仿宋_GBK"/>
          <w:b w:val="0"/>
          <w:bCs/>
          <w:color w:val="auto"/>
          <w:sz w:val="32"/>
          <w:szCs w:val="32"/>
          <w:shd w:val="clear" w:color="auto" w:fill="FFFFFF"/>
        </w:rPr>
        <w:t>3.结转结余情况。</w:t>
      </w:r>
      <w:r>
        <w:rPr>
          <w:rFonts w:ascii="方正仿宋_GBK" w:hAnsi="方正仿宋_GBK" w:eastAsia="方正仿宋_GBK" w:cs="方正仿宋_GBK"/>
          <w:color w:val="auto"/>
          <w:sz w:val="32"/>
          <w:szCs w:val="32"/>
          <w:shd w:val="clear" w:color="auto" w:fill="FFFFFF"/>
        </w:rPr>
        <w:t>2023年度年末一般公共预算财政拨款结转和结余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万元，较上年决算数无增减，主要原因是</w:t>
      </w:r>
      <w:r>
        <w:rPr>
          <w:rFonts w:hint="eastAsia" w:ascii="方正仿宋_GBK" w:hAnsi="方正仿宋_GBK" w:eastAsia="方正仿宋_GBK" w:cs="方正仿宋_GBK"/>
          <w:color w:val="auto"/>
          <w:sz w:val="32"/>
          <w:szCs w:val="32"/>
          <w:shd w:val="clear" w:color="auto" w:fill="FFFFFF"/>
          <w:lang w:eastAsia="zh-CN"/>
        </w:rPr>
        <w:t>财政实行零结转制度</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color w:val="auto"/>
          <w:sz w:val="32"/>
          <w:szCs w:val="32"/>
          <w:shd w:val="clear" w:color="auto" w:fill="FFFFFF"/>
        </w:rPr>
      </w:pPr>
      <w:r>
        <w:rPr>
          <w:rStyle w:val="10"/>
          <w:rFonts w:ascii="方正仿宋_GBK" w:hAnsi="方正仿宋_GBK" w:eastAsia="方正仿宋_GBK" w:cs="方正仿宋_GBK"/>
          <w:b w:val="0"/>
          <w:bCs/>
          <w:color w:val="auto"/>
          <w:sz w:val="32"/>
          <w:szCs w:val="32"/>
          <w:shd w:val="clear" w:color="auto" w:fill="FFFFFF"/>
        </w:rPr>
        <w:t xml:space="preserve"> 4.比较情况。</w:t>
      </w:r>
      <w:r>
        <w:rPr>
          <w:rFonts w:ascii="方正仿宋_GBK" w:hAnsi="方正仿宋_GBK" w:eastAsia="方正仿宋_GBK" w:cs="方正仿宋_GBK"/>
          <w:color w:val="auto"/>
          <w:sz w:val="32"/>
          <w:szCs w:val="32"/>
          <w:shd w:val="clear" w:color="auto" w:fill="FFFFFF"/>
        </w:rPr>
        <w:t>本单位2023年度一般公共预算财政拨款支出主要用于以下几个方面：</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1</w:t>
      </w:r>
      <w:r>
        <w:rPr>
          <w:rFonts w:ascii="方正仿宋_GBK" w:hAnsi="方正仿宋_GBK" w:eastAsia="方正仿宋_GBK" w:cs="方正仿宋_GBK"/>
          <w:color w:val="auto"/>
          <w:sz w:val="32"/>
          <w:szCs w:val="32"/>
          <w:shd w:val="clear" w:color="auto" w:fill="FFFFFF"/>
        </w:rPr>
        <w:t>）文化旅游体育与传媒支出</w:t>
      </w:r>
      <w:r>
        <w:rPr>
          <w:rFonts w:ascii="方正仿宋_GBK" w:hAnsi="方正仿宋_GBK" w:eastAsia="方正仿宋_GBK" w:cs="方正仿宋_GBK"/>
          <w:color w:val="auto"/>
          <w:sz w:val="32"/>
          <w:szCs w:val="32"/>
        </w:rPr>
        <w:t>2479.18</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92.75</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jc w:val="both"/>
        <w:textAlignment w:val="auto"/>
        <w:rPr>
          <w:rFonts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较年初预算数减少46.47万元，下降1.84%，主要原因是主要原</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因是</w:t>
      </w:r>
      <w:r>
        <w:rPr>
          <w:rFonts w:hint="eastAsia" w:ascii="方正仿宋_GBK" w:hAnsi="方正仿宋_GBK" w:eastAsia="方正仿宋_GBK" w:cs="方正仿宋_GBK"/>
          <w:color w:val="auto"/>
          <w:sz w:val="32"/>
          <w:szCs w:val="32"/>
          <w:shd w:val="clear" w:color="auto" w:fill="FFFFFF"/>
          <w:lang w:eastAsia="zh-CN"/>
        </w:rPr>
        <w:t>财政厉行节约，压减支出。</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2</w:t>
      </w:r>
      <w:r>
        <w:rPr>
          <w:rFonts w:ascii="方正仿宋_GBK" w:hAnsi="方正仿宋_GBK" w:eastAsia="方正仿宋_GBK" w:cs="方正仿宋_GBK"/>
          <w:color w:val="auto"/>
          <w:sz w:val="32"/>
          <w:szCs w:val="32"/>
          <w:shd w:val="clear" w:color="auto" w:fill="FFFFFF"/>
        </w:rPr>
        <w:t>）社会保障与就业支出</w:t>
      </w:r>
      <w:r>
        <w:rPr>
          <w:rFonts w:ascii="方正仿宋_GBK" w:hAnsi="方正仿宋_GBK" w:eastAsia="方正仿宋_GBK" w:cs="方正仿宋_GBK"/>
          <w:color w:val="auto"/>
          <w:sz w:val="32"/>
          <w:szCs w:val="32"/>
        </w:rPr>
        <w:t>133.14</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4.98</w:t>
      </w:r>
      <w:r>
        <w:rPr>
          <w:rFonts w:ascii="方正仿宋_GBK" w:hAnsi="方正仿宋_GBK" w:eastAsia="方正仿宋_GBK" w:cs="方正仿宋_GBK"/>
          <w:color w:val="auto"/>
          <w:sz w:val="32"/>
          <w:szCs w:val="32"/>
          <w:shd w:val="clear" w:color="auto" w:fill="FFFFFF"/>
        </w:rPr>
        <w:t>%，较年初预算数增加15.19万元，增长12.88%，主要原因是</w:t>
      </w:r>
      <w:r>
        <w:rPr>
          <w:rFonts w:hint="eastAsia" w:ascii="方正仿宋_GBK" w:hAnsi="方正仿宋_GBK" w:eastAsia="方正仿宋_GBK" w:cs="方正仿宋_GBK"/>
          <w:color w:val="auto"/>
          <w:sz w:val="32"/>
          <w:szCs w:val="32"/>
          <w:shd w:val="clear" w:color="auto" w:fill="FFFFFF"/>
          <w:lang w:eastAsia="zh-CN"/>
        </w:rPr>
        <w:t>职工职业年金记实导致增加</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3</w:t>
      </w:r>
      <w:r>
        <w:rPr>
          <w:rFonts w:ascii="方正仿宋_GBK" w:hAnsi="方正仿宋_GBK" w:eastAsia="方正仿宋_GBK" w:cs="方正仿宋_GBK"/>
          <w:color w:val="auto"/>
          <w:sz w:val="32"/>
          <w:szCs w:val="32"/>
          <w:shd w:val="clear" w:color="auto" w:fill="FFFFFF"/>
        </w:rPr>
        <w:t>）卫生健康支出</w:t>
      </w:r>
      <w:r>
        <w:rPr>
          <w:rFonts w:ascii="方正仿宋_GBK" w:hAnsi="方正仿宋_GBK" w:eastAsia="方正仿宋_GBK" w:cs="方正仿宋_GBK"/>
          <w:color w:val="auto"/>
          <w:sz w:val="32"/>
          <w:szCs w:val="32"/>
        </w:rPr>
        <w:t>21.39</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0.80</w:t>
      </w:r>
      <w:r>
        <w:rPr>
          <w:rFonts w:ascii="方正仿宋_GBK" w:hAnsi="方正仿宋_GBK" w:eastAsia="方正仿宋_GBK" w:cs="方正仿宋_GBK"/>
          <w:color w:val="auto"/>
          <w:sz w:val="32"/>
          <w:szCs w:val="32"/>
          <w:shd w:val="clear" w:color="auto" w:fill="FFFFFF"/>
        </w:rPr>
        <w:t>%，较年初预算数无增减，主要原因是</w:t>
      </w:r>
      <w:r>
        <w:rPr>
          <w:rFonts w:hint="eastAsia" w:ascii="方正仿宋_GBK" w:hAnsi="方正仿宋_GBK" w:eastAsia="方正仿宋_GBK" w:cs="方正仿宋_GBK"/>
          <w:color w:val="auto"/>
          <w:sz w:val="32"/>
          <w:szCs w:val="32"/>
          <w:shd w:val="clear" w:color="auto" w:fill="FFFFFF"/>
          <w:lang w:eastAsia="zh-CN"/>
        </w:rPr>
        <w:t>医保全年无增减，按照预算执行</w:t>
      </w:r>
      <w:r>
        <w:rPr>
          <w:rFonts w:ascii="方正仿宋_GBK" w:hAnsi="方正仿宋_GBK" w:eastAsia="方正仿宋_GBK" w:cs="方正仿宋_GBK"/>
          <w:color w:val="auto"/>
          <w:sz w:val="32"/>
          <w:szCs w:val="32"/>
          <w:shd w:val="clear" w:color="auto" w:fill="FFFFFF"/>
        </w:rPr>
        <w:t>。</w:t>
      </w:r>
    </w:p>
    <w:p>
      <w:pPr>
        <w:keepNext w:val="0"/>
        <w:keepLines w:val="0"/>
        <w:pageBreakBefore w:val="0"/>
        <w:widowControl/>
        <w:kinsoku/>
        <w:wordWrap/>
        <w:overflowPunct/>
        <w:autoSpaceDN/>
        <w:bidi w:val="0"/>
        <w:adjustRightInd/>
        <w:spacing w:beforeAutospacing="0" w:afterAutospacing="0" w:line="600" w:lineRule="exact"/>
        <w:ind w:firstLine="640" w:firstLineChars="200"/>
        <w:textAlignment w:val="auto"/>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w:t>
      </w:r>
      <w:r>
        <w:rPr>
          <w:rFonts w:hint="eastAsia" w:ascii="方正仿宋_GBK" w:hAnsi="方正仿宋_GBK" w:eastAsia="方正仿宋_GBK" w:cs="方正仿宋_GBK"/>
          <w:color w:val="auto"/>
          <w:sz w:val="32"/>
          <w:szCs w:val="32"/>
          <w:shd w:val="clear" w:color="auto" w:fill="FFFFFF"/>
          <w:lang w:val="en-US" w:eastAsia="zh-CN"/>
        </w:rPr>
        <w:t>4</w:t>
      </w:r>
      <w:r>
        <w:rPr>
          <w:rFonts w:ascii="方正仿宋_GBK" w:hAnsi="方正仿宋_GBK" w:eastAsia="方正仿宋_GBK" w:cs="方正仿宋_GBK"/>
          <w:color w:val="auto"/>
          <w:sz w:val="32"/>
          <w:szCs w:val="32"/>
          <w:shd w:val="clear" w:color="auto" w:fill="FFFFFF"/>
        </w:rPr>
        <w:t>）</w:t>
      </w:r>
      <w:r>
        <w:rPr>
          <w:rFonts w:ascii="方正仿宋_GBK" w:hAnsi="方正仿宋_GBK" w:eastAsia="方正仿宋_GBK" w:cs="方正仿宋_GBK"/>
          <w:color w:val="auto"/>
          <w:sz w:val="32"/>
          <w:szCs w:val="32"/>
        </w:rPr>
        <w:t>住房保障支出39.38</w:t>
      </w:r>
      <w:r>
        <w:rPr>
          <w:rFonts w:ascii="方正仿宋_GBK" w:hAnsi="方正仿宋_GBK" w:eastAsia="方正仿宋_GBK" w:cs="方正仿宋_GBK"/>
          <w:color w:val="auto"/>
          <w:sz w:val="32"/>
          <w:szCs w:val="32"/>
          <w:shd w:val="clear" w:color="auto" w:fill="FFFFFF"/>
        </w:rPr>
        <w:t>万元，占</w:t>
      </w:r>
      <w:r>
        <w:rPr>
          <w:rFonts w:ascii="方正仿宋_GBK" w:hAnsi="方正仿宋_GBK" w:eastAsia="方正仿宋_GBK" w:cs="方正仿宋_GBK"/>
          <w:color w:val="auto"/>
          <w:sz w:val="32"/>
          <w:szCs w:val="32"/>
        </w:rPr>
        <w:t>1.47</w:t>
      </w:r>
      <w:r>
        <w:rPr>
          <w:rFonts w:ascii="方正仿宋_GBK" w:hAnsi="方正仿宋_GBK" w:eastAsia="方正仿宋_GBK" w:cs="方正仿宋_GBK"/>
          <w:color w:val="auto"/>
          <w:sz w:val="32"/>
          <w:szCs w:val="32"/>
          <w:shd w:val="clear" w:color="auto" w:fill="FFFFFF"/>
        </w:rPr>
        <w:t>%，较年初预算数无增减，主要原因是</w:t>
      </w:r>
      <w:r>
        <w:rPr>
          <w:rFonts w:hint="eastAsia" w:ascii="方正仿宋_GBK" w:hAnsi="方正仿宋_GBK" w:eastAsia="方正仿宋_GBK" w:cs="方正仿宋_GBK"/>
          <w:color w:val="auto"/>
          <w:sz w:val="32"/>
          <w:szCs w:val="32"/>
          <w:shd w:val="clear" w:color="auto" w:fill="FFFFFF"/>
          <w:lang w:eastAsia="zh-CN"/>
        </w:rPr>
        <w:t>住房公积金全年无增减，按照预算执行</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（四）一般公共预算财政拨款基本支出决算情况说明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 2023年度一般公共财政拨款基本支出</w:t>
      </w:r>
      <w:r>
        <w:rPr>
          <w:rFonts w:ascii="方正仿宋_GBK" w:hAnsi="方正仿宋_GBK" w:eastAsia="方正仿宋_GBK" w:cs="方正仿宋_GBK"/>
          <w:color w:val="auto"/>
          <w:sz w:val="32"/>
          <w:szCs w:val="32"/>
        </w:rPr>
        <w:t>666.10</w:t>
      </w:r>
      <w:r>
        <w:rPr>
          <w:rFonts w:ascii="方正仿宋_GBK" w:hAnsi="方正仿宋_GBK" w:eastAsia="方正仿宋_GBK" w:cs="方正仿宋_GBK"/>
          <w:color w:val="auto"/>
          <w:sz w:val="32"/>
          <w:szCs w:val="32"/>
          <w:shd w:val="clear" w:color="auto" w:fill="FFFFFF"/>
        </w:rPr>
        <w:t>万元。其中：人员经费</w:t>
      </w:r>
      <w:r>
        <w:rPr>
          <w:rFonts w:ascii="方正仿宋_GBK" w:hAnsi="方正仿宋_GBK" w:eastAsia="方正仿宋_GBK" w:cs="方正仿宋_GBK"/>
          <w:color w:val="auto"/>
          <w:sz w:val="32"/>
          <w:szCs w:val="32"/>
        </w:rPr>
        <w:t>580.97</w:t>
      </w:r>
      <w:r>
        <w:rPr>
          <w:rFonts w:ascii="方正仿宋_GBK" w:hAnsi="方正仿宋_GBK" w:eastAsia="方正仿宋_GBK" w:cs="方正仿宋_GBK"/>
          <w:color w:val="auto"/>
          <w:sz w:val="32"/>
          <w:szCs w:val="32"/>
          <w:shd w:val="clear" w:color="auto" w:fill="FFFFFF"/>
        </w:rPr>
        <w:t>万元，较上年决算数增加34.76万元，增长6.36%，主要原因是</w:t>
      </w:r>
      <w:r>
        <w:rPr>
          <w:rFonts w:hint="eastAsia" w:ascii="方正仿宋_GBK" w:hAnsi="方正仿宋_GBK" w:eastAsia="方正仿宋_GBK" w:cs="方正仿宋_GBK"/>
          <w:color w:val="auto"/>
          <w:sz w:val="32"/>
          <w:szCs w:val="32"/>
          <w:shd w:val="clear" w:color="auto" w:fill="FFFFFF"/>
          <w:lang w:eastAsia="zh-CN"/>
        </w:rPr>
        <w:t>增加职工职业年金记实资金</w:t>
      </w:r>
      <w:r>
        <w:rPr>
          <w:rFonts w:hint="eastAsia" w:ascii="方正仿宋_GBK" w:hAnsi="方正仿宋_GBK" w:eastAsia="方正仿宋_GBK" w:cs="方正仿宋_GBK"/>
          <w:color w:val="auto"/>
          <w:sz w:val="32"/>
          <w:szCs w:val="32"/>
          <w:shd w:val="clear" w:color="auto" w:fill="FFFFFF"/>
          <w:lang w:val="en-US" w:eastAsia="zh-CN"/>
        </w:rPr>
        <w:t>15万元，增加新招录人员20万元</w:t>
      </w:r>
      <w:r>
        <w:rPr>
          <w:rFonts w:ascii="方正仿宋_GBK" w:hAnsi="方正仿宋_GBK" w:eastAsia="方正仿宋_GBK" w:cs="方正仿宋_GBK"/>
          <w:color w:val="auto"/>
          <w:sz w:val="32"/>
          <w:szCs w:val="32"/>
          <w:shd w:val="clear" w:color="auto" w:fill="FFFFFF"/>
        </w:rPr>
        <w:t>。人员经费用途主要包括</w:t>
      </w:r>
      <w:r>
        <w:rPr>
          <w:rFonts w:hint="eastAsia" w:ascii="方正仿宋_GBK" w:hAnsi="方正仿宋_GBK" w:eastAsia="方正仿宋_GBK" w:cs="方正仿宋_GBK"/>
          <w:color w:val="auto"/>
          <w:sz w:val="32"/>
          <w:szCs w:val="32"/>
          <w:shd w:val="clear" w:color="auto" w:fill="FFFFFF"/>
          <w:lang w:eastAsia="zh-CN"/>
        </w:rPr>
        <w:t>基本工资</w:t>
      </w:r>
      <w:r>
        <w:rPr>
          <w:rFonts w:hint="eastAsia" w:ascii="方正仿宋_GBK" w:hAnsi="方正仿宋_GBK" w:eastAsia="方正仿宋_GBK" w:cs="方正仿宋_GBK"/>
          <w:color w:val="auto"/>
          <w:sz w:val="32"/>
          <w:szCs w:val="32"/>
          <w:shd w:val="clear" w:color="auto" w:fill="FFFFFF"/>
          <w:lang w:val="en-US" w:eastAsia="zh-CN"/>
        </w:rPr>
        <w:t>134.9万元，津贴补贴86.25万元，奖金105.2万元，伙食补助6.54万元，绩效工资38.24万元，机关事业单位养老保险缴费48.04万元，职业年金缴费30.02万元，职工医疗保险缴费21.39万元，住房公积金39.38万元，其他工资福利支出15.85万元，退休费52.88万元</w:t>
      </w:r>
      <w:r>
        <w:rPr>
          <w:rFonts w:ascii="方正仿宋_GBK" w:hAnsi="方正仿宋_GBK" w:eastAsia="方正仿宋_GBK" w:cs="方正仿宋_GBK"/>
          <w:color w:val="auto"/>
          <w:sz w:val="32"/>
          <w:szCs w:val="32"/>
          <w:shd w:val="clear" w:color="auto" w:fill="FFFFFF"/>
        </w:rPr>
        <w:t>。公用经费</w:t>
      </w:r>
      <w:r>
        <w:rPr>
          <w:rFonts w:ascii="方正仿宋_GBK" w:hAnsi="方正仿宋_GBK" w:eastAsia="方正仿宋_GBK" w:cs="方正仿宋_GBK"/>
          <w:color w:val="auto"/>
          <w:sz w:val="32"/>
          <w:szCs w:val="32"/>
        </w:rPr>
        <w:t>85.13</w:t>
      </w:r>
      <w:r>
        <w:rPr>
          <w:rFonts w:ascii="方正仿宋_GBK" w:hAnsi="方正仿宋_GBK" w:eastAsia="方正仿宋_GBK" w:cs="方正仿宋_GBK"/>
          <w:color w:val="auto"/>
          <w:sz w:val="32"/>
          <w:szCs w:val="32"/>
          <w:shd w:val="clear" w:color="auto" w:fill="FFFFFF"/>
        </w:rPr>
        <w:t>万元，较上年决算数增加4.98万元，增长6.21%，主要原因是</w:t>
      </w:r>
      <w:r>
        <w:rPr>
          <w:rFonts w:hint="eastAsia" w:ascii="方正仿宋_GBK" w:hAnsi="方正仿宋_GBK" w:eastAsia="方正仿宋_GBK" w:cs="方正仿宋_GBK"/>
          <w:color w:val="auto"/>
          <w:sz w:val="32"/>
          <w:szCs w:val="32"/>
          <w:shd w:val="clear" w:color="auto" w:fill="FFFFFF"/>
          <w:lang w:eastAsia="zh-CN"/>
        </w:rPr>
        <w:t>人员增加</w:t>
      </w:r>
      <w:r>
        <w:rPr>
          <w:rFonts w:hint="eastAsia" w:ascii="方正仿宋_GBK" w:hAnsi="方正仿宋_GBK" w:eastAsia="方正仿宋_GBK" w:cs="方正仿宋_GBK"/>
          <w:color w:val="auto"/>
          <w:sz w:val="32"/>
          <w:szCs w:val="32"/>
          <w:shd w:val="clear" w:color="auto" w:fill="FFFFFF"/>
          <w:lang w:val="en-US" w:eastAsia="zh-CN"/>
        </w:rPr>
        <w:t>2名</w:t>
      </w:r>
      <w:r>
        <w:rPr>
          <w:rFonts w:ascii="方正仿宋_GBK" w:hAnsi="方正仿宋_GBK" w:eastAsia="方正仿宋_GBK" w:cs="方正仿宋_GBK"/>
          <w:color w:val="auto"/>
          <w:sz w:val="32"/>
          <w:szCs w:val="32"/>
          <w:shd w:val="clear" w:color="auto" w:fill="FFFFFF"/>
        </w:rPr>
        <w:t>。公用经费用途主要包括</w:t>
      </w:r>
      <w:r>
        <w:rPr>
          <w:rFonts w:hint="eastAsia" w:ascii="方正仿宋_GBK" w:hAnsi="方正仿宋_GBK" w:eastAsia="方正仿宋_GBK" w:cs="方正仿宋_GBK"/>
          <w:color w:val="auto"/>
          <w:sz w:val="32"/>
          <w:szCs w:val="32"/>
          <w:shd w:val="clear" w:color="auto" w:fill="FFFFFF"/>
          <w:lang w:eastAsia="zh-CN"/>
        </w:rPr>
        <w:t>办公费</w:t>
      </w:r>
      <w:r>
        <w:rPr>
          <w:rFonts w:hint="eastAsia" w:ascii="方正仿宋_GBK" w:hAnsi="方正仿宋_GBK" w:eastAsia="方正仿宋_GBK" w:cs="方正仿宋_GBK"/>
          <w:color w:val="auto"/>
          <w:sz w:val="32"/>
          <w:szCs w:val="32"/>
          <w:shd w:val="clear" w:color="auto" w:fill="FFFFFF"/>
          <w:lang w:val="en-US" w:eastAsia="zh-CN"/>
        </w:rPr>
        <w:t>10.13万元，印刷费0.41万元，水费0.72万元，电费2万元，邮电费7万元，物业管理费3.5万元，差旅费11.43万元，维修维护费1.34万元，公务接待费3.16万元，工会经费3.25万元，福利费3.65万元，公车运行维护费4.53万元，其他交通费22.38万元，其他商品和服务支出5.52万元</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（五）政府性基金预算收支决算情况说明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2023年度政府性基金预算财政拨款年初结转结余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万元，年末结转结余</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万元。本年收入</w:t>
      </w:r>
      <w:r>
        <w:rPr>
          <w:rFonts w:ascii="方正仿宋_GBK" w:hAnsi="方正仿宋_GBK" w:eastAsia="方正仿宋_GBK" w:cs="方正仿宋_GBK"/>
          <w:color w:val="auto"/>
          <w:sz w:val="32"/>
          <w:szCs w:val="32"/>
        </w:rPr>
        <w:t>1619.94</w:t>
      </w:r>
      <w:r>
        <w:rPr>
          <w:rFonts w:ascii="方正仿宋_GBK" w:hAnsi="方正仿宋_GBK" w:eastAsia="方正仿宋_GBK" w:cs="方正仿宋_GBK"/>
          <w:color w:val="auto"/>
          <w:sz w:val="32"/>
          <w:szCs w:val="32"/>
          <w:shd w:val="clear" w:color="auto" w:fill="FFFFFF"/>
        </w:rPr>
        <w:t>万元，较上年决算数增加1536.53万元，增长1842.14%，主要原因是</w:t>
      </w:r>
      <w:r>
        <w:rPr>
          <w:rFonts w:hint="eastAsia" w:ascii="方正仿宋_GBK" w:hAnsi="方正仿宋_GBK" w:eastAsia="方正仿宋_GBK" w:cs="方正仿宋_GBK"/>
          <w:color w:val="auto"/>
          <w:sz w:val="32"/>
          <w:szCs w:val="32"/>
          <w:shd w:val="clear" w:color="auto" w:fill="FFFFFF"/>
          <w:lang w:eastAsia="zh-CN"/>
        </w:rPr>
        <w:t>增加政府专项债券</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-旅游基础设施建设资金1500万元，体育彩票公益金36万元</w:t>
      </w:r>
      <w:r>
        <w:rPr>
          <w:rFonts w:ascii="方正仿宋_GBK" w:hAnsi="方正仿宋_GBK" w:eastAsia="方正仿宋_GBK" w:cs="方正仿宋_GBK"/>
          <w:color w:val="auto"/>
          <w:sz w:val="32"/>
          <w:szCs w:val="32"/>
          <w:shd w:val="clear" w:color="auto" w:fill="FFFFFF"/>
        </w:rPr>
        <w:t>。本年支出</w:t>
      </w:r>
      <w:r>
        <w:rPr>
          <w:rFonts w:ascii="方正仿宋_GBK" w:hAnsi="方正仿宋_GBK" w:eastAsia="方正仿宋_GBK" w:cs="方正仿宋_GBK"/>
          <w:color w:val="auto"/>
          <w:sz w:val="32"/>
          <w:szCs w:val="32"/>
        </w:rPr>
        <w:t>1619.94</w:t>
      </w:r>
      <w:r>
        <w:rPr>
          <w:rFonts w:ascii="方正仿宋_GBK" w:hAnsi="方正仿宋_GBK" w:eastAsia="方正仿宋_GBK" w:cs="方正仿宋_GBK"/>
          <w:color w:val="auto"/>
          <w:sz w:val="32"/>
          <w:szCs w:val="32"/>
          <w:shd w:val="clear" w:color="auto" w:fill="FFFFFF"/>
        </w:rPr>
        <w:t>万元，较上年决算数增加1536.53万元，增长1842.14%，主要原因是</w:t>
      </w:r>
      <w:r>
        <w:rPr>
          <w:rFonts w:hint="eastAsia" w:ascii="方正仿宋_GBK" w:hAnsi="方正仿宋_GBK" w:eastAsia="方正仿宋_GBK" w:cs="方正仿宋_GBK"/>
          <w:color w:val="auto"/>
          <w:sz w:val="32"/>
          <w:szCs w:val="32"/>
          <w:shd w:val="clear" w:color="auto" w:fill="FFFFFF"/>
          <w:lang w:eastAsia="zh-CN"/>
        </w:rPr>
        <w:t>增加政府专项债券</w:t>
      </w:r>
      <w:r>
        <w:rPr>
          <w:rFonts w:hint="eastAsia" w:ascii="方正仿宋_GBK" w:hAnsi="方正仿宋_GBK" w:eastAsia="方正仿宋_GBK" w:cs="方正仿宋_GBK"/>
          <w:color w:val="auto"/>
          <w:sz w:val="32"/>
          <w:szCs w:val="32"/>
          <w:shd w:val="clear" w:color="auto" w:fill="FFFFFF"/>
          <w:lang w:val="en-US" w:eastAsia="zh-CN"/>
        </w:rPr>
        <w:t>-旅游基础设施建设资金1500万元，体育彩票公益金36万元</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（六）国有资本经营预算财政拨款支出决算情况说明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b w:val="0"/>
          <w:bCs/>
          <w:color w:val="auto"/>
          <w:sz w:val="32"/>
          <w:szCs w:val="32"/>
        </w:rPr>
      </w:pPr>
      <w:r>
        <w:rPr>
          <w:rFonts w:ascii="方正仿宋_GBK" w:hAnsi="方正仿宋_GBK" w:eastAsia="方正仿宋_GBK" w:cs="方正仿宋_GBK"/>
          <w:color w:val="auto"/>
          <w:sz w:val="32"/>
          <w:szCs w:val="32"/>
          <w:shd w:val="clear" w:color="auto" w:fill="FFFFFF"/>
        </w:rPr>
        <w:t>本单位2023年度无国有资本经营预算财政拨款支出。</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Style w:val="17"/>
          <w:rFonts w:hint="eastAsia" w:ascii="方正黑体_GBK" w:hAnsi="方正黑体_GBK" w:eastAsia="方正黑体_GBK" w:cs="方正黑体_GBK"/>
          <w:b w:val="0"/>
          <w:bCs w:val="0"/>
          <w:color w:val="auto"/>
          <w:sz w:val="32"/>
          <w:szCs w:val="32"/>
          <w:shd w:val="clear" w:fill="FFFFFF"/>
        </w:rPr>
      </w:pPr>
      <w:r>
        <w:rPr>
          <w:rStyle w:val="17"/>
          <w:rFonts w:hint="eastAsia" w:ascii="方正黑体_GBK" w:hAnsi="方正黑体_GBK" w:eastAsia="方正黑体_GBK" w:cs="方正黑体_GBK"/>
          <w:b w:val="0"/>
          <w:bCs w:val="0"/>
          <w:color w:val="auto"/>
          <w:sz w:val="32"/>
          <w:szCs w:val="32"/>
          <w:shd w:val="clear" w:fill="FFFFFF"/>
        </w:rPr>
        <w:t>三、“三公”经费情况说明</w:t>
      </w:r>
    </w:p>
    <w:p>
      <w:pPr>
        <w:pStyle w:val="11"/>
        <w:keepNext w:val="0"/>
        <w:keepLines w:val="0"/>
        <w:pageBreakBefore w:val="0"/>
        <w:widowControl/>
        <w:kinsoku/>
        <w:wordWrap/>
        <w:overflowPunct/>
        <w:autoSpaceDE w:val="0"/>
        <w:autoSpaceDN/>
        <w:bidi w:val="0"/>
        <w:adjustRightInd/>
        <w:spacing w:beforeAutospacing="0" w:afterAutospacing="0" w:line="600" w:lineRule="exact"/>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（一）“三公”经费支出总体情况说明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2023年度“三公”经费支出共计</w:t>
      </w:r>
      <w:r>
        <w:rPr>
          <w:rFonts w:ascii="方正仿宋_GBK" w:hAnsi="方正仿宋_GBK" w:eastAsia="方正仿宋_GBK" w:cs="方正仿宋_GBK"/>
          <w:color w:val="auto"/>
          <w:sz w:val="32"/>
          <w:szCs w:val="32"/>
        </w:rPr>
        <w:t>9.58</w:t>
      </w:r>
      <w:r>
        <w:rPr>
          <w:rFonts w:ascii="方正仿宋_GBK" w:hAnsi="方正仿宋_GBK" w:eastAsia="方正仿宋_GBK" w:cs="方正仿宋_GBK"/>
          <w:color w:val="auto"/>
          <w:sz w:val="32"/>
          <w:szCs w:val="32"/>
          <w:shd w:val="clear" w:color="auto" w:fill="FFFFFF"/>
        </w:rPr>
        <w:t>万元，较年初预算数减少1.42万元，下降12.91%，主要原因是</w:t>
      </w:r>
      <w:r>
        <w:rPr>
          <w:rFonts w:hint="eastAsia" w:ascii="方正仿宋_GBK" w:hAnsi="方正仿宋_GBK" w:eastAsia="方正仿宋_GBK" w:cs="方正仿宋_GBK"/>
          <w:color w:val="auto"/>
          <w:sz w:val="32"/>
          <w:szCs w:val="32"/>
          <w:shd w:val="clear" w:color="auto" w:fill="FFFFFF"/>
          <w:lang w:eastAsia="zh-CN"/>
        </w:rPr>
        <w:t>本单位厉行节约，压减公用经费支出</w:t>
      </w:r>
      <w:r>
        <w:rPr>
          <w:rFonts w:hint="eastAsia" w:ascii="方正仿宋_GBK" w:hAnsi="方正仿宋_GBK" w:eastAsia="方正仿宋_GBK" w:cs="方正仿宋_GBK"/>
          <w:i w:val="0"/>
          <w:iCs w:val="0"/>
          <w:caps w:val="0"/>
          <w:color w:val="auto"/>
          <w:spacing w:val="0"/>
          <w:kern w:val="0"/>
          <w:sz w:val="32"/>
          <w:szCs w:val="32"/>
          <w:shd w:val="clear" w:fill="FFFFFF"/>
        </w:rPr>
        <w:t>，部分应该线下开展的考察、文旅活动、工作检查都通过线上形式完成，接待事项减少，接待规模缩小</w:t>
      </w:r>
      <w:r>
        <w:rPr>
          <w:rFonts w:ascii="方正仿宋_GBK" w:hAnsi="方正仿宋_GBK" w:eastAsia="方正仿宋_GBK" w:cs="方正仿宋_GBK"/>
          <w:color w:val="auto"/>
          <w:sz w:val="32"/>
          <w:szCs w:val="32"/>
          <w:shd w:val="clear" w:color="auto" w:fill="FFFFFF"/>
        </w:rPr>
        <w:t>。较上年支出数减少7.14万元，下降42.70%，主要原因是</w:t>
      </w:r>
      <w:r>
        <w:rPr>
          <w:rFonts w:hint="eastAsia" w:ascii="方正仿宋_GBK" w:hAnsi="方正仿宋_GBK" w:eastAsia="方正仿宋_GBK" w:cs="方正仿宋_GBK"/>
          <w:color w:val="auto"/>
          <w:sz w:val="32"/>
          <w:szCs w:val="32"/>
          <w:shd w:val="clear" w:color="auto" w:fill="FFFFFF"/>
          <w:lang w:eastAsia="zh-CN"/>
        </w:rPr>
        <w:t>本单位厉行节约，压减公用经费支出，</w:t>
      </w:r>
      <w:r>
        <w:rPr>
          <w:rFonts w:hint="eastAsia" w:ascii="方正仿宋_GBK" w:hAnsi="方正仿宋_GBK" w:eastAsia="方正仿宋_GBK" w:cs="方正仿宋_GBK"/>
          <w:i w:val="0"/>
          <w:iCs w:val="0"/>
          <w:caps w:val="0"/>
          <w:color w:val="auto"/>
          <w:spacing w:val="0"/>
          <w:kern w:val="0"/>
          <w:sz w:val="32"/>
          <w:szCs w:val="32"/>
          <w:shd w:val="clear" w:fill="FFFFFF"/>
        </w:rPr>
        <w:t>部分应该线下开展的考察、文旅活动、工作检查都通过线上形式完成，接待事项减少，接待规模缩小</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（二）“三公”经费分项支出情况</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2023年度本单位因公出国（境）费用</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r>
        <w:rPr>
          <w:rFonts w:hint="eastAsia" w:ascii="方正仿宋_GBK" w:hAnsi="方正仿宋_GBK" w:eastAsia="方正仿宋_GBK" w:cs="方正仿宋_GBK"/>
          <w:color w:val="auto"/>
          <w:sz w:val="32"/>
          <w:szCs w:val="32"/>
          <w:shd w:val="clear" w:color="auto" w:fill="FFFFFF"/>
          <w:lang w:eastAsia="zh-CN"/>
        </w:rPr>
        <w:t>我单位未发生出国（出境）费用</w:t>
      </w:r>
      <w:r>
        <w:rPr>
          <w:rFonts w:ascii="方正仿宋_GBK" w:hAnsi="方正仿宋_GBK" w:eastAsia="方正仿宋_GBK" w:cs="方正仿宋_GBK"/>
          <w:color w:val="auto"/>
          <w:sz w:val="32"/>
          <w:szCs w:val="32"/>
          <w:shd w:val="clear" w:color="auto" w:fill="FFFFFF"/>
        </w:rPr>
        <w:t>。</w:t>
      </w:r>
    </w:p>
    <w:p>
      <w:pPr>
        <w:pStyle w:val="1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autoSpaceDE w:val="0"/>
        <w:autoSpaceDN/>
        <w:bidi w:val="0"/>
        <w:adjustRightInd/>
        <w:spacing w:before="0" w:beforeAutospacing="0" w:after="0" w:afterAutospacing="0" w:line="600" w:lineRule="exact"/>
        <w:ind w:left="0" w:leftChars="0" w:right="0"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公务车购置费</w:t>
      </w:r>
      <w:r>
        <w:rPr>
          <w:rFonts w:ascii="方正仿宋_GBK" w:hAnsi="方正仿宋_GBK" w:eastAsia="方正仿宋_GBK" w:cs="方正仿宋_GBK"/>
          <w:color w:val="auto"/>
          <w:sz w:val="32"/>
          <w:szCs w:val="32"/>
        </w:rPr>
        <w:t>0.00</w:t>
      </w:r>
      <w:r>
        <w:rPr>
          <w:rFonts w:ascii="方正仿宋_GBK" w:hAnsi="方正仿宋_GBK" w:eastAsia="方正仿宋_GBK" w:cs="方正仿宋_GBK"/>
          <w:color w:val="auto"/>
          <w:sz w:val="32"/>
          <w:szCs w:val="32"/>
          <w:shd w:val="clear" w:color="auto" w:fill="FFFFFF"/>
        </w:rPr>
        <w:t>万元，</w:t>
      </w:r>
      <w:r>
        <w:rPr>
          <w:rFonts w:hint="eastAsia" w:ascii="方正仿宋_GBK" w:hAnsi="方正仿宋_GBK" w:eastAsia="方正仿宋_GBK" w:cs="方正仿宋_GBK"/>
          <w:i w:val="0"/>
          <w:iCs w:val="0"/>
          <w:caps w:val="0"/>
          <w:color w:val="auto"/>
          <w:spacing w:val="0"/>
          <w:kern w:val="0"/>
          <w:sz w:val="32"/>
          <w:szCs w:val="32"/>
          <w:shd w:val="clear" w:fill="FFFFFF"/>
        </w:rPr>
        <w:t>我单位202</w:t>
      </w:r>
      <w:r>
        <w:rPr>
          <w:rFonts w:hint="eastAsia" w:ascii="方正仿宋_GBK" w:hAnsi="方正仿宋_GBK" w:eastAsia="方正仿宋_GBK" w:cs="方正仿宋_GBK"/>
          <w:i w:val="0"/>
          <w:iCs w:val="0"/>
          <w:caps w:val="0"/>
          <w:color w:val="auto"/>
          <w:spacing w:val="0"/>
          <w:kern w:val="0"/>
          <w:sz w:val="32"/>
          <w:szCs w:val="32"/>
          <w:shd w:val="clear" w:fill="FFFFFF"/>
          <w:lang w:val="en-US" w:eastAsia="zh-CN"/>
        </w:rPr>
        <w:t>3</w:t>
      </w:r>
      <w:r>
        <w:rPr>
          <w:rFonts w:hint="eastAsia" w:ascii="方正仿宋_GBK" w:hAnsi="方正仿宋_GBK" w:eastAsia="方正仿宋_GBK" w:cs="方正仿宋_GBK"/>
          <w:i w:val="0"/>
          <w:iCs w:val="0"/>
          <w:caps w:val="0"/>
          <w:color w:val="auto"/>
          <w:spacing w:val="0"/>
          <w:kern w:val="0"/>
          <w:sz w:val="32"/>
          <w:szCs w:val="32"/>
          <w:shd w:val="clear" w:fill="FFFFFF"/>
        </w:rPr>
        <w:t>年度未发生</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公务车辆购置</w:t>
      </w:r>
      <w:r>
        <w:rPr>
          <w:rFonts w:hint="eastAsia" w:ascii="方正仿宋_GBK" w:hAnsi="方正仿宋_GBK" w:eastAsia="方正仿宋_GBK" w:cs="方正仿宋_GBK"/>
          <w:i w:val="0"/>
          <w:iCs w:val="0"/>
          <w:caps w:val="0"/>
          <w:color w:val="auto"/>
          <w:spacing w:val="0"/>
          <w:kern w:val="0"/>
          <w:sz w:val="32"/>
          <w:szCs w:val="32"/>
          <w:shd w:val="clear" w:fill="FFFFFF"/>
        </w:rPr>
        <w:t>费用</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公务车运行维护费</w:t>
      </w:r>
      <w:r>
        <w:rPr>
          <w:rFonts w:ascii="方正仿宋_GBK" w:hAnsi="方正仿宋_GBK" w:eastAsia="方正仿宋_GBK" w:cs="方正仿宋_GBK"/>
          <w:color w:val="auto"/>
          <w:sz w:val="32"/>
          <w:szCs w:val="32"/>
        </w:rPr>
        <w:t>4.58</w:t>
      </w:r>
      <w:r>
        <w:rPr>
          <w:rFonts w:ascii="方正仿宋_GBK" w:hAnsi="方正仿宋_GBK" w:eastAsia="方正仿宋_GBK" w:cs="方正仿宋_GBK"/>
          <w:color w:val="auto"/>
          <w:sz w:val="32"/>
          <w:szCs w:val="32"/>
          <w:shd w:val="clear" w:color="auto" w:fill="FFFFFF"/>
        </w:rPr>
        <w:t>万元，</w:t>
      </w:r>
      <w:r>
        <w:rPr>
          <w:rFonts w:hint="eastAsia" w:ascii="方正仿宋_GBK" w:hAnsi="方正仿宋_GBK" w:eastAsia="方正仿宋_GBK" w:cs="方正仿宋_GBK"/>
          <w:i w:val="0"/>
          <w:iCs w:val="0"/>
          <w:caps w:val="0"/>
          <w:color w:val="auto"/>
          <w:spacing w:val="0"/>
          <w:kern w:val="0"/>
          <w:sz w:val="32"/>
          <w:szCs w:val="32"/>
          <w:shd w:val="clear" w:fill="FFFFFF"/>
        </w:rPr>
        <w:t>主要用于我单位公务车辆的维修维护、油料费、路桥费。</w:t>
      </w:r>
      <w:r>
        <w:rPr>
          <w:rFonts w:ascii="方正仿宋_GBK" w:hAnsi="方正仿宋_GBK" w:eastAsia="方正仿宋_GBK" w:cs="方正仿宋_GBK"/>
          <w:color w:val="auto"/>
          <w:sz w:val="32"/>
          <w:szCs w:val="32"/>
          <w:shd w:val="clear" w:color="auto" w:fill="FFFFFF"/>
        </w:rPr>
        <w:t>费用支出较年初预算数减少1.42万元，下降23.67%，</w:t>
      </w:r>
      <w:r>
        <w:rPr>
          <w:rFonts w:hint="eastAsia" w:ascii="方正仿宋_GBK" w:hAnsi="方正仿宋_GBK" w:eastAsia="方正仿宋_GBK" w:cs="方正仿宋_GBK"/>
          <w:i w:val="0"/>
          <w:iCs w:val="0"/>
          <w:caps w:val="0"/>
          <w:color w:val="auto"/>
          <w:spacing w:val="0"/>
          <w:kern w:val="0"/>
          <w:sz w:val="32"/>
          <w:szCs w:val="32"/>
          <w:shd w:val="clear" w:fill="FFFFFF"/>
        </w:rPr>
        <w:t>主要原因是本年部分线下工作转为线上完成，减少用车</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频次</w:t>
      </w:r>
      <w:r>
        <w:rPr>
          <w:rFonts w:hint="eastAsia" w:ascii="方正仿宋_GBK" w:hAnsi="方正仿宋_GBK" w:eastAsia="方正仿宋_GBK" w:cs="方正仿宋_GBK"/>
          <w:i w:val="0"/>
          <w:iCs w:val="0"/>
          <w:caps w:val="0"/>
          <w:color w:val="auto"/>
          <w:spacing w:val="0"/>
          <w:kern w:val="0"/>
          <w:sz w:val="32"/>
          <w:szCs w:val="32"/>
          <w:shd w:val="clear" w:fill="FFFFFF"/>
        </w:rPr>
        <w:t>。</w:t>
      </w:r>
      <w:r>
        <w:rPr>
          <w:rFonts w:ascii="方正仿宋_GBK" w:hAnsi="方正仿宋_GBK" w:eastAsia="方正仿宋_GBK" w:cs="方正仿宋_GBK"/>
          <w:color w:val="auto"/>
          <w:sz w:val="32"/>
          <w:szCs w:val="32"/>
          <w:shd w:val="clear" w:color="auto" w:fill="FFFFFF"/>
        </w:rPr>
        <w:t>较上年支出数减少0.05万元，下降1.08%，</w:t>
      </w:r>
      <w:r>
        <w:rPr>
          <w:rFonts w:hint="eastAsia" w:ascii="方正仿宋_GBK" w:hAnsi="方正仿宋_GBK" w:eastAsia="方正仿宋_GBK" w:cs="方正仿宋_GBK"/>
          <w:i w:val="0"/>
          <w:iCs w:val="0"/>
          <w:caps w:val="0"/>
          <w:color w:val="auto"/>
          <w:spacing w:val="0"/>
          <w:kern w:val="0"/>
          <w:sz w:val="32"/>
          <w:szCs w:val="32"/>
          <w:shd w:val="clear" w:fill="FFFFFF"/>
        </w:rPr>
        <w:t>主要原因是本年部分线下工作转为线上完成，减少用车</w:t>
      </w:r>
      <w:r>
        <w:rPr>
          <w:rFonts w:hint="eastAsia" w:ascii="方正仿宋_GBK" w:hAnsi="方正仿宋_GBK" w:eastAsia="方正仿宋_GBK" w:cs="方正仿宋_GBK"/>
          <w:i w:val="0"/>
          <w:iCs w:val="0"/>
          <w:caps w:val="0"/>
          <w:color w:val="auto"/>
          <w:spacing w:val="0"/>
          <w:kern w:val="0"/>
          <w:sz w:val="32"/>
          <w:szCs w:val="32"/>
          <w:shd w:val="clear" w:fill="FFFFFF"/>
          <w:lang w:eastAsia="zh-CN"/>
        </w:rPr>
        <w:t>频次</w:t>
      </w:r>
      <w:r>
        <w:rPr>
          <w:rFonts w:ascii="方正仿宋_GBK" w:hAnsi="方正仿宋_GBK" w:eastAsia="方正仿宋_GBK" w:cs="方正仿宋_GBK"/>
          <w:color w:val="auto"/>
          <w:sz w:val="32"/>
          <w:szCs w:val="32"/>
          <w:shd w:val="clear" w:color="auto" w:fill="FFFFFF"/>
        </w:rPr>
        <w:t>。</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公务接待费</w:t>
      </w:r>
      <w:r>
        <w:rPr>
          <w:rFonts w:ascii="方正仿宋_GBK" w:hAnsi="方正仿宋_GBK" w:eastAsia="方正仿宋_GBK" w:cs="方正仿宋_GBK"/>
          <w:color w:val="auto"/>
          <w:sz w:val="32"/>
          <w:szCs w:val="32"/>
        </w:rPr>
        <w:t>4.99</w:t>
      </w:r>
      <w:r>
        <w:rPr>
          <w:rFonts w:ascii="方正仿宋_GBK" w:hAnsi="方正仿宋_GBK" w:eastAsia="方正仿宋_GBK" w:cs="方正仿宋_GBK"/>
          <w:color w:val="auto"/>
          <w:sz w:val="32"/>
          <w:szCs w:val="32"/>
          <w:shd w:val="clear" w:color="auto" w:fill="FFFFFF"/>
        </w:rPr>
        <w:t>万元，</w:t>
      </w:r>
      <w:r>
        <w:rPr>
          <w:rFonts w:hint="eastAsia" w:ascii="方正仿宋_GBK" w:hAnsi="方正仿宋_GBK" w:eastAsia="方正仿宋_GBK" w:cs="方正仿宋_GBK"/>
          <w:i w:val="0"/>
          <w:iCs w:val="0"/>
          <w:caps w:val="0"/>
          <w:color w:val="auto"/>
          <w:spacing w:val="0"/>
          <w:kern w:val="0"/>
          <w:sz w:val="32"/>
          <w:szCs w:val="32"/>
          <w:shd w:val="clear" w:fill="FFFFFF"/>
        </w:rPr>
        <w:t>主要用于接待招商引资团队我县开发旅游资源考察对接支出、接受相关部门检查指导工作发生的接待支出等</w:t>
      </w:r>
      <w:r>
        <w:rPr>
          <w:rFonts w:ascii="方正仿宋_GBK" w:hAnsi="方正仿宋_GBK" w:eastAsia="方正仿宋_GBK" w:cs="方正仿宋_GBK"/>
          <w:color w:val="auto"/>
          <w:sz w:val="32"/>
          <w:szCs w:val="32"/>
          <w:shd w:val="clear" w:color="auto" w:fill="FFFFFF"/>
        </w:rPr>
        <w:t>。费用支出较年初预算数减少0.01万元，下降0.20%，主要原因是</w:t>
      </w:r>
      <w:r>
        <w:rPr>
          <w:rFonts w:hint="eastAsia" w:ascii="方正仿宋_GBK" w:hAnsi="方正仿宋_GBK" w:eastAsia="方正仿宋_GBK" w:cs="方正仿宋_GBK"/>
          <w:color w:val="auto"/>
          <w:sz w:val="32"/>
          <w:szCs w:val="32"/>
          <w:shd w:val="clear" w:color="auto" w:fill="FFFFFF"/>
          <w:lang w:eastAsia="zh-CN"/>
        </w:rPr>
        <w:t>本单位厉行节约，尽量压减公务接待支出</w:t>
      </w:r>
      <w:r>
        <w:rPr>
          <w:rFonts w:ascii="方正仿宋_GBK" w:hAnsi="方正仿宋_GBK" w:eastAsia="方正仿宋_GBK" w:cs="方正仿宋_GBK"/>
          <w:color w:val="auto"/>
          <w:sz w:val="32"/>
          <w:szCs w:val="32"/>
          <w:shd w:val="clear" w:color="auto" w:fill="FFFFFF"/>
        </w:rPr>
        <w:t>。较上年支出数减少7.10万元，下降58.73%，主要原因是</w:t>
      </w:r>
      <w:r>
        <w:rPr>
          <w:rFonts w:hint="eastAsia" w:ascii="方正仿宋_GBK" w:hAnsi="方正仿宋_GBK" w:eastAsia="方正仿宋_GBK" w:cs="方正仿宋_GBK"/>
          <w:color w:val="auto"/>
          <w:sz w:val="32"/>
          <w:szCs w:val="32"/>
          <w:shd w:val="clear" w:color="auto" w:fill="FFFFFF"/>
          <w:lang w:eastAsia="zh-CN"/>
        </w:rPr>
        <w:t>本单位厉行节约，尽量压减公务接待支出</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（三）“三公”经费实物量情况</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2023年度本单位因公出国（境）共计</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个团组，</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人；公</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务用车购置</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辆，公务车保有量为</w:t>
      </w:r>
      <w:r>
        <w:rPr>
          <w:rFonts w:ascii="方正仿宋_GBK" w:hAnsi="方正仿宋_GBK" w:eastAsia="方正仿宋_GBK" w:cs="方正仿宋_GBK"/>
          <w:color w:val="auto"/>
          <w:sz w:val="32"/>
          <w:szCs w:val="32"/>
        </w:rPr>
        <w:t>3</w:t>
      </w:r>
      <w:r>
        <w:rPr>
          <w:rFonts w:ascii="方正仿宋_GBK" w:hAnsi="方正仿宋_GBK" w:eastAsia="方正仿宋_GBK" w:cs="方正仿宋_GBK"/>
          <w:color w:val="auto"/>
          <w:sz w:val="32"/>
          <w:szCs w:val="32"/>
          <w:shd w:val="clear" w:color="auto" w:fill="FFFFFF"/>
        </w:rPr>
        <w:t>辆；国内公务接待</w:t>
      </w:r>
      <w:r>
        <w:rPr>
          <w:rFonts w:ascii="方正仿宋_GBK" w:hAnsi="方正仿宋_GBK" w:eastAsia="方正仿宋_GBK" w:cs="方正仿宋_GBK"/>
          <w:color w:val="auto"/>
          <w:sz w:val="32"/>
          <w:szCs w:val="32"/>
        </w:rPr>
        <w:t>105</w:t>
      </w:r>
      <w:r>
        <w:rPr>
          <w:rFonts w:ascii="方正仿宋_GBK" w:hAnsi="方正仿宋_GBK" w:eastAsia="方正仿宋_GBK" w:cs="方正仿宋_GBK"/>
          <w:color w:val="auto"/>
          <w:sz w:val="32"/>
          <w:szCs w:val="32"/>
          <w:shd w:val="clear" w:color="auto" w:fill="FFFFFF"/>
        </w:rPr>
        <w:t>批次</w:t>
      </w:r>
      <w:r>
        <w:rPr>
          <w:rFonts w:ascii="方正仿宋_GBK" w:hAnsi="方正仿宋_GBK" w:eastAsia="方正仿宋_GBK" w:cs="方正仿宋_GBK"/>
          <w:color w:val="auto"/>
          <w:sz w:val="32"/>
          <w:szCs w:val="32"/>
        </w:rPr>
        <w:t>450</w:t>
      </w:r>
      <w:r>
        <w:rPr>
          <w:rFonts w:ascii="方正仿宋_GBK" w:hAnsi="方正仿宋_GBK" w:eastAsia="方正仿宋_GBK" w:cs="方正仿宋_GBK"/>
          <w:color w:val="auto"/>
          <w:sz w:val="32"/>
          <w:szCs w:val="32"/>
          <w:shd w:val="clear" w:color="auto" w:fill="FFFFFF"/>
        </w:rPr>
        <w:t>人，其中：国内外事接待</w:t>
      </w:r>
      <w:r>
        <w:rPr>
          <w:rFonts w:hint="eastAsia" w:ascii="方正仿宋_GBK" w:hAnsi="方正仿宋_GBK" w:eastAsia="方正仿宋_GBK" w:cs="方正仿宋_GBK"/>
          <w:color w:val="auto"/>
          <w:sz w:val="32"/>
          <w:szCs w:val="32"/>
          <w:lang w:val="en-US" w:eastAsia="zh-CN"/>
        </w:rPr>
        <w:t>30</w:t>
      </w:r>
      <w:r>
        <w:rPr>
          <w:rFonts w:ascii="方正仿宋_GBK" w:hAnsi="方正仿宋_GBK" w:eastAsia="方正仿宋_GBK" w:cs="方正仿宋_GBK"/>
          <w:color w:val="auto"/>
          <w:sz w:val="32"/>
          <w:szCs w:val="32"/>
          <w:shd w:val="clear" w:color="auto" w:fill="FFFFFF"/>
        </w:rPr>
        <w:t>批次，</w:t>
      </w:r>
      <w:r>
        <w:rPr>
          <w:rFonts w:hint="eastAsia" w:ascii="方正仿宋_GBK" w:hAnsi="方正仿宋_GBK" w:eastAsia="方正仿宋_GBK" w:cs="方正仿宋_GBK"/>
          <w:color w:val="auto"/>
          <w:sz w:val="32"/>
          <w:szCs w:val="32"/>
          <w:lang w:val="en-US" w:eastAsia="zh-CN"/>
        </w:rPr>
        <w:t>450</w:t>
      </w:r>
      <w:r>
        <w:rPr>
          <w:rFonts w:ascii="方正仿宋_GBK" w:hAnsi="方正仿宋_GBK" w:eastAsia="方正仿宋_GBK" w:cs="方正仿宋_GBK"/>
          <w:color w:val="auto"/>
          <w:sz w:val="32"/>
          <w:szCs w:val="32"/>
          <w:shd w:val="clear" w:color="auto" w:fill="FFFFFF"/>
        </w:rPr>
        <w:t>人；国（境）外公务接待</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批次，</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人。2023年本单位人均接待费</w:t>
      </w:r>
      <w:r>
        <w:rPr>
          <w:rFonts w:ascii="方正仿宋_GBK" w:hAnsi="方正仿宋_GBK" w:eastAsia="方正仿宋_GBK" w:cs="方正仿宋_GBK"/>
          <w:color w:val="auto"/>
          <w:sz w:val="32"/>
          <w:szCs w:val="32"/>
        </w:rPr>
        <w:t>110.91</w:t>
      </w:r>
      <w:r>
        <w:rPr>
          <w:rFonts w:ascii="方正仿宋_GBK" w:hAnsi="方正仿宋_GBK" w:eastAsia="方正仿宋_GBK" w:cs="方正仿宋_GBK"/>
          <w:color w:val="auto"/>
          <w:sz w:val="32"/>
          <w:szCs w:val="32"/>
          <w:shd w:val="clear" w:color="auto" w:fill="FFFFFF"/>
        </w:rPr>
        <w:t>元，车均购置费</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万元，车均维护费</w:t>
      </w:r>
      <w:r>
        <w:rPr>
          <w:rFonts w:ascii="方正仿宋_GBK" w:hAnsi="方正仿宋_GBK" w:eastAsia="方正仿宋_GBK" w:cs="方正仿宋_GBK"/>
          <w:color w:val="auto"/>
          <w:sz w:val="32"/>
          <w:szCs w:val="32"/>
        </w:rPr>
        <w:t>1.53</w:t>
      </w:r>
      <w:r>
        <w:rPr>
          <w:rFonts w:ascii="方正仿宋_GBK" w:hAnsi="方正仿宋_GBK" w:eastAsia="方正仿宋_GBK" w:cs="方正仿宋_GBK"/>
          <w:color w:val="auto"/>
          <w:sz w:val="32"/>
          <w:szCs w:val="32"/>
          <w:shd w:val="clear" w:color="auto" w:fill="FFFFFF"/>
        </w:rPr>
        <w:t>万元。</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Style w:val="17"/>
          <w:rFonts w:hint="eastAsia" w:ascii="方正黑体_GBK" w:hAnsi="方正黑体_GBK" w:eastAsia="方正黑体_GBK" w:cs="方正黑体_GBK"/>
          <w:b w:val="0"/>
          <w:bCs w:val="0"/>
          <w:color w:val="auto"/>
          <w:sz w:val="32"/>
          <w:szCs w:val="32"/>
          <w:shd w:val="clear" w:fill="FFFFFF"/>
        </w:rPr>
      </w:pPr>
      <w:r>
        <w:rPr>
          <w:rStyle w:val="17"/>
          <w:rFonts w:hint="eastAsia" w:ascii="方正黑体_GBK" w:hAnsi="方正黑体_GBK" w:eastAsia="方正黑体_GBK" w:cs="方正黑体_GBK"/>
          <w:b w:val="0"/>
          <w:bCs w:val="0"/>
          <w:color w:val="auto"/>
          <w:sz w:val="32"/>
          <w:szCs w:val="32"/>
          <w:shd w:val="clear" w:fill="FFFFFF"/>
        </w:rPr>
        <w:t>四、其他需要说明的事项</w:t>
      </w:r>
    </w:p>
    <w:p>
      <w:pPr>
        <w:pStyle w:val="11"/>
        <w:keepNext w:val="0"/>
        <w:keepLines w:val="0"/>
        <w:pageBreakBefore w:val="0"/>
        <w:widowControl/>
        <w:kinsoku/>
        <w:wordWrap/>
        <w:overflowPunct/>
        <w:autoSpaceDE w:val="0"/>
        <w:autoSpaceDN/>
        <w:bidi w:val="0"/>
        <w:adjustRightInd/>
        <w:spacing w:beforeAutospacing="0" w:afterAutospacing="0" w:line="600" w:lineRule="exact"/>
        <w:ind w:left="0" w:leftChars="0"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（一）财政拨款会议费和培训费情况说明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 本年度会议费支出</w:t>
      </w:r>
      <w:r>
        <w:rPr>
          <w:rFonts w:ascii="方正仿宋_GBK" w:hAnsi="方正仿宋_GBK" w:eastAsia="方正仿宋_GBK" w:cs="方正仿宋_GBK"/>
          <w:color w:val="auto"/>
          <w:sz w:val="32"/>
          <w:szCs w:val="32"/>
        </w:rPr>
        <w:t>0.90</w:t>
      </w:r>
      <w:r>
        <w:rPr>
          <w:rFonts w:ascii="方正仿宋_GBK" w:hAnsi="方正仿宋_GBK" w:eastAsia="方正仿宋_GBK" w:cs="方正仿宋_GBK"/>
          <w:color w:val="auto"/>
          <w:sz w:val="32"/>
          <w:szCs w:val="32"/>
          <w:shd w:val="clear" w:color="auto" w:fill="FFFFFF"/>
        </w:rPr>
        <w:t>万元，较上年决算数减少0.03万元，下降3.23%，主要原因是</w:t>
      </w:r>
      <w:r>
        <w:rPr>
          <w:rFonts w:hint="eastAsia" w:ascii="方正仿宋_GBK" w:hAnsi="方正仿宋_GBK" w:eastAsia="方正仿宋_GBK" w:cs="方正仿宋_GBK"/>
          <w:color w:val="auto"/>
          <w:sz w:val="32"/>
          <w:szCs w:val="32"/>
          <w:shd w:val="clear" w:color="auto" w:fill="FFFFFF"/>
          <w:lang w:eastAsia="zh-CN"/>
        </w:rPr>
        <w:t>本单位充分利用互联网，尽量采用线上会议形式，节约会议会支出</w:t>
      </w:r>
      <w:r>
        <w:rPr>
          <w:rFonts w:ascii="方正仿宋_GBK" w:hAnsi="方正仿宋_GBK" w:eastAsia="方正仿宋_GBK" w:cs="方正仿宋_GBK"/>
          <w:color w:val="auto"/>
          <w:sz w:val="32"/>
          <w:szCs w:val="32"/>
          <w:shd w:val="clear" w:color="auto" w:fill="FFFFFF"/>
        </w:rPr>
        <w:t>。本年度培训费支出</w:t>
      </w:r>
      <w:r>
        <w:rPr>
          <w:rFonts w:ascii="方正仿宋_GBK" w:hAnsi="方正仿宋_GBK" w:eastAsia="方正仿宋_GBK" w:cs="方正仿宋_GBK"/>
          <w:color w:val="auto"/>
          <w:sz w:val="32"/>
          <w:szCs w:val="32"/>
        </w:rPr>
        <w:t>0.48</w:t>
      </w:r>
      <w:r>
        <w:rPr>
          <w:rFonts w:ascii="方正仿宋_GBK" w:hAnsi="方正仿宋_GBK" w:eastAsia="方正仿宋_GBK" w:cs="方正仿宋_GBK"/>
          <w:color w:val="auto"/>
          <w:sz w:val="32"/>
          <w:szCs w:val="32"/>
          <w:shd w:val="clear" w:color="auto" w:fill="FFFFFF"/>
        </w:rPr>
        <w:t>万元，较上年决算数减少0.04万元，下降7.69%，主要原因是</w:t>
      </w:r>
      <w:r>
        <w:rPr>
          <w:rFonts w:hint="eastAsia" w:ascii="方正仿宋_GBK" w:hAnsi="方正仿宋_GBK" w:eastAsia="方正仿宋_GBK" w:cs="方正仿宋_GBK"/>
          <w:color w:val="auto"/>
          <w:sz w:val="32"/>
          <w:szCs w:val="32"/>
          <w:shd w:val="clear" w:color="auto" w:fill="FFFFFF"/>
          <w:lang w:eastAsia="zh-CN"/>
        </w:rPr>
        <w:t>本单位充分利用互联网，尽量采用线上会议形式开展培训，节约培训支出</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（二）机关运行经费情况说明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2023年度本单位机关运行经费支出</w:t>
      </w:r>
      <w:r>
        <w:rPr>
          <w:rFonts w:ascii="方正仿宋_GBK" w:hAnsi="方正仿宋_GBK" w:eastAsia="方正仿宋_GBK" w:cs="方正仿宋_GBK"/>
          <w:color w:val="auto"/>
          <w:sz w:val="32"/>
          <w:szCs w:val="32"/>
        </w:rPr>
        <w:t>85.13</w:t>
      </w:r>
      <w:r>
        <w:rPr>
          <w:rFonts w:ascii="方正仿宋_GBK" w:hAnsi="方正仿宋_GBK" w:eastAsia="方正仿宋_GBK" w:cs="方正仿宋_GBK"/>
          <w:color w:val="auto"/>
          <w:sz w:val="32"/>
          <w:szCs w:val="32"/>
          <w:shd w:val="clear" w:color="auto" w:fill="FFFFFF"/>
        </w:rPr>
        <w:t>万元，</w:t>
      </w:r>
      <w:r>
        <w:rPr>
          <w:rFonts w:hint="eastAsia" w:ascii="方正仿宋_GBK" w:hAnsi="方正仿宋_GBK" w:eastAsia="方正仿宋_GBK" w:cs="方正仿宋_GBK"/>
          <w:color w:val="auto"/>
          <w:sz w:val="32"/>
          <w:szCs w:val="32"/>
          <w:shd w:val="clear" w:color="auto" w:fill="FFFFFF"/>
          <w:lang w:eastAsia="zh-CN"/>
        </w:rPr>
        <w:t>办公费</w:t>
      </w:r>
      <w:r>
        <w:rPr>
          <w:rFonts w:hint="eastAsia" w:ascii="方正仿宋_GBK" w:hAnsi="方正仿宋_GBK" w:eastAsia="方正仿宋_GBK" w:cs="方正仿宋_GBK"/>
          <w:color w:val="auto"/>
          <w:sz w:val="32"/>
          <w:szCs w:val="32"/>
          <w:shd w:val="clear" w:color="auto" w:fill="FFFFFF"/>
          <w:lang w:val="en-US" w:eastAsia="zh-CN"/>
        </w:rPr>
        <w:t>10.13万元，印刷费0.41万元，水费0.72万元，电费2万元，邮电费7万元，物业管理费3.5万元，差旅费11.43万元，维修维护费1.34万元，公务接待费3.16万元，工会经费3.25万元，福利费3.65万元，公车运行维护费4.53万元，其他交通费22.38万元，其他商品和服务支出5.52万元</w:t>
      </w:r>
      <w:r>
        <w:rPr>
          <w:rFonts w:ascii="方正仿宋_GBK" w:hAnsi="方正仿宋_GBK" w:eastAsia="方正仿宋_GBK" w:cs="方正仿宋_GBK"/>
          <w:color w:val="auto"/>
          <w:sz w:val="32"/>
          <w:szCs w:val="32"/>
          <w:shd w:val="clear" w:color="auto" w:fill="FFFFFF"/>
        </w:rPr>
        <w:t>。机关运行经费较上年支出数增加4.98万元，增长6.21%，主要原因是</w:t>
      </w:r>
      <w:r>
        <w:rPr>
          <w:rFonts w:hint="eastAsia" w:ascii="方正仿宋_GBK" w:hAnsi="方正仿宋_GBK" w:eastAsia="方正仿宋_GBK" w:cs="方正仿宋_GBK"/>
          <w:color w:val="auto"/>
          <w:sz w:val="32"/>
          <w:szCs w:val="32"/>
          <w:shd w:val="clear" w:color="auto" w:fill="FFFFFF"/>
          <w:lang w:eastAsia="zh-CN"/>
        </w:rPr>
        <w:t>本年度新招录两名人员</w:t>
      </w:r>
      <w:r>
        <w:rPr>
          <w:rFonts w:ascii="方正仿宋_GBK" w:hAnsi="方正仿宋_GBK" w:eastAsia="方正仿宋_GBK" w:cs="方正仿宋_GBK"/>
          <w:color w:val="auto"/>
          <w:sz w:val="32"/>
          <w:szCs w:val="32"/>
          <w:shd w:val="clear" w:color="auto" w:fill="FFFFFF"/>
        </w:rPr>
        <w:t>。</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（三）国有资产占用情况说明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截至2023年12月31日，本单位共有车辆</w:t>
      </w:r>
      <w:r>
        <w:rPr>
          <w:rFonts w:ascii="方正仿宋_GBK" w:hAnsi="方正仿宋_GBK" w:eastAsia="方正仿宋_GBK" w:cs="方正仿宋_GBK"/>
          <w:color w:val="auto"/>
          <w:sz w:val="32"/>
          <w:szCs w:val="32"/>
        </w:rPr>
        <w:t>3</w:t>
      </w:r>
      <w:r>
        <w:rPr>
          <w:rFonts w:ascii="方正仿宋_GBK" w:hAnsi="方正仿宋_GBK" w:eastAsia="方正仿宋_GBK" w:cs="方正仿宋_GBK"/>
          <w:color w:val="auto"/>
          <w:sz w:val="32"/>
          <w:szCs w:val="32"/>
          <w:shd w:val="clear" w:color="auto" w:fill="FFFFFF"/>
        </w:rPr>
        <w:t>辆，其中，副部（省）级及以上领导用车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辆、主要负责人用车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辆、机要通信用车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辆、应急保障用车</w:t>
      </w:r>
      <w:r>
        <w:rPr>
          <w:rFonts w:ascii="方正仿宋_GBK" w:hAnsi="方正仿宋_GBK" w:eastAsia="方正仿宋_GBK" w:cs="方正仿宋_GBK"/>
          <w:color w:val="auto"/>
          <w:sz w:val="32"/>
          <w:szCs w:val="32"/>
        </w:rPr>
        <w:t>3</w:t>
      </w:r>
      <w:r>
        <w:rPr>
          <w:rFonts w:ascii="方正仿宋_GBK" w:hAnsi="方正仿宋_GBK" w:eastAsia="方正仿宋_GBK" w:cs="方正仿宋_GBK"/>
          <w:color w:val="auto"/>
          <w:sz w:val="32"/>
          <w:szCs w:val="32"/>
          <w:shd w:val="clear" w:color="auto" w:fill="FFFFFF"/>
        </w:rPr>
        <w:t>辆、执法执勤用车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辆，特种专业技术用车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辆，离退休干部用车</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辆。单价100万元（含）</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color w:val="auto"/>
          <w:sz w:val="32"/>
          <w:szCs w:val="32"/>
        </w:rPr>
      </w:pPr>
      <w:r>
        <w:rPr>
          <w:rFonts w:ascii="方正仿宋_GBK" w:hAnsi="方正仿宋_GBK" w:eastAsia="方正仿宋_GBK" w:cs="方正仿宋_GBK"/>
          <w:color w:val="auto"/>
          <w:sz w:val="32"/>
          <w:szCs w:val="32"/>
          <w:shd w:val="clear" w:color="auto" w:fill="FFFFFF"/>
        </w:rPr>
        <w:t>以上专用设备</w:t>
      </w:r>
      <w:r>
        <w:rPr>
          <w:rFonts w:ascii="方正仿宋_GBK" w:hAnsi="方正仿宋_GBK" w:eastAsia="方正仿宋_GBK" w:cs="方正仿宋_GBK"/>
          <w:color w:val="auto"/>
          <w:sz w:val="32"/>
          <w:szCs w:val="32"/>
        </w:rPr>
        <w:t>0</w:t>
      </w:r>
      <w:r>
        <w:rPr>
          <w:rFonts w:ascii="方正仿宋_GBK" w:hAnsi="方正仿宋_GBK" w:eastAsia="方正仿宋_GBK" w:cs="方正仿宋_GBK"/>
          <w:color w:val="auto"/>
          <w:sz w:val="32"/>
          <w:szCs w:val="32"/>
          <w:shd w:val="clear" w:color="auto" w:fill="FFFFFF"/>
        </w:rPr>
        <w:t>台（套）。</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（四）政府采购支出情况说明</w:t>
      </w:r>
    </w:p>
    <w:p>
      <w:pPr>
        <w:pStyle w:val="6"/>
        <w:keepNext w:val="0"/>
        <w:keepLines w:val="0"/>
        <w:pageBreakBefore w:val="0"/>
        <w:widowControl/>
        <w:kinsoku/>
        <w:wordWrap/>
        <w:overflowPunct/>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color w:val="auto"/>
          <w:sz w:val="32"/>
          <w:szCs w:val="32"/>
          <w:shd w:val="clear" w:color="auto" w:fill="FFFFFF"/>
        </w:rPr>
      </w:pPr>
      <w:r>
        <w:rPr>
          <w:rFonts w:ascii="方正仿宋_GBK" w:hAnsi="方正仿宋_GBK" w:eastAsia="方正仿宋_GBK" w:cs="方正仿宋_GBK"/>
          <w:color w:val="auto"/>
          <w:sz w:val="32"/>
          <w:szCs w:val="32"/>
          <w:shd w:val="clear" w:color="auto" w:fill="FFFFFF"/>
        </w:rPr>
        <w:t> 2023年度我单位未发生政府采购事项，无相关经费支出。</w:t>
      </w:r>
    </w:p>
    <w:p>
      <w:pPr>
        <w:pStyle w:val="16"/>
        <w:keepNext w:val="0"/>
        <w:keepLines w:val="0"/>
        <w:pageBreakBefore w:val="0"/>
        <w:widowControl/>
        <w:suppressLineNumbers w:val="0"/>
        <w:kinsoku/>
        <w:wordWrap/>
        <w:overflowPunct/>
        <w:autoSpaceDE w:val="0"/>
        <w:autoSpaceDN/>
        <w:bidi w:val="0"/>
        <w:adjustRightInd/>
        <w:spacing w:before="0" w:beforeAutospacing="0" w:after="0" w:afterAutospacing="0" w:line="600" w:lineRule="exact"/>
        <w:ind w:left="0" w:right="0" w:rightChars="0" w:firstLine="640" w:firstLineChars="200"/>
        <w:jc w:val="both"/>
        <w:textAlignment w:val="auto"/>
        <w:rPr>
          <w:rStyle w:val="17"/>
          <w:rFonts w:hint="eastAsia" w:ascii="方正黑体_GBK" w:hAnsi="方正黑体_GBK" w:eastAsia="方正黑体_GBK" w:cs="方正黑体_GBK"/>
          <w:b w:val="0"/>
          <w:bCs w:val="0"/>
          <w:color w:val="auto"/>
          <w:sz w:val="32"/>
          <w:szCs w:val="32"/>
          <w:shd w:val="clear" w:fill="FFFFFF"/>
        </w:rPr>
      </w:pPr>
      <w:r>
        <w:rPr>
          <w:rStyle w:val="17"/>
          <w:rFonts w:hint="eastAsia" w:ascii="方正黑体_GBK" w:hAnsi="方正黑体_GBK" w:eastAsia="方正黑体_GBK" w:cs="方正黑体_GBK"/>
          <w:b w:val="0"/>
          <w:bCs w:val="0"/>
          <w:color w:val="auto"/>
          <w:sz w:val="32"/>
          <w:szCs w:val="32"/>
          <w:shd w:val="clear" w:fill="FFFFFF"/>
          <w:lang w:eastAsia="zh-CN"/>
        </w:rPr>
        <w:t>五、</w:t>
      </w:r>
      <w:r>
        <w:rPr>
          <w:rStyle w:val="17"/>
          <w:rFonts w:hint="eastAsia" w:ascii="方正黑体_GBK" w:hAnsi="方正黑体_GBK" w:eastAsia="方正黑体_GBK" w:cs="方正黑体_GBK"/>
          <w:b w:val="0"/>
          <w:bCs w:val="0"/>
          <w:color w:val="auto"/>
          <w:sz w:val="32"/>
          <w:szCs w:val="32"/>
          <w:shd w:val="clear" w:fill="FFFFFF"/>
        </w:rPr>
        <w:t>预算绩效管理情况说明</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（一）单位自评情况</w:t>
      </w:r>
    </w:p>
    <w:p>
      <w:pPr>
        <w:pStyle w:val="11"/>
        <w:keepNext w:val="0"/>
        <w:keepLines w:val="0"/>
        <w:pageBreakBefore w:val="0"/>
        <w:widowControl/>
        <w:kinsoku/>
        <w:wordWrap/>
        <w:overflowPunct/>
        <w:autoSpaceDE w:val="0"/>
        <w:autoSpaceDN/>
        <w:bidi w:val="0"/>
        <w:adjustRightInd/>
        <w:spacing w:beforeAutospacing="0" w:afterAutospacing="0" w:line="600" w:lineRule="exact"/>
        <w:ind w:firstLine="640" w:firstLineChars="200"/>
        <w:textAlignment w:val="auto"/>
        <w:rPr>
          <w:rFonts w:hint="eastAsia" w:ascii="方正仿宋_GBK" w:hAnsi="方正仿宋_GBK" w:eastAsia="方正仿宋_GBK" w:cs="方正仿宋_GBK"/>
          <w:b w:val="0"/>
          <w:bCs w:val="0"/>
          <w:i w:val="0"/>
          <w:iCs w:val="0"/>
          <w:caps w:val="0"/>
          <w:color w:val="auto"/>
          <w:spacing w:val="0"/>
          <w:kern w:val="0"/>
          <w:sz w:val="32"/>
          <w:szCs w:val="32"/>
          <w:shd w:val="clear" w:fill="FFFFFF"/>
        </w:rPr>
      </w:pPr>
      <w:r>
        <w:rPr>
          <w:rFonts w:hint="eastAsia" w:ascii="方正仿宋_GBK" w:hAnsi="方正仿宋_GBK" w:eastAsia="方正仿宋_GBK" w:cs="方正仿宋_GBK"/>
          <w:b w:val="0"/>
          <w:bCs w:val="0"/>
          <w:i w:val="0"/>
          <w:iCs w:val="0"/>
          <w:caps w:val="0"/>
          <w:color w:val="auto"/>
          <w:spacing w:val="0"/>
          <w:kern w:val="0"/>
          <w:sz w:val="32"/>
          <w:szCs w:val="32"/>
          <w:shd w:val="clear" w:fill="FFFFFF"/>
        </w:rPr>
        <w:t>根据预算绩效管理要求，我单位对</w:t>
      </w:r>
      <w:r>
        <w:rPr>
          <w:rFonts w:hint="eastAsia" w:ascii="方正仿宋_GBK" w:hAnsi="方正仿宋_GBK" w:eastAsia="方正仿宋_GBK" w:cs="方正仿宋_GBK"/>
          <w:b w:val="0"/>
          <w:bCs w:val="0"/>
          <w:i w:val="0"/>
          <w:iCs w:val="0"/>
          <w:caps w:val="0"/>
          <w:color w:val="auto"/>
          <w:spacing w:val="0"/>
          <w:kern w:val="0"/>
          <w:sz w:val="32"/>
          <w:szCs w:val="32"/>
          <w:shd w:val="clear" w:fill="FFFFFF"/>
          <w:lang w:val="en-US" w:eastAsia="zh-CN"/>
        </w:rPr>
        <w:t>29</w:t>
      </w:r>
      <w:r>
        <w:rPr>
          <w:rFonts w:hint="eastAsia" w:ascii="方正仿宋_GBK" w:hAnsi="方正仿宋_GBK" w:eastAsia="方正仿宋_GBK" w:cs="方正仿宋_GBK"/>
          <w:b w:val="0"/>
          <w:bCs w:val="0"/>
          <w:i w:val="0"/>
          <w:iCs w:val="0"/>
          <w:caps w:val="0"/>
          <w:color w:val="auto"/>
          <w:spacing w:val="0"/>
          <w:kern w:val="0"/>
          <w:sz w:val="32"/>
          <w:szCs w:val="32"/>
          <w:shd w:val="clear" w:fill="FFFFFF"/>
        </w:rPr>
        <w:t>个</w:t>
      </w:r>
      <w:r>
        <w:rPr>
          <w:rFonts w:hint="eastAsia" w:ascii="方正仿宋_GBK" w:hAnsi="方正仿宋_GBK" w:eastAsia="方正仿宋_GBK" w:cs="方正仿宋_GBK"/>
          <w:b w:val="0"/>
          <w:bCs w:val="0"/>
          <w:i w:val="0"/>
          <w:iCs w:val="0"/>
          <w:caps w:val="0"/>
          <w:color w:val="auto"/>
          <w:spacing w:val="0"/>
          <w:kern w:val="0"/>
          <w:sz w:val="32"/>
          <w:szCs w:val="32"/>
          <w:shd w:val="clear" w:fill="FFFFFF"/>
          <w:lang w:eastAsia="zh-CN"/>
        </w:rPr>
        <w:t>二</w:t>
      </w:r>
      <w:r>
        <w:rPr>
          <w:rFonts w:hint="eastAsia" w:ascii="方正仿宋_GBK" w:hAnsi="方正仿宋_GBK" w:eastAsia="方正仿宋_GBK" w:cs="方正仿宋_GBK"/>
          <w:b w:val="0"/>
          <w:bCs w:val="0"/>
          <w:i w:val="0"/>
          <w:iCs w:val="0"/>
          <w:caps w:val="0"/>
          <w:color w:val="auto"/>
          <w:spacing w:val="0"/>
          <w:kern w:val="0"/>
          <w:sz w:val="32"/>
          <w:szCs w:val="32"/>
          <w:shd w:val="clear" w:fill="FFFFFF"/>
        </w:rPr>
        <w:t>级项目开展了绩效自评，涉及财政拨款项目支出</w:t>
      </w:r>
      <w:r>
        <w:rPr>
          <w:rFonts w:hint="eastAsia" w:ascii="方正仿宋_GBK" w:hAnsi="方正仿宋_GBK" w:eastAsia="方正仿宋_GBK" w:cs="方正仿宋_GBK"/>
          <w:b w:val="0"/>
          <w:bCs w:val="0"/>
          <w:i w:val="0"/>
          <w:iCs w:val="0"/>
          <w:caps w:val="0"/>
          <w:color w:val="auto"/>
          <w:spacing w:val="0"/>
          <w:kern w:val="0"/>
          <w:sz w:val="32"/>
          <w:szCs w:val="32"/>
          <w:shd w:val="clear" w:fill="FFFFFF"/>
          <w:lang w:val="en-US" w:eastAsia="zh-CN"/>
        </w:rPr>
        <w:t>2006.99</w:t>
      </w:r>
      <w:r>
        <w:rPr>
          <w:rFonts w:hint="eastAsia" w:ascii="方正仿宋_GBK" w:hAnsi="方正仿宋_GBK" w:eastAsia="方正仿宋_GBK" w:cs="方正仿宋_GBK"/>
          <w:b w:val="0"/>
          <w:bCs w:val="0"/>
          <w:i w:val="0"/>
          <w:iCs w:val="0"/>
          <w:caps w:val="0"/>
          <w:color w:val="auto"/>
          <w:spacing w:val="0"/>
          <w:kern w:val="0"/>
          <w:sz w:val="32"/>
          <w:szCs w:val="32"/>
          <w:shd w:val="clear" w:fill="FFFFFF"/>
        </w:rPr>
        <w:t>万元。</w:t>
      </w:r>
    </w:p>
    <w:p>
      <w:pPr>
        <w:pStyle w:val="11"/>
        <w:keepNext w:val="0"/>
        <w:keepLines w:val="0"/>
        <w:pageBreakBefore w:val="0"/>
        <w:widowControl/>
        <w:kinsoku/>
        <w:wordWrap/>
        <w:overflowPunct/>
        <w:autoSpaceDE w:val="0"/>
        <w:autoSpaceDN/>
        <w:bidi w:val="0"/>
        <w:adjustRightInd/>
        <w:spacing w:beforeAutospacing="0" w:afterAutospacing="0" w:line="600" w:lineRule="exact"/>
        <w:ind w:left="0" w:leftChars="0" w:firstLine="0" w:firstLineChars="0"/>
        <w:textAlignment w:val="auto"/>
        <w:rPr>
          <w:rFonts w:hint="eastAsia" w:ascii="方正仿宋_GBK" w:hAnsi="方正仿宋_GBK" w:eastAsia="方正仿宋_GBK" w:cs="方正仿宋_GBK"/>
          <w:b w:val="0"/>
          <w:bCs w:val="0"/>
          <w:i w:val="0"/>
          <w:iCs w:val="0"/>
          <w:caps w:val="0"/>
          <w:color w:val="auto"/>
          <w:spacing w:val="0"/>
          <w:kern w:val="0"/>
          <w:sz w:val="32"/>
          <w:szCs w:val="32"/>
          <w:shd w:val="clear" w:fill="FFFFFF"/>
        </w:rPr>
      </w:pPr>
    </w:p>
    <w:tbl>
      <w:tblPr>
        <w:tblStyle w:val="7"/>
        <w:tblW w:w="931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60"/>
        <w:gridCol w:w="725"/>
        <w:gridCol w:w="684"/>
        <w:gridCol w:w="816"/>
        <w:gridCol w:w="716"/>
        <w:gridCol w:w="997"/>
        <w:gridCol w:w="718"/>
        <w:gridCol w:w="760"/>
        <w:gridCol w:w="697"/>
        <w:gridCol w:w="878"/>
        <w:gridCol w:w="11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3" w:hRule="atLeast"/>
        </w:trPr>
        <w:tc>
          <w:tcPr>
            <w:tcW w:w="9319"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方正仿宋_GBK" w:hAnsi="方正仿宋_GBK" w:eastAsia="方正仿宋_GBK" w:cs="方正仿宋_GBK"/>
                <w:b/>
                <w:bCs/>
                <w:i w:val="0"/>
                <w:iCs w:val="0"/>
                <w:color w:val="000000"/>
                <w:sz w:val="40"/>
                <w:szCs w:val="40"/>
                <w:u w:val="none"/>
              </w:rPr>
            </w:pPr>
            <w:r>
              <w:rPr>
                <w:rFonts w:hint="eastAsia" w:ascii="微软雅黑" w:hAnsi="微软雅黑" w:eastAsia="微软雅黑" w:cs="微软雅黑"/>
                <w:b/>
                <w:bCs/>
                <w:i w:val="0"/>
                <w:iCs w:val="0"/>
                <w:color w:val="000000"/>
                <w:kern w:val="0"/>
                <w:sz w:val="28"/>
                <w:szCs w:val="28"/>
                <w:u w:val="none"/>
                <w:lang w:val="en-US" w:eastAsia="zh-CN" w:bidi="ar"/>
              </w:rPr>
              <w:t>2023年度二级项目绩效自评表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9319"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Chars="100"/>
              <w:jc w:val="right"/>
              <w:textAlignment w:val="center"/>
              <w:rPr>
                <w:rFonts w:hint="eastAsia" w:ascii="方正仿宋_GBK" w:hAnsi="方正仿宋_GBK" w:eastAsia="方正仿宋_GBK" w:cs="方正仿宋_GBK"/>
                <w:b/>
                <w:bCs/>
                <w:i w:val="0"/>
                <w:iCs w:val="0"/>
                <w:color w:val="DA3232"/>
                <w:sz w:val="22"/>
                <w:szCs w:val="22"/>
                <w:u w:val="none"/>
                <w:lang w:val="en-US" w:eastAsia="zh-CN"/>
              </w:rPr>
            </w:pPr>
            <w:r>
              <w:rPr>
                <w:rFonts w:hint="eastAsia" w:ascii="方正仿宋_GBK" w:hAnsi="方正仿宋_GBK" w:eastAsia="方正仿宋_GBK" w:cs="方正仿宋_GBK"/>
                <w:b/>
                <w:bCs/>
                <w:i w:val="0"/>
                <w:iCs w:val="0"/>
                <w:color w:val="DA3232"/>
                <w:sz w:val="22"/>
                <w:szCs w:val="22"/>
                <w:u w:val="none"/>
                <w:lang w:val="en-US" w:eastAsia="zh-CN"/>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9"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项目名称</w:t>
            </w:r>
          </w:p>
        </w:tc>
        <w:tc>
          <w:tcPr>
            <w:tcW w:w="14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2023年文化人才专项经费</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项目编码</w:t>
            </w:r>
          </w:p>
        </w:tc>
        <w:tc>
          <w:tcPr>
            <w:tcW w:w="171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50023823T000003551033</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自评总分</w:t>
            </w:r>
          </w:p>
        </w:tc>
        <w:tc>
          <w:tcPr>
            <w:tcW w:w="145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96.00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b/>
                <w:bCs/>
                <w:i w:val="0"/>
                <w:iCs w:val="0"/>
                <w:color w:val="000000"/>
                <w:sz w:val="22"/>
                <w:szCs w:val="22"/>
                <w:u w:val="none"/>
              </w:rPr>
            </w:pPr>
          </w:p>
        </w:tc>
        <w:tc>
          <w:tcPr>
            <w:tcW w:w="11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1"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项目主管部门</w:t>
            </w:r>
          </w:p>
        </w:tc>
        <w:tc>
          <w:tcPr>
            <w:tcW w:w="140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025-巫溪县文化和旅游发展委员会</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财政归口科室</w:t>
            </w:r>
          </w:p>
        </w:tc>
        <w:tc>
          <w:tcPr>
            <w:tcW w:w="171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005-行财科</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部门联系人：</w:t>
            </w:r>
          </w:p>
        </w:tc>
        <w:tc>
          <w:tcPr>
            <w:tcW w:w="145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张大琢</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联系电话：</w:t>
            </w:r>
          </w:p>
        </w:tc>
        <w:tc>
          <w:tcPr>
            <w:tcW w:w="11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51330278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319"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方正仿宋_GBK" w:hAnsi="方正仿宋_GBK" w:eastAsia="方正仿宋_GBK" w:cs="方正仿宋_GBK"/>
                <w:b/>
                <w:bCs/>
                <w:i w:val="0"/>
                <w:iCs w:val="0"/>
                <w:color w:val="808080"/>
                <w:sz w:val="28"/>
                <w:szCs w:val="28"/>
                <w:u w:val="none"/>
              </w:rPr>
            </w:pPr>
            <w:r>
              <w:rPr>
                <w:rFonts w:hint="eastAsia" w:ascii="方正仿宋_GBK" w:hAnsi="方正仿宋_GBK" w:eastAsia="方正仿宋_GBK" w:cs="方正仿宋_GBK"/>
                <w:b/>
                <w:bCs/>
                <w:i w:val="0"/>
                <w:iCs w:val="0"/>
                <w:color w:val="808080"/>
                <w:kern w:val="0"/>
                <w:sz w:val="28"/>
                <w:szCs w:val="28"/>
                <w:u w:val="none"/>
                <w:lang w:val="en-US" w:eastAsia="zh-CN" w:bidi="ar"/>
              </w:rPr>
              <w:t>资金情况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8" w:hRule="atLeast"/>
        </w:trPr>
        <w:tc>
          <w:tcPr>
            <w:tcW w:w="188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150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年初预算数</w:t>
            </w:r>
          </w:p>
        </w:tc>
        <w:tc>
          <w:tcPr>
            <w:tcW w:w="171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全年（调整）预算数</w:t>
            </w:r>
          </w:p>
        </w:tc>
        <w:tc>
          <w:tcPr>
            <w:tcW w:w="147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全年执行数</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执行率</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执行率权重</w:t>
            </w:r>
          </w:p>
        </w:tc>
        <w:tc>
          <w:tcPr>
            <w:tcW w:w="11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执行率得分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trPr>
        <w:tc>
          <w:tcPr>
            <w:tcW w:w="116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年度总金额</w:t>
            </w:r>
          </w:p>
        </w:tc>
        <w:tc>
          <w:tcPr>
            <w:tcW w:w="725"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684"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816"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30</w:t>
            </w:r>
          </w:p>
        </w:tc>
        <w:tc>
          <w:tcPr>
            <w:tcW w:w="716"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99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default" w:ascii="方正仿宋_GBK" w:hAnsi="方正仿宋_GBK" w:eastAsia="方正仿宋_GBK" w:cs="方正仿宋_GBK"/>
                <w:i w:val="0"/>
                <w:iCs w:val="0"/>
                <w:color w:val="000000"/>
                <w:sz w:val="20"/>
                <w:szCs w:val="20"/>
                <w:u w:val="none"/>
                <w:lang w:val="en-US"/>
              </w:rPr>
            </w:pPr>
            <w:r>
              <w:rPr>
                <w:rFonts w:hint="eastAsia" w:ascii="方正仿宋_GBK" w:hAnsi="方正仿宋_GBK" w:eastAsia="方正仿宋_GBK" w:cs="方正仿宋_GBK"/>
                <w:i w:val="0"/>
                <w:iCs w:val="0"/>
                <w:color w:val="000000"/>
                <w:kern w:val="0"/>
                <w:sz w:val="20"/>
                <w:szCs w:val="20"/>
                <w:u w:val="none"/>
                <w:lang w:val="en-US" w:eastAsia="zh-CN" w:bidi="ar"/>
              </w:rPr>
              <w:t>15.71</w:t>
            </w:r>
          </w:p>
        </w:tc>
        <w:tc>
          <w:tcPr>
            <w:tcW w:w="718"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rPr>
                <w:rFonts w:hint="eastAsia" w:ascii="方正仿宋_GBK" w:hAnsi="方正仿宋_GBK" w:eastAsia="方正仿宋_GBK" w:cs="方正仿宋_GBK"/>
                <w:i w:val="0"/>
                <w:iCs w:val="0"/>
                <w:color w:val="000000"/>
                <w:sz w:val="20"/>
                <w:szCs w:val="20"/>
                <w:u w:val="none"/>
              </w:rPr>
            </w:pPr>
          </w:p>
        </w:tc>
        <w:tc>
          <w:tcPr>
            <w:tcW w:w="760"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15.71</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0" w:hRule="atLeast"/>
        </w:trPr>
        <w:tc>
          <w:tcPr>
            <w:tcW w:w="116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其中：财政拨款</w:t>
            </w:r>
          </w:p>
        </w:tc>
        <w:tc>
          <w:tcPr>
            <w:tcW w:w="725"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684"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816"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30</w:t>
            </w:r>
          </w:p>
        </w:tc>
        <w:tc>
          <w:tcPr>
            <w:tcW w:w="716"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99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 xml:space="preserve">15.71 </w:t>
            </w:r>
          </w:p>
        </w:tc>
        <w:tc>
          <w:tcPr>
            <w:tcW w:w="718"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rPr>
                <w:rFonts w:hint="eastAsia" w:ascii="方正仿宋_GBK" w:hAnsi="方正仿宋_GBK" w:eastAsia="方正仿宋_GBK" w:cs="方正仿宋_GBK"/>
                <w:i w:val="0"/>
                <w:iCs w:val="0"/>
                <w:color w:val="000000"/>
                <w:sz w:val="20"/>
                <w:szCs w:val="20"/>
                <w:u w:val="none"/>
              </w:rPr>
            </w:pPr>
          </w:p>
        </w:tc>
        <w:tc>
          <w:tcPr>
            <w:tcW w:w="760"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 xml:space="preserve">15.71 </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10.00</w:t>
            </w: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 xml:space="preserve">10.00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trPr>
        <w:tc>
          <w:tcPr>
            <w:tcW w:w="1160" w:type="dxa"/>
            <w:tcBorders>
              <w:top w:val="single" w:color="000000" w:sz="4" w:space="0"/>
              <w:left w:val="single" w:color="000000" w:sz="4" w:space="0"/>
              <w:bottom w:val="single" w:color="000000" w:sz="4" w:space="0"/>
              <w:right w:val="nil"/>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一般公共预算</w:t>
            </w:r>
          </w:p>
        </w:tc>
        <w:tc>
          <w:tcPr>
            <w:tcW w:w="725"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684"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816"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30</w:t>
            </w:r>
          </w:p>
        </w:tc>
        <w:tc>
          <w:tcPr>
            <w:tcW w:w="716"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997"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 xml:space="preserve">15.71 </w:t>
            </w:r>
          </w:p>
        </w:tc>
        <w:tc>
          <w:tcPr>
            <w:tcW w:w="718"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rPr>
                <w:rFonts w:hint="eastAsia" w:ascii="方正仿宋_GBK" w:hAnsi="方正仿宋_GBK" w:eastAsia="方正仿宋_GBK" w:cs="方正仿宋_GBK"/>
                <w:i w:val="0"/>
                <w:iCs w:val="0"/>
                <w:color w:val="000000"/>
                <w:sz w:val="20"/>
                <w:szCs w:val="20"/>
                <w:u w:val="none"/>
              </w:rPr>
            </w:pPr>
          </w:p>
        </w:tc>
        <w:tc>
          <w:tcPr>
            <w:tcW w:w="760" w:type="dxa"/>
            <w:tcBorders>
              <w:top w:val="single" w:color="000000" w:sz="4" w:space="0"/>
              <w:left w:val="nil"/>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righ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 xml:space="preserve">15.71 </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0"/>
                <w:szCs w:val="20"/>
                <w:u w:val="none"/>
              </w:rPr>
            </w:pPr>
            <w:r>
              <w:rPr>
                <w:rFonts w:hint="eastAsia" w:ascii="方正仿宋_GBK" w:hAnsi="方正仿宋_GBK" w:eastAsia="方正仿宋_GBK" w:cs="方正仿宋_GBK"/>
                <w:i w:val="0"/>
                <w:iCs w:val="0"/>
                <w:color w:val="000000"/>
                <w:kern w:val="0"/>
                <w:sz w:val="20"/>
                <w:szCs w:val="20"/>
                <w:u w:val="none"/>
                <w:lang w:val="en-US" w:eastAsia="zh-CN" w:bidi="ar"/>
              </w:rPr>
              <w:t>100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9319"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方正仿宋_GBK" w:hAnsi="方正仿宋_GBK" w:eastAsia="方正仿宋_GBK" w:cs="方正仿宋_GBK"/>
                <w:b/>
                <w:bCs/>
                <w:i w:val="0"/>
                <w:iCs w:val="0"/>
                <w:color w:val="808080"/>
                <w:sz w:val="28"/>
                <w:szCs w:val="28"/>
                <w:u w:val="none"/>
              </w:rPr>
            </w:pPr>
            <w:r>
              <w:rPr>
                <w:rFonts w:hint="eastAsia" w:ascii="方正仿宋_GBK" w:hAnsi="方正仿宋_GBK" w:eastAsia="方正仿宋_GBK" w:cs="方正仿宋_GBK"/>
                <w:b/>
                <w:bCs/>
                <w:i w:val="0"/>
                <w:iCs w:val="0"/>
                <w:color w:val="808080"/>
                <w:kern w:val="0"/>
                <w:sz w:val="28"/>
                <w:szCs w:val="28"/>
                <w:u w:val="none"/>
                <w:lang w:val="en-US" w:eastAsia="zh-CN" w:bidi="ar"/>
              </w:rPr>
              <w:t>绩效目标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6" w:hRule="atLeast"/>
        </w:trPr>
        <w:tc>
          <w:tcPr>
            <w:tcW w:w="338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年初绩效目标</w:t>
            </w:r>
          </w:p>
        </w:tc>
        <w:tc>
          <w:tcPr>
            <w:tcW w:w="3191"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全年（调整）绩效目标</w:t>
            </w:r>
          </w:p>
        </w:tc>
        <w:tc>
          <w:tcPr>
            <w:tcW w:w="274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全年目标实际完成情况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8" w:hRule="atLeast"/>
        </w:trPr>
        <w:tc>
          <w:tcPr>
            <w:tcW w:w="33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文化人才补助</w:t>
            </w:r>
          </w:p>
        </w:tc>
        <w:tc>
          <w:tcPr>
            <w:tcW w:w="3191"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已经按月补助到三区文化人才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9319"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rPr>
                <w:rFonts w:hint="eastAsia" w:ascii="方正仿宋_GBK" w:hAnsi="方正仿宋_GBK" w:eastAsia="方正仿宋_GBK" w:cs="方正仿宋_GBK"/>
                <w:b/>
                <w:bCs/>
                <w:i w:val="0"/>
                <w:iCs w:val="0"/>
                <w:color w:val="808080"/>
                <w:sz w:val="28"/>
                <w:szCs w:val="28"/>
                <w:u w:val="none"/>
              </w:rPr>
            </w:pPr>
            <w:r>
              <w:rPr>
                <w:rFonts w:hint="eastAsia" w:ascii="方正仿宋_GBK" w:hAnsi="方正仿宋_GBK" w:eastAsia="方正仿宋_GBK" w:cs="方正仿宋_GBK"/>
                <w:b/>
                <w:bCs/>
                <w:i w:val="0"/>
                <w:iCs w:val="0"/>
                <w:color w:val="808080"/>
                <w:kern w:val="0"/>
                <w:sz w:val="28"/>
                <w:szCs w:val="28"/>
                <w:u w:val="none"/>
                <w:lang w:val="en-US" w:eastAsia="zh-CN" w:bidi="ar"/>
              </w:rPr>
              <w:t>绩效指标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1"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指标名称</w:t>
            </w:r>
          </w:p>
        </w:tc>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计量单位</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指标性质</w:t>
            </w:r>
          </w:p>
        </w:tc>
        <w:tc>
          <w:tcPr>
            <w:tcW w:w="8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指标值</w:t>
            </w:r>
          </w:p>
        </w:tc>
        <w:tc>
          <w:tcPr>
            <w:tcW w:w="71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全年完成值</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偏离度（%）</w:t>
            </w:r>
          </w:p>
        </w:tc>
        <w:tc>
          <w:tcPr>
            <w:tcW w:w="7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得分系数（%）</w:t>
            </w:r>
          </w:p>
        </w:tc>
        <w:tc>
          <w:tcPr>
            <w:tcW w:w="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指标权重</w:t>
            </w:r>
          </w:p>
        </w:tc>
        <w:tc>
          <w:tcPr>
            <w:tcW w:w="69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指标得分</w:t>
            </w:r>
          </w:p>
        </w:tc>
        <w:tc>
          <w:tcPr>
            <w:tcW w:w="87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是否核心指标</w:t>
            </w:r>
          </w:p>
        </w:tc>
        <w:tc>
          <w:tcPr>
            <w:tcW w:w="116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b/>
                <w:bCs/>
                <w:i w:val="0"/>
                <w:iCs w:val="0"/>
                <w:color w:val="000000"/>
                <w:sz w:val="22"/>
                <w:szCs w:val="22"/>
                <w:u w:val="none"/>
              </w:rPr>
            </w:pPr>
            <w:r>
              <w:rPr>
                <w:rFonts w:hint="eastAsia" w:ascii="方正仿宋_GBK" w:hAnsi="方正仿宋_GBK" w:eastAsia="方正仿宋_GBK" w:cs="方正仿宋_GBK"/>
                <w:b/>
                <w:bCs/>
                <w:i w:val="0"/>
                <w:iCs w:val="0"/>
                <w:color w:val="000000"/>
                <w:kern w:val="0"/>
                <w:sz w:val="22"/>
                <w:szCs w:val="22"/>
                <w:u w:val="none"/>
                <w:lang w:val="en-US" w:eastAsia="zh-CN" w:bidi="ar"/>
              </w:rPr>
              <w:t>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补助人数</w:t>
            </w:r>
          </w:p>
        </w:tc>
        <w:tc>
          <w:tcPr>
            <w:tcW w:w="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人数</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15</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15</w:t>
            </w: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0</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100</w:t>
            </w:r>
          </w:p>
        </w:tc>
        <w:tc>
          <w:tcPr>
            <w:tcW w:w="7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30</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30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否</w:t>
            </w: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5"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补助标准</w:t>
            </w:r>
          </w:p>
        </w:tc>
        <w:tc>
          <w:tcPr>
            <w:tcW w:w="72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万元/人</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w:t>
            </w: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0</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100</w:t>
            </w:r>
          </w:p>
        </w:tc>
        <w:tc>
          <w:tcPr>
            <w:tcW w:w="7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30</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30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否</w:t>
            </w: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4"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充实文化人才队伍</w:t>
            </w:r>
          </w:p>
        </w:tc>
        <w:tc>
          <w:tcPr>
            <w:tcW w:w="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240" w:lineRule="exact"/>
              <w:jc w:val="left"/>
              <w:rPr>
                <w:rFonts w:hint="eastAsia" w:ascii="方正仿宋_GBK" w:hAnsi="方正仿宋_GBK" w:eastAsia="方正仿宋_GBK" w:cs="方正仿宋_GBK"/>
                <w:i w:val="0"/>
                <w:iCs w:val="0"/>
                <w:color w:val="000000"/>
                <w:sz w:val="22"/>
                <w:szCs w:val="22"/>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定性</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逐步提高</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w:t>
            </w: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20</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80</w:t>
            </w:r>
          </w:p>
        </w:tc>
        <w:tc>
          <w:tcPr>
            <w:tcW w:w="7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20</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16</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否</w:t>
            </w: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已完成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8" w:hRule="atLeast"/>
        </w:trPr>
        <w:tc>
          <w:tcPr>
            <w:tcW w:w="11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群众满意度</w:t>
            </w:r>
          </w:p>
        </w:tc>
        <w:tc>
          <w:tcPr>
            <w:tcW w:w="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w:t>
            </w:r>
          </w:p>
        </w:tc>
        <w:tc>
          <w:tcPr>
            <w:tcW w:w="68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85</w:t>
            </w:r>
          </w:p>
        </w:tc>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90</w:t>
            </w:r>
          </w:p>
        </w:tc>
        <w:tc>
          <w:tcPr>
            <w:tcW w:w="9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5.88</w:t>
            </w:r>
          </w:p>
        </w:tc>
        <w:tc>
          <w:tcPr>
            <w:tcW w:w="7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100</w:t>
            </w:r>
          </w:p>
        </w:tc>
        <w:tc>
          <w:tcPr>
            <w:tcW w:w="7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10</w:t>
            </w:r>
          </w:p>
        </w:tc>
        <w:tc>
          <w:tcPr>
            <w:tcW w:w="6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10</w:t>
            </w:r>
          </w:p>
        </w:tc>
        <w:tc>
          <w:tcPr>
            <w:tcW w:w="8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否</w:t>
            </w:r>
          </w:p>
        </w:tc>
        <w:tc>
          <w:tcPr>
            <w:tcW w:w="11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已完成</w:t>
            </w:r>
          </w:p>
        </w:tc>
      </w:tr>
    </w:tbl>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40" w:firstLineChars="200"/>
        <w:textAlignment w:val="auto"/>
        <w:rPr>
          <w:rFonts w:hint="eastAsia" w:ascii="方正仿宋_GBK" w:hAnsi="方正仿宋_GBK" w:eastAsia="方正仿宋_GBK" w:cs="方正仿宋_GBK"/>
          <w:b w:val="0"/>
          <w:bCs w:val="0"/>
          <w:color w:val="auto"/>
          <w:sz w:val="32"/>
          <w:szCs w:val="32"/>
          <w:shd w:val="clear" w:color="auto" w:fill="FFFFFF"/>
        </w:rPr>
      </w:pPr>
    </w:p>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（二）单位绩效评价情况</w:t>
      </w:r>
    </w:p>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40" w:firstLineChars="200"/>
        <w:textAlignment w:val="auto"/>
        <w:rPr>
          <w:rFonts w:hint="eastAsia" w:ascii="方正仿宋_GBK" w:hAnsi="方正仿宋_GBK" w:eastAsia="方正仿宋_GBK" w:cs="方正仿宋_GBK"/>
          <w:b w:val="0"/>
          <w:bCs w:val="0"/>
          <w:sz w:val="32"/>
          <w:szCs w:val="32"/>
          <w:highlight w:val="none"/>
          <w:shd w:val="clear" w:color="auto" w:fill="FFFFFF"/>
          <w:lang w:eastAsia="zh-CN"/>
        </w:rPr>
      </w:pPr>
      <w:r>
        <w:rPr>
          <w:rFonts w:hint="eastAsia" w:ascii="方正仿宋_GBK" w:hAnsi="方正仿宋_GBK" w:eastAsia="方正仿宋_GBK" w:cs="方正仿宋_GBK"/>
          <w:b w:val="0"/>
          <w:bCs w:val="0"/>
          <w:sz w:val="32"/>
          <w:szCs w:val="32"/>
          <w:highlight w:val="none"/>
          <w:shd w:val="clear" w:color="auto" w:fill="FFFFFF"/>
          <w:lang w:eastAsia="zh-CN"/>
        </w:rPr>
        <w:t>我部门未组织开展绩效评价。</w:t>
      </w:r>
    </w:p>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40" w:firstLineChars="200"/>
        <w:textAlignment w:val="auto"/>
        <w:rPr>
          <w:rFonts w:hint="eastAsia" w:ascii="楷体" w:hAnsi="楷体" w:eastAsia="楷体" w:cs="楷体"/>
          <w:b w:val="0"/>
          <w:bCs w:val="0"/>
          <w:color w:val="auto"/>
          <w:sz w:val="32"/>
          <w:szCs w:val="32"/>
          <w:shd w:val="clear" w:color="auto" w:fill="FFFFFF"/>
        </w:rPr>
      </w:pPr>
      <w:r>
        <w:rPr>
          <w:rFonts w:hint="eastAsia" w:ascii="楷体" w:hAnsi="楷体" w:eastAsia="楷体" w:cs="楷体"/>
          <w:b w:val="0"/>
          <w:bCs w:val="0"/>
          <w:color w:val="auto"/>
          <w:sz w:val="32"/>
          <w:szCs w:val="32"/>
          <w:shd w:val="clear" w:color="auto" w:fill="FFFFFF"/>
        </w:rPr>
        <w:t>（三）财政绩效评价情况</w:t>
      </w:r>
    </w:p>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40" w:firstLineChars="200"/>
        <w:textAlignment w:val="auto"/>
        <w:rPr>
          <w:rFonts w:hint="eastAsia" w:ascii="方正仿宋_GBK" w:hAnsi="方正仿宋_GBK" w:eastAsia="方正仿宋_GBK" w:cs="方正仿宋_GBK"/>
          <w:b w:val="0"/>
          <w:bCs w:val="0"/>
          <w:sz w:val="32"/>
          <w:szCs w:val="32"/>
          <w:highlight w:val="none"/>
          <w:shd w:val="clear" w:color="auto" w:fill="FFFFFF"/>
        </w:rPr>
      </w:pPr>
      <w:r>
        <w:rPr>
          <w:rFonts w:hint="eastAsia" w:ascii="方正仿宋_GBK" w:hAnsi="方正仿宋_GBK" w:eastAsia="方正仿宋_GBK" w:cs="方正仿宋_GBK"/>
          <w:b w:val="0"/>
          <w:bCs w:val="0"/>
          <w:sz w:val="32"/>
          <w:szCs w:val="32"/>
          <w:highlight w:val="none"/>
          <w:shd w:val="clear" w:color="auto" w:fill="FFFFFF"/>
          <w:lang w:eastAsia="zh-CN"/>
        </w:rPr>
        <w:t>县</w:t>
      </w:r>
      <w:r>
        <w:rPr>
          <w:rFonts w:hint="eastAsia" w:ascii="方正仿宋_GBK" w:hAnsi="方正仿宋_GBK" w:eastAsia="方正仿宋_GBK" w:cs="方正仿宋_GBK"/>
          <w:b w:val="0"/>
          <w:bCs w:val="0"/>
          <w:sz w:val="32"/>
          <w:szCs w:val="32"/>
          <w:highlight w:val="none"/>
          <w:shd w:val="clear" w:color="auto" w:fill="FFFFFF"/>
        </w:rPr>
        <w:t>财政局未委托第三方对我单位开展绩效评价。</w:t>
      </w:r>
    </w:p>
    <w:p>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Style w:val="10"/>
          <w:rFonts w:hint="eastAsia" w:ascii="方正黑体简体" w:hAnsi="方正黑体简体" w:eastAsia="方正黑体简体" w:cs="方正黑体简体"/>
          <w:b w:val="0"/>
          <w:bCs/>
          <w:sz w:val="32"/>
          <w:szCs w:val="32"/>
          <w:shd w:val="clear" w:color="auto" w:fill="FFFFFF"/>
        </w:rPr>
      </w:pPr>
      <w:r>
        <w:rPr>
          <w:rStyle w:val="10"/>
          <w:rFonts w:hint="eastAsia" w:ascii="方正黑体简体" w:hAnsi="方正黑体简体" w:eastAsia="方正黑体简体" w:cs="方正黑体简体"/>
          <w:b w:val="0"/>
          <w:bCs/>
          <w:sz w:val="32"/>
          <w:szCs w:val="32"/>
          <w:shd w:val="clear" w:color="auto" w:fill="FFFFFF"/>
        </w:rPr>
        <w:t>  六、专业名词解释</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（一）财政拨款收入</w:t>
      </w:r>
      <w:r>
        <w:rPr>
          <w:rFonts w:ascii="楷体" w:hAnsi="楷体" w:eastAsia="楷体" w:cs="楷体"/>
          <w:b/>
          <w:bCs/>
          <w:sz w:val="32"/>
          <w:szCs w:val="32"/>
          <w:shd w:val="clear" w:color="auto" w:fill="FFFFFF"/>
        </w:rPr>
        <w:t>：</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 （二）事业收入：</w:t>
      </w:r>
      <w:r>
        <w:rPr>
          <w:rFonts w:ascii="方正仿宋_GBK" w:hAnsi="方正仿宋_GBK" w:eastAsia="方正仿宋_GBK" w:cs="方正仿宋_GBK"/>
          <w:sz w:val="32"/>
          <w:szCs w:val="32"/>
          <w:shd w:val="clear" w:color="auto" w:fill="FFFFFF"/>
        </w:rPr>
        <w:t>指事业单位开展专业业务活动及其辅助</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活动取得的现金流入；事业单位收到的财政专户实际核拨的教育收费等资金在此反映。</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 （四）其他收入：</w:t>
      </w:r>
      <w:r>
        <w:rPr>
          <w:rFonts w:ascii="方正仿宋_GBK" w:hAnsi="方正仿宋_GBK" w:eastAsia="方正仿宋_GBK" w:cs="方正仿宋_GBK"/>
          <w:sz w:val="32"/>
          <w:szCs w:val="32"/>
          <w:shd w:val="clear" w:color="auto" w:fill="FFFFFF"/>
        </w:rPr>
        <w:t>指单位取得的除“财政拨款收入”、“事</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（五）使用非财政拨款结余：</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（七）结余分配：</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（八）年末结转和结余：</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 （九）基本支出：</w:t>
      </w:r>
      <w:r>
        <w:rPr>
          <w:rFonts w:ascii="方正仿宋_GBK" w:hAnsi="方正仿宋_GBK" w:eastAsia="方正仿宋_GBK" w:cs="方正仿宋_GBK"/>
          <w:sz w:val="32"/>
          <w:szCs w:val="32"/>
          <w:shd w:val="clear" w:color="auto" w:fill="FFFFFF"/>
        </w:rPr>
        <w:t>指为保障机构正常运转、完成日常工作</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keepNext w:val="0"/>
        <w:keepLines w:val="0"/>
        <w:pageBreakBefore w:val="0"/>
        <w:widowControl/>
        <w:numPr>
          <w:ilvl w:val="0"/>
          <w:numId w:val="0"/>
        </w:numPr>
        <w:kinsoku/>
        <w:wordWrap/>
        <w:overflowPunct/>
        <w:topLinePunct w:val="0"/>
        <w:autoSpaceDN/>
        <w:bidi w:val="0"/>
        <w:adjustRightInd/>
        <w:snapToGrid w:val="0"/>
        <w:spacing w:before="0" w:beforeAutospacing="0" w:after="0" w:afterAutospacing="0" w:line="600" w:lineRule="exact"/>
        <w:ind w:left="728" w:leftChars="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（十）项目支出：</w:t>
      </w:r>
      <w:r>
        <w:rPr>
          <w:rFonts w:ascii="方正仿宋_GBK" w:hAnsi="方正仿宋_GBK" w:eastAsia="方正仿宋_GBK" w:cs="方正仿宋_GBK"/>
          <w:sz w:val="32"/>
          <w:szCs w:val="32"/>
          <w:shd w:val="clear" w:color="auto" w:fill="FFFFFF"/>
        </w:rPr>
        <w:t>指在基本支出之外为完成特定行政任务</w:t>
      </w:r>
    </w:p>
    <w:p>
      <w:pPr>
        <w:pStyle w:val="6"/>
        <w:keepNext w:val="0"/>
        <w:keepLines w:val="0"/>
        <w:pageBreakBefore w:val="0"/>
        <w:widowControl/>
        <w:numPr>
          <w:ilvl w:val="0"/>
          <w:numId w:val="0"/>
        </w:numPr>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和事业发展目标所发生的支出。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（十一）经营支出：</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2"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Fonts w:hint="eastAsia" w:ascii="楷体" w:hAnsi="楷体" w:eastAsia="楷体" w:cs="楷体"/>
          <w:b w:val="0"/>
          <w:bCs w:val="0"/>
          <w:color w:val="auto"/>
          <w:sz w:val="32"/>
          <w:szCs w:val="32"/>
          <w:shd w:val="clear" w:color="auto" w:fill="FFFFFF"/>
          <w:lang w:val="en-US" w:eastAsia="zh-CN" w:bidi="ar-SA"/>
        </w:rPr>
        <w:t>（十二）“三公”经费：</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 （十三）机关运行经费：</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以及其他费用。</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（十四）工资福利支出（支出经济分类科目类级）：</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方正仿宋_GBK" w:hAnsi="方正仿宋_GBK" w:eastAsia="方正仿宋_GBK" w:cs="方正仿宋_GBK"/>
          <w:sz w:val="32"/>
          <w:szCs w:val="32"/>
          <w:shd w:val="clear" w:color="auto" w:fill="FFFFFF"/>
        </w:rPr>
      </w:pPr>
      <w:r>
        <w:rPr>
          <w:rFonts w:hint="eastAsia" w:ascii="楷体" w:hAnsi="楷体" w:eastAsia="楷体" w:cs="楷体"/>
          <w:b w:val="0"/>
          <w:bCs w:val="0"/>
          <w:color w:val="auto"/>
          <w:sz w:val="32"/>
          <w:szCs w:val="32"/>
          <w:shd w:val="clear" w:color="auto" w:fill="FFFFFF"/>
          <w:lang w:val="en-US" w:eastAsia="zh-CN" w:bidi="ar-SA"/>
        </w:rPr>
        <w:t> （十五）商品和服务支出（支出经济分类科目类级）：</w:t>
      </w:r>
      <w:r>
        <w:rPr>
          <w:rFonts w:ascii="方正仿宋_GBK" w:hAnsi="方正仿宋_GBK" w:eastAsia="方正仿宋_GBK" w:cs="方正仿宋_GBK"/>
          <w:sz w:val="32"/>
          <w:szCs w:val="32"/>
          <w:shd w:val="clear" w:color="auto" w:fill="FFFFFF"/>
        </w:rPr>
        <w:t>反</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jc w:val="both"/>
        <w:textAlignment w:val="auto"/>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映单位购买商品和服务的支出（不包括用于购置固定资产的支出、战略性和应急储备支出）。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方正仿宋_GBK" w:hAnsi="方正仿宋_GBK" w:eastAsia="方正仿宋_GBK" w:cs="方正仿宋_GBK"/>
          <w:sz w:val="32"/>
          <w:szCs w:val="32"/>
        </w:rPr>
      </w:pPr>
      <w:r>
        <w:rPr>
          <w:rFonts w:hint="eastAsia" w:ascii="楷体" w:hAnsi="楷体" w:eastAsia="楷体" w:cs="楷体"/>
          <w:b w:val="0"/>
          <w:bCs w:val="0"/>
          <w:color w:val="auto"/>
          <w:sz w:val="32"/>
          <w:szCs w:val="32"/>
          <w:shd w:val="clear" w:color="auto" w:fill="FFFFFF"/>
          <w:lang w:val="en-US" w:eastAsia="zh-CN" w:bidi="ar-SA"/>
        </w:rPr>
        <w:t> （十六）对个人和家庭的补助（支出经济分类科目类级）：</w:t>
      </w:r>
      <w:r>
        <w:rPr>
          <w:rFonts w:ascii="方正仿宋_GBK" w:hAnsi="方正仿宋_GBK" w:eastAsia="方正仿宋_GBK" w:cs="方正仿宋_GBK"/>
          <w:sz w:val="32"/>
          <w:szCs w:val="32"/>
          <w:shd w:val="clear" w:color="auto" w:fill="FFFFFF"/>
        </w:rPr>
        <w:t>反映用于对个人和家庭的补助支出。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2" w:firstLineChars="200"/>
        <w:jc w:val="both"/>
        <w:textAlignment w:val="auto"/>
        <w:rPr>
          <w:rFonts w:hint="default" w:ascii="方正仿宋_GBK" w:hAnsi="方正仿宋_GBK" w:eastAsia="方正仿宋_GBK" w:cs="方正仿宋_GBK"/>
          <w:sz w:val="32"/>
          <w:szCs w:val="32"/>
        </w:rPr>
      </w:pPr>
      <w:r>
        <w:rPr>
          <w:rStyle w:val="10"/>
          <w:rFonts w:ascii="方正仿宋_GBK" w:hAnsi="方正仿宋_GBK" w:eastAsia="方正仿宋_GBK" w:cs="方正仿宋_GBK"/>
          <w:sz w:val="32"/>
          <w:szCs w:val="32"/>
          <w:shd w:val="clear" w:color="auto" w:fill="FFFFFF"/>
        </w:rPr>
        <w:t> </w:t>
      </w:r>
      <w:r>
        <w:rPr>
          <w:rFonts w:hint="eastAsia" w:ascii="楷体" w:hAnsi="楷体" w:eastAsia="楷体" w:cs="楷体"/>
          <w:b w:val="0"/>
          <w:bCs w:val="0"/>
          <w:color w:val="auto"/>
          <w:sz w:val="32"/>
          <w:szCs w:val="32"/>
          <w:shd w:val="clear" w:color="auto" w:fill="FFFFFF"/>
          <w:lang w:val="en-US" w:eastAsia="zh-CN" w:bidi="ar-SA"/>
        </w:rPr>
        <w:t>（十七）其他资本性支出（支出经济分类科目类级）：</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Style w:val="10"/>
          <w:rFonts w:hint="eastAsia" w:ascii="方正黑体简体" w:hAnsi="方正黑体简体" w:eastAsia="方正黑体简体" w:cs="方正黑体简体"/>
          <w:b w:val="0"/>
          <w:bCs/>
          <w:sz w:val="32"/>
          <w:szCs w:val="32"/>
          <w:shd w:val="clear" w:color="auto" w:fill="FFFFFF"/>
        </w:rPr>
      </w:pPr>
      <w:r>
        <w:rPr>
          <w:rStyle w:val="10"/>
          <w:rFonts w:hint="eastAsia" w:ascii="方正黑体简体" w:hAnsi="方正黑体简体" w:eastAsia="方正黑体简体" w:cs="方正黑体简体"/>
          <w:b w:val="0"/>
          <w:bCs/>
          <w:sz w:val="32"/>
          <w:szCs w:val="32"/>
          <w:shd w:val="clear" w:color="auto" w:fill="FFFFFF"/>
        </w:rPr>
        <w:t> 七、决算公开联系方式及信息反馈渠道</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26" w:firstLineChars="200"/>
        <w:jc w:val="both"/>
        <w:textAlignment w:val="auto"/>
        <w:rPr>
          <w:rFonts w:hint="default" w:ascii="方正仿宋_GBK" w:hAnsi="方正仿宋_GBK" w:eastAsia="方正仿宋_GBK" w:cs="方正仿宋_GBK"/>
          <w:w w:val="98"/>
          <w:sz w:val="32"/>
          <w:szCs w:val="32"/>
        </w:rPr>
      </w:pPr>
      <w:r>
        <w:rPr>
          <w:rFonts w:ascii="方正仿宋_GBK" w:hAnsi="方正仿宋_GBK" w:eastAsia="方正仿宋_GBK" w:cs="方正仿宋_GBK"/>
          <w:w w:val="98"/>
          <w:sz w:val="32"/>
          <w:szCs w:val="32"/>
          <w:shd w:val="clear" w:color="auto" w:fill="FFFFFF"/>
        </w:rPr>
        <w:t>本单位决算公开信息反馈和联系方式：</w:t>
      </w:r>
      <w:r>
        <w:rPr>
          <w:rFonts w:hint="eastAsia" w:ascii="方正仿宋_GBK" w:hAnsi="方正仿宋_GBK" w:eastAsia="方正仿宋_GBK" w:cs="方正仿宋_GBK"/>
          <w:w w:val="98"/>
          <w:sz w:val="32"/>
          <w:szCs w:val="32"/>
          <w:shd w:val="clear" w:color="auto" w:fill="FFFFFF"/>
          <w:lang w:eastAsia="zh-CN"/>
        </w:rPr>
        <w:t>张大琢</w:t>
      </w:r>
      <w:r>
        <w:rPr>
          <w:rFonts w:hint="eastAsia" w:ascii="方正仿宋_GBK" w:hAnsi="方正仿宋_GBK" w:eastAsia="方正仿宋_GBK" w:cs="方正仿宋_GBK"/>
          <w:w w:val="98"/>
          <w:sz w:val="32"/>
          <w:szCs w:val="32"/>
          <w:shd w:val="clear" w:color="auto" w:fill="FFFFFF"/>
          <w:lang w:val="en-US" w:eastAsia="zh-CN"/>
        </w:rPr>
        <w:t>023-51330278</w:t>
      </w:r>
    </w:p>
    <w:p>
      <w:pPr>
        <w:pStyle w:val="11"/>
        <w:keepNext w:val="0"/>
        <w:keepLines w:val="0"/>
        <w:pageBreakBefore w:val="0"/>
        <w:widowControl/>
        <w:kinsoku/>
        <w:wordWrap/>
        <w:overflowPunct/>
        <w:topLinePunct w:val="0"/>
        <w:autoSpaceDE w:val="0"/>
        <w:autoSpaceDN/>
        <w:bidi w:val="0"/>
        <w:adjustRightInd/>
        <w:spacing w:beforeAutospacing="0" w:afterAutospacing="0" w:line="600" w:lineRule="exact"/>
        <w:ind w:firstLine="628" w:firstLineChars="200"/>
        <w:textAlignment w:val="auto"/>
        <w:rPr>
          <w:rStyle w:val="10"/>
          <w:rFonts w:ascii="方正仿宋_GBK" w:hAnsi="方正仿宋_GBK" w:eastAsia="方正仿宋_GBK" w:cs="方正仿宋_GBK"/>
          <w:w w:val="98"/>
          <w:sz w:val="32"/>
          <w:szCs w:val="32"/>
          <w:shd w:val="clear" w:color="auto" w:fill="FFFF00"/>
        </w:rPr>
        <w:sectPr>
          <w:footerReference r:id="rId3" w:type="default"/>
          <w:pgSz w:w="11915" w:h="16840"/>
          <w:pgMar w:top="2098" w:right="1587" w:bottom="1474" w:left="1587" w:header="851" w:footer="992" w:gutter="0"/>
          <w:pgNumType w:fmt="numberInDash"/>
          <w:cols w:space="0" w:num="1"/>
          <w:rtlGutter w:val="0"/>
          <w:docGrid w:type="lines" w:linePitch="331" w:charSpace="0"/>
        </w:sectPr>
      </w:pPr>
    </w:p>
    <w:p>
      <w:pPr>
        <w:rPr>
          <w:rFonts w:hint="default" w:cs="宋体"/>
          <w:sz w:val="21"/>
          <w:szCs w:val="21"/>
        </w:rPr>
      </w:pPr>
    </w:p>
    <w:tbl>
      <w:tblPr>
        <w:tblStyle w:val="7"/>
        <w:tblW w:w="14313" w:type="dxa"/>
        <w:tblInd w:w="0" w:type="dxa"/>
        <w:tblLayout w:type="fixed"/>
        <w:tblCellMar>
          <w:top w:w="0" w:type="dxa"/>
          <w:left w:w="0" w:type="dxa"/>
          <w:bottom w:w="0" w:type="dxa"/>
          <w:right w:w="0" w:type="dxa"/>
        </w:tblCellMar>
      </w:tblPr>
      <w:tblGrid>
        <w:gridCol w:w="5122"/>
        <w:gridCol w:w="2020"/>
        <w:gridCol w:w="4809"/>
        <w:gridCol w:w="2362"/>
      </w:tblGrid>
      <w:tr>
        <w:tblPrEx>
          <w:tblCellMar>
            <w:top w:w="0" w:type="dxa"/>
            <w:left w:w="0" w:type="dxa"/>
            <w:bottom w:w="0" w:type="dxa"/>
            <w:right w:w="0" w:type="dxa"/>
          </w:tblCellMar>
        </w:tblPrEx>
        <w:trPr>
          <w:trHeight w:val="232" w:hRule="atLeast"/>
        </w:trPr>
        <w:tc>
          <w:tcPr>
            <w:tcW w:w="14313" w:type="dxa"/>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5122"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2020" w:type="dxa"/>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4809"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2362"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7142" w:type="dxa"/>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公开单位：</w:t>
            </w:r>
            <w:r>
              <w:rPr>
                <w:sz w:val="20"/>
                <w:u w:color="auto"/>
              </w:rPr>
              <w:t>重庆市巫溪县文化和旅游发展委员会（本级）</w:t>
            </w:r>
          </w:p>
        </w:tc>
        <w:tc>
          <w:tcPr>
            <w:tcW w:w="4809"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2362"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7142"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7171" w:type="dxa"/>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202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2362"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2,673.09</w:t>
            </w: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1,619.94</w:t>
            </w: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2,479.18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2020" w:type="dxa"/>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133.14</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21.39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39.38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1,619.94</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4,293.04</w:t>
            </w: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4,293.04</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236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20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4809"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2362"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5122" w:type="dxa"/>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202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4,293.04</w:t>
            </w:r>
            <w:r>
              <w:rPr>
                <w:color w:val="000000"/>
                <w:sz w:val="20"/>
                <w:u w:color="auto"/>
              </w:rPr>
              <w:t xml:space="preserve"> </w:t>
            </w:r>
          </w:p>
        </w:tc>
        <w:tc>
          <w:tcPr>
            <w:tcW w:w="4809" w:type="dxa"/>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2362"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4,293.04</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备注：1.本表反映单位本年度的总收支和年末结转结余情况。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7"/>
        <w:tblW w:w="14453" w:type="dxa"/>
        <w:tblInd w:w="0" w:type="dxa"/>
        <w:tblLayout w:type="fixed"/>
        <w:tblCellMar>
          <w:top w:w="0" w:type="dxa"/>
          <w:left w:w="0" w:type="dxa"/>
          <w:bottom w:w="0" w:type="dxa"/>
          <w:right w:w="0" w:type="dxa"/>
        </w:tblCellMar>
      </w:tblPr>
      <w:tblGrid>
        <w:gridCol w:w="1702"/>
        <w:gridCol w:w="3171"/>
        <w:gridCol w:w="1233"/>
        <w:gridCol w:w="1233"/>
        <w:gridCol w:w="1233"/>
        <w:gridCol w:w="1233"/>
        <w:gridCol w:w="1366"/>
        <w:gridCol w:w="1307"/>
        <w:gridCol w:w="925"/>
        <w:gridCol w:w="1050"/>
      </w:tblGrid>
      <w:tr>
        <w:tblPrEx>
          <w:tblCellMar>
            <w:top w:w="0" w:type="dxa"/>
            <w:left w:w="0" w:type="dxa"/>
            <w:bottom w:w="0" w:type="dxa"/>
            <w:right w:w="0" w:type="dxa"/>
          </w:tblCellMar>
        </w:tblPrEx>
        <w:trPr>
          <w:trHeight w:val="641" w:hRule="atLeast"/>
        </w:trPr>
        <w:tc>
          <w:tcPr>
            <w:tcW w:w="14453" w:type="dxa"/>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6106"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sz w:val="20"/>
                <w:u w:color="auto"/>
              </w:rPr>
              <w:t>重庆市巫溪县文化和旅游发展委员会（本级）</w:t>
            </w: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66"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92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50"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6106"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3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66"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92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50"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4873" w:type="dxa"/>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123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123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123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2599"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130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92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1050"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1702"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171"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136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13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2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70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71"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2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70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71"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2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1702"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171"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33"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6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2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50"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4873"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23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4,293.04</w:t>
            </w:r>
            <w:r>
              <w:rPr>
                <w:b/>
                <w:color w:val="000000"/>
                <w:sz w:val="20"/>
                <w:u w:color="auto"/>
              </w:rPr>
              <w:t xml:space="preserve"> </w:t>
            </w:r>
          </w:p>
        </w:tc>
        <w:tc>
          <w:tcPr>
            <w:tcW w:w="123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4,293.04</w:t>
            </w:r>
            <w:r>
              <w:rPr>
                <w:b/>
                <w:color w:val="000000"/>
                <w:sz w:val="20"/>
                <w:u w:color="auto"/>
              </w:rPr>
              <w:t xml:space="preserve"> </w:t>
            </w:r>
          </w:p>
        </w:tc>
        <w:tc>
          <w:tcPr>
            <w:tcW w:w="123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23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3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0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2,479.18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2,479.18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1,897.07</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1,897.07</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383.71</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383.71</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106.38</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106.38</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文化创作与保护</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2070112</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文化和旅游市场管理</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2070114</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文化和旅游管理事务</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399.93</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399.93</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977.01</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977.01</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20702</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文物</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547.32</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547.32</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2070204</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文物保护</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547.32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547.32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20703</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体育</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16.20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16.20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2070308</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群众体育</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16.20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16.20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20708</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广播电视</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18.60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18.60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2070808</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广播电视事务</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18.60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18.60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133.14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133.14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54.42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54.42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48.04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48.04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30.02</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0.66</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0.66</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0.66</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0.66</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18.54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18.54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2.85</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2.85</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39.38</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39.38</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1,619.94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1,619.94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22904</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其他政府性基金及对应专项债务收入安排的支出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1,500.00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1,500.00</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2290402</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其他地方自行试点项目收益专项债券收入安排的支出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1,500.00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1,500.00</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119.94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119.94</w:t>
            </w:r>
            <w:r>
              <w:rPr>
                <w:b/>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170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2296003</w:t>
            </w:r>
          </w:p>
        </w:tc>
        <w:tc>
          <w:tcPr>
            <w:tcW w:w="317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用于体育事业的彩票公益金支出</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119.94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119.94</w:t>
            </w: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3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6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92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05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备注：1.本表反映单位本年度取得的各项收入情况。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7"/>
        <w:tblW w:w="14560" w:type="dxa"/>
        <w:tblInd w:w="0" w:type="dxa"/>
        <w:tblLayout w:type="fixed"/>
        <w:tblCellMar>
          <w:top w:w="0" w:type="dxa"/>
          <w:left w:w="0" w:type="dxa"/>
          <w:bottom w:w="0" w:type="dxa"/>
          <w:right w:w="0" w:type="dxa"/>
        </w:tblCellMar>
      </w:tblPr>
      <w:tblGrid>
        <w:gridCol w:w="1803"/>
        <w:gridCol w:w="3355"/>
        <w:gridCol w:w="1701"/>
        <w:gridCol w:w="1701"/>
        <w:gridCol w:w="1701"/>
        <w:gridCol w:w="1685"/>
        <w:gridCol w:w="1242"/>
        <w:gridCol w:w="1372"/>
      </w:tblGrid>
      <w:tr>
        <w:tblPrEx>
          <w:tblCellMar>
            <w:top w:w="0" w:type="dxa"/>
            <w:left w:w="0" w:type="dxa"/>
            <w:bottom w:w="0" w:type="dxa"/>
            <w:right w:w="0" w:type="dxa"/>
          </w:tblCellMar>
        </w:tblPrEx>
        <w:trPr>
          <w:trHeight w:val="654" w:hRule="atLeast"/>
        </w:trPr>
        <w:tc>
          <w:tcPr>
            <w:tcW w:w="14560" w:type="dxa"/>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6859"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 xml:space="preserve">重庆市巫溪县文化和旅游发展委员会（本级） </w:t>
            </w: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8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42"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72"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6859"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1"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685"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42"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372"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5158"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701"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168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124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1372"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1803" w:type="dxa"/>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355" w:type="dxa"/>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7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803"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55"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7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803"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55"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7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803" w:type="dxa"/>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3355" w:type="dxa"/>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1"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68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4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372"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5158"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4,293.04</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666.10</w:t>
            </w:r>
            <w:r>
              <w:rPr>
                <w:b/>
                <w:color w:val="000000"/>
                <w:sz w:val="20"/>
                <w:u w:color="auto"/>
              </w:rPr>
              <w:t xml:space="preserve"> </w:t>
            </w:r>
          </w:p>
        </w:tc>
        <w:tc>
          <w:tcPr>
            <w:tcW w:w="17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3,626.93</w:t>
            </w:r>
            <w:r>
              <w:rPr>
                <w:b/>
                <w:color w:val="000000"/>
                <w:sz w:val="20"/>
                <w:u w:color="auto"/>
              </w:rPr>
              <w:t xml:space="preserve"> </w:t>
            </w:r>
          </w:p>
        </w:tc>
        <w:tc>
          <w:tcPr>
            <w:tcW w:w="168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24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37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2,479.18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472.19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2,006.99</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1,897.07</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472.19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1,424.88</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383.71</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383.71</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106.38</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106.38</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文化创作与保护</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12.04</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2070112</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文化和旅游市场管理</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18.00</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2070114</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文化和旅游管理事务</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399.93</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88.48</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311.44</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977.01</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977.01</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20702</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文物</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547.32</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547.32</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2070204</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文物保护</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547.32</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547.32</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20703</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体育</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16.20</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16.20</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2070308</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群众体育</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16.20</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16.20</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20708</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广播电视</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18.60</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18.60</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2070808</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广播电视事务</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18.60</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18.60</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133.14</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133.14</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132.48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54.42</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54.42</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48.04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48.04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30.02</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30.02</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0.66</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0.66</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0.66</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0.66</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21.39</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18.54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18.54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2.85</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2.85</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39.38</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39.38</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39.38</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1,619.94</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1,619.94</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22904</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其他政府性基金及对应专项债务收入安排的支出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1,500.00</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1,500.00</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2290402</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其他地方自行试点项目收益专项债券收入安排的支出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1,500.00</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1,500.00</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119.94</w:t>
            </w:r>
            <w:r>
              <w:rPr>
                <w:b/>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119.94</w:t>
            </w:r>
            <w:r>
              <w:rPr>
                <w:b/>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1803"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2296003</w:t>
            </w:r>
          </w:p>
        </w:tc>
        <w:tc>
          <w:tcPr>
            <w:tcW w:w="33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用于体育事业的彩票公益金支出</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119.94</w:t>
            </w: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7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119.94</w:t>
            </w:r>
            <w:r>
              <w:rPr>
                <w:color w:val="000000"/>
                <w:sz w:val="20"/>
                <w:u w:color="auto"/>
              </w:rPr>
              <w:t xml:space="preserve"> </w:t>
            </w: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24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备注：1.本表反映单位本年度各项支出情况。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7"/>
        <w:tblW w:w="14442" w:type="dxa"/>
        <w:tblInd w:w="0" w:type="dxa"/>
        <w:tblLayout w:type="fixed"/>
        <w:tblCellMar>
          <w:top w:w="0" w:type="dxa"/>
          <w:left w:w="0" w:type="dxa"/>
          <w:bottom w:w="0" w:type="dxa"/>
          <w:right w:w="0" w:type="dxa"/>
        </w:tblCellMar>
      </w:tblPr>
      <w:tblGrid>
        <w:gridCol w:w="2979"/>
        <w:gridCol w:w="1526"/>
        <w:gridCol w:w="3191"/>
        <w:gridCol w:w="1700"/>
        <w:gridCol w:w="1700"/>
        <w:gridCol w:w="1700"/>
        <w:gridCol w:w="1646"/>
      </w:tblGrid>
      <w:tr>
        <w:tblPrEx>
          <w:tblCellMar>
            <w:top w:w="0" w:type="dxa"/>
            <w:left w:w="0" w:type="dxa"/>
            <w:bottom w:w="0" w:type="dxa"/>
            <w:right w:w="0" w:type="dxa"/>
          </w:tblCellMar>
        </w:tblPrEx>
        <w:trPr>
          <w:trHeight w:val="90" w:hRule="atLeast"/>
        </w:trPr>
        <w:tc>
          <w:tcPr>
            <w:tcW w:w="14442" w:type="dxa"/>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7696" w:type="dxa"/>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46" w:type="dxa"/>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7696" w:type="dxa"/>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46"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4505"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9937" w:type="dxa"/>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2979"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1526"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3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6746" w:type="dxa"/>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2979"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526"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3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170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1700"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1646" w:type="dxa"/>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2,673.09</w:t>
            </w: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1,619.94</w:t>
            </w: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2,479.18</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2,479.18</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133.14</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133.14</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21.39</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21.39</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39.38</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39.38</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1,619.94</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1,619.94</w:t>
            </w: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4,293.04</w:t>
            </w: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4,293.04</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2,673.09</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1,619.94</w:t>
            </w: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2979"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52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4,293.04</w:t>
            </w:r>
            <w:r>
              <w:rPr>
                <w:color w:val="000000"/>
                <w:sz w:val="18"/>
                <w:u w:color="auto"/>
              </w:rPr>
              <w:t xml:space="preserve"> </w:t>
            </w:r>
          </w:p>
        </w:tc>
        <w:tc>
          <w:tcPr>
            <w:tcW w:w="3191"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4,293.04</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2,673.09</w:t>
            </w:r>
            <w:r>
              <w:rPr>
                <w:color w:val="000000"/>
                <w:sz w:val="18"/>
                <w:u w:color="auto"/>
              </w:rPr>
              <w:t xml:space="preserve"> </w:t>
            </w:r>
          </w:p>
        </w:tc>
        <w:tc>
          <w:tcPr>
            <w:tcW w:w="170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1,619.94</w:t>
            </w:r>
            <w:r>
              <w:rPr>
                <w:color w:val="000000"/>
                <w:sz w:val="18"/>
                <w:u w:color="auto"/>
              </w:rPr>
              <w:t xml:space="preserve"> </w:t>
            </w:r>
          </w:p>
        </w:tc>
        <w:tc>
          <w:tcPr>
            <w:tcW w:w="16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备注：1.本表反映单位本年度一般公共预算财政拨款、政府性基金预算财政拨款及国有资本经营预算财政拨款的总收支和年末结转结余情况。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14249" w:type="dxa"/>
        <w:tblInd w:w="0" w:type="dxa"/>
        <w:tblLayout w:type="fixed"/>
        <w:tblCellMar>
          <w:top w:w="0" w:type="dxa"/>
          <w:left w:w="0" w:type="dxa"/>
          <w:bottom w:w="0" w:type="dxa"/>
          <w:right w:w="0" w:type="dxa"/>
        </w:tblCellMar>
      </w:tblPr>
      <w:tblGrid>
        <w:gridCol w:w="1857"/>
        <w:gridCol w:w="3549"/>
        <w:gridCol w:w="3319"/>
        <w:gridCol w:w="3319"/>
        <w:gridCol w:w="2205"/>
      </w:tblGrid>
      <w:tr>
        <w:tblPrEx>
          <w:tblCellMar>
            <w:top w:w="0" w:type="dxa"/>
            <w:left w:w="0" w:type="dxa"/>
            <w:bottom w:w="0" w:type="dxa"/>
            <w:right w:w="0" w:type="dxa"/>
          </w:tblCellMar>
        </w:tblPrEx>
        <w:trPr>
          <w:trHeight w:val="510" w:hRule="atLeast"/>
        </w:trPr>
        <w:tc>
          <w:tcPr>
            <w:tcW w:w="14249" w:type="dxa"/>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8725"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331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220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8725"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319"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220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5406"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8843"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1857"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54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331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319"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220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1857"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5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1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1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220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1857"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54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1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319"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220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5406"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2,673.09</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666.10</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2,006.99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2,479.18</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472.19</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2,006.99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1,897.07</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472.19</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1,424.88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383.71</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383.71</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106.38</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106.38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文化创作与保护</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12.04</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12.04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2070112</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文化和旅游市场管理</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18.00</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2070114</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文化和旅游管理事务</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399.93</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88.48</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311.44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977.01</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977.01</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20702</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文物</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547.32</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547.32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2070204</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文物保护</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547.32</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547.32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20703</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体育</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16.20</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16.20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2070308</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群众体育</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16.20</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16.20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20708</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广播电视</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18.60</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18.60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2070808</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广播电视事务</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18.60</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18.60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133.14</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133.14</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132.48</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132.48</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行政单位离退休</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54.42</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54.42</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48.04</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48.04</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30.02</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30.02</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0.66</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0.66</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0.66</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0.66</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21.39</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21.39</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21.39</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21.39</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18.54</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18.54</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2.85</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2.85</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39.38</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39.38</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39.38</w:t>
            </w:r>
            <w:r>
              <w:rPr>
                <w:b/>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39.38</w:t>
            </w:r>
            <w:r>
              <w:rPr>
                <w:b/>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1857"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354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39.38</w:t>
            </w:r>
            <w:r>
              <w:rPr>
                <w:color w:val="000000"/>
                <w:sz w:val="20"/>
                <w:u w:color="auto"/>
              </w:rPr>
              <w:t xml:space="preserve"> </w:t>
            </w:r>
          </w:p>
        </w:tc>
        <w:tc>
          <w:tcPr>
            <w:tcW w:w="331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39.38</w:t>
            </w:r>
            <w:r>
              <w:rPr>
                <w:color w:val="000000"/>
                <w:sz w:val="20"/>
                <w:u w:color="auto"/>
              </w:rPr>
              <w:t xml:space="preserve"> </w:t>
            </w:r>
          </w:p>
        </w:tc>
        <w:tc>
          <w:tcPr>
            <w:tcW w:w="220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备注：1.本表反映单位本年度一般公共预算财政拨款支出情况。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7"/>
        <w:tblW w:w="14678" w:type="dxa"/>
        <w:tblInd w:w="0" w:type="dxa"/>
        <w:tblLayout w:type="fixed"/>
        <w:tblCellMar>
          <w:top w:w="0" w:type="dxa"/>
          <w:left w:w="0" w:type="dxa"/>
          <w:bottom w:w="0" w:type="dxa"/>
          <w:right w:w="0" w:type="dxa"/>
        </w:tblCellMar>
      </w:tblPr>
      <w:tblGrid>
        <w:gridCol w:w="605"/>
        <w:gridCol w:w="2740"/>
        <w:gridCol w:w="1376"/>
        <w:gridCol w:w="836"/>
        <w:gridCol w:w="1923"/>
        <w:gridCol w:w="1656"/>
        <w:gridCol w:w="808"/>
        <w:gridCol w:w="3527"/>
        <w:gridCol w:w="1207"/>
      </w:tblGrid>
      <w:tr>
        <w:tblPrEx>
          <w:tblCellMar>
            <w:top w:w="0" w:type="dxa"/>
            <w:left w:w="0" w:type="dxa"/>
            <w:bottom w:w="0" w:type="dxa"/>
            <w:right w:w="0" w:type="dxa"/>
          </w:tblCellMar>
        </w:tblPrEx>
        <w:trPr>
          <w:trHeight w:val="90" w:hRule="atLeast"/>
        </w:trPr>
        <w:tc>
          <w:tcPr>
            <w:tcW w:w="14678" w:type="dxa"/>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5557" w:type="dxa"/>
            <w:gridSpan w:val="4"/>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1923"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56"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08"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527"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207"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5557" w:type="dxa"/>
            <w:gridSpan w:val="4"/>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923"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656"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08"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3527" w:type="dxa"/>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207"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4721" w:type="dxa"/>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9957" w:type="dxa"/>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605"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274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37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36"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92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656"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80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352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120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605"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4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37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36"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92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656"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0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352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20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527.23</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82.63</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2.50</w:t>
            </w: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134.90</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10.13</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86.25</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0.41</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2.50</w:t>
            </w: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105.20</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0.23</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6.54</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38.24</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0.72</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48.04</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2.00</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30.02</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7.00</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21.39</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3.50</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1.42</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11.43</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39.38</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1.34</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15.85</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0.64</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53.74</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0.51</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0.36</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52.88</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3.16</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0.66</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1.86</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0.20</w:t>
            </w: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3.25</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3.65</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4.53</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22.38</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5.52</w:t>
            </w: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605"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2740"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3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836"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1923"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165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808"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3527" w:type="dxa"/>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3345"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137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580.97</w:t>
            </w:r>
            <w:r>
              <w:rPr>
                <w:color w:val="000000"/>
                <w:sz w:val="18"/>
                <w:u w:color="auto"/>
              </w:rPr>
              <w:t xml:space="preserve"> </w:t>
            </w:r>
          </w:p>
        </w:tc>
        <w:tc>
          <w:tcPr>
            <w:tcW w:w="8750" w:type="dxa"/>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12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85.13</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备注：1.本表反映单位本年度一般公共预算财政拨款基本支出明细情况。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7"/>
        <w:tblW w:w="14528" w:type="dxa"/>
        <w:tblInd w:w="0" w:type="dxa"/>
        <w:tblLayout w:type="fixed"/>
        <w:tblCellMar>
          <w:top w:w="0" w:type="dxa"/>
          <w:left w:w="0" w:type="dxa"/>
          <w:bottom w:w="0" w:type="dxa"/>
          <w:right w:w="0" w:type="dxa"/>
        </w:tblCellMar>
      </w:tblPr>
      <w:tblGrid>
        <w:gridCol w:w="1854"/>
        <w:gridCol w:w="3088"/>
        <w:gridCol w:w="1707"/>
        <w:gridCol w:w="1707"/>
        <w:gridCol w:w="1707"/>
        <w:gridCol w:w="1707"/>
        <w:gridCol w:w="1493"/>
        <w:gridCol w:w="1265"/>
      </w:tblGrid>
      <w:tr>
        <w:tblPrEx>
          <w:tblCellMar>
            <w:top w:w="0" w:type="dxa"/>
            <w:left w:w="0" w:type="dxa"/>
            <w:bottom w:w="0" w:type="dxa"/>
            <w:right w:w="0" w:type="dxa"/>
          </w:tblCellMar>
        </w:tblPrEx>
        <w:trPr>
          <w:trHeight w:val="644" w:hRule="atLeast"/>
        </w:trPr>
        <w:tc>
          <w:tcPr>
            <w:tcW w:w="14528" w:type="dxa"/>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6649"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9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6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6649"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707"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493" w:type="dxa"/>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6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49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1707"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1707"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4907"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1265"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1854"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088" w:type="dxa"/>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707"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70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49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12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185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9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1854"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88"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70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49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265" w:type="dxa"/>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4942" w:type="dxa"/>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1,619.94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1,619.94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1,619.94</w:t>
            </w:r>
            <w:r>
              <w:rPr>
                <w:b/>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9" w:hRule="atLeast"/>
        </w:trPr>
        <w:tc>
          <w:tcPr>
            <w:tcW w:w="185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w:t>
            </w:r>
          </w:p>
        </w:tc>
        <w:tc>
          <w:tcPr>
            <w:tcW w:w="30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其他支出</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1,619.94</w:t>
            </w:r>
            <w:r>
              <w:rPr>
                <w:b/>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185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22904</w:t>
            </w:r>
          </w:p>
        </w:tc>
        <w:tc>
          <w:tcPr>
            <w:tcW w:w="30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其他政府性基金及对应专项债务收入安排的支出</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1,500.00</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1,500.00</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1,500.00</w:t>
            </w:r>
            <w:r>
              <w:rPr>
                <w:b/>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185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2290402</w:t>
            </w:r>
          </w:p>
        </w:tc>
        <w:tc>
          <w:tcPr>
            <w:tcW w:w="30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其他地方自行试点项目收益专项债券收入安排的支出</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1,500.00</w:t>
            </w: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1,500.00</w:t>
            </w: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1,500.00</w:t>
            </w:r>
            <w:r>
              <w:rPr>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185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22960</w:t>
            </w:r>
          </w:p>
        </w:tc>
        <w:tc>
          <w:tcPr>
            <w:tcW w:w="30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彩票公益金安排的支出</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119.94</w:t>
            </w:r>
            <w:r>
              <w:rPr>
                <w:b/>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119.94</w:t>
            </w:r>
            <w:r>
              <w:rPr>
                <w:b/>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1854"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2296003</w:t>
            </w:r>
          </w:p>
        </w:tc>
        <w:tc>
          <w:tcPr>
            <w:tcW w:w="30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用于体育事业的彩票公益金支出</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119.94</w:t>
            </w: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119.94</w:t>
            </w:r>
            <w:r>
              <w:rPr>
                <w:color w:val="000000"/>
                <w:sz w:val="20"/>
                <w:u w:color="auto"/>
              </w:rPr>
              <w:t xml:space="preserve"> </w:t>
            </w:r>
          </w:p>
        </w:tc>
        <w:tc>
          <w:tcPr>
            <w:tcW w:w="17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49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119.94</w:t>
            </w:r>
            <w:r>
              <w:rPr>
                <w:color w:val="000000"/>
                <w:sz w:val="20"/>
                <w:u w:color="auto"/>
              </w:rPr>
              <w:t xml:space="preserve"> </w:t>
            </w:r>
          </w:p>
        </w:tc>
        <w:tc>
          <w:tcPr>
            <w:tcW w:w="12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备注：1.本表反映单位本年度政府性基金预算财政拨款收入支出及结转和结余情况。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7"/>
        <w:tblW w:w="14495" w:type="dxa"/>
        <w:tblInd w:w="0" w:type="dxa"/>
        <w:tblLayout w:type="fixed"/>
        <w:tblCellMar>
          <w:top w:w="0" w:type="dxa"/>
          <w:left w:w="0" w:type="dxa"/>
          <w:bottom w:w="0" w:type="dxa"/>
          <w:right w:w="0" w:type="dxa"/>
        </w:tblCellMar>
      </w:tblPr>
      <w:tblGrid>
        <w:gridCol w:w="1882"/>
        <w:gridCol w:w="3060"/>
        <w:gridCol w:w="3276"/>
        <w:gridCol w:w="200"/>
        <w:gridCol w:w="3475"/>
        <w:gridCol w:w="77"/>
        <w:gridCol w:w="2525"/>
      </w:tblGrid>
      <w:tr>
        <w:tblPrEx>
          <w:tblCellMar>
            <w:top w:w="0" w:type="dxa"/>
            <w:left w:w="0" w:type="dxa"/>
            <w:bottom w:w="0" w:type="dxa"/>
            <w:right w:w="0" w:type="dxa"/>
          </w:tblCellMar>
        </w:tblPrEx>
        <w:trPr>
          <w:trHeight w:val="650" w:hRule="atLeast"/>
        </w:trPr>
        <w:tc>
          <w:tcPr>
            <w:tcW w:w="14495" w:type="dxa"/>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8218" w:type="dxa"/>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3752" w:type="dxa"/>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252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8218" w:type="dxa"/>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3752" w:type="dxa"/>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2525" w:type="dxa"/>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4942" w:type="dxa"/>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9553" w:type="dxa"/>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1882"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3060"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3476" w:type="dxa"/>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475"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2602" w:type="dxa"/>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18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6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6"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260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8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6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6"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260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1882"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060"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6" w:type="dxa"/>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3475"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2602" w:type="dxa"/>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4942" w:type="dxa"/>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3476"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347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2602" w:type="dxa"/>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备注：本表反映单位本年度国有资本经营预算财政拨款支出情况。本单位无国有资本经营收支，故本表无数据。</w:t>
      </w:r>
      <w:r>
        <w:rPr>
          <w:rFonts w:cs="宋体"/>
          <w:sz w:val="20"/>
          <w:szCs w:val="20"/>
        </w:rPr>
        <w:br w:type="textWrapping"/>
      </w:r>
      <w:r>
        <w:rPr>
          <w:rFonts w:cs="宋体"/>
          <w:sz w:val="20"/>
          <w:szCs w:val="20"/>
        </w:rPr>
        <w:br w:type="textWrapping"/>
      </w:r>
      <w:r>
        <w:rPr>
          <w:rFonts w:hint="default" w:cs="宋体"/>
          <w:sz w:val="21"/>
          <w:szCs w:val="21"/>
        </w:rPr>
        <w:br w:type="page"/>
      </w:r>
    </w:p>
    <w:tbl>
      <w:tblPr>
        <w:tblStyle w:val="7"/>
        <w:tblW w:w="14345" w:type="dxa"/>
        <w:tblInd w:w="0" w:type="dxa"/>
        <w:tblLayout w:type="fixed"/>
        <w:tblCellMar>
          <w:top w:w="0" w:type="dxa"/>
          <w:left w:w="170" w:type="dxa"/>
          <w:bottom w:w="0" w:type="dxa"/>
          <w:right w:w="170" w:type="dxa"/>
        </w:tblCellMar>
      </w:tblPr>
      <w:tblGrid>
        <w:gridCol w:w="4041"/>
        <w:gridCol w:w="2166"/>
        <w:gridCol w:w="2115"/>
        <w:gridCol w:w="4524"/>
        <w:gridCol w:w="1499"/>
      </w:tblGrid>
      <w:tr>
        <w:tblPrEx>
          <w:tblCellMar>
            <w:top w:w="0" w:type="dxa"/>
            <w:left w:w="170" w:type="dxa"/>
            <w:bottom w:w="0" w:type="dxa"/>
            <w:right w:w="170" w:type="dxa"/>
          </w:tblCellMar>
        </w:tblPrEx>
        <w:trPr>
          <w:trHeight w:val="343" w:hRule="atLeast"/>
        </w:trPr>
        <w:tc>
          <w:tcPr>
            <w:tcW w:w="14345" w:type="dxa"/>
            <w:gridSpan w:val="5"/>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机构运行信息表</w:t>
            </w:r>
          </w:p>
        </w:tc>
      </w:tr>
      <w:tr>
        <w:tblPrEx>
          <w:tblCellMar>
            <w:top w:w="0" w:type="dxa"/>
            <w:left w:w="170" w:type="dxa"/>
            <w:bottom w:w="0" w:type="dxa"/>
            <w:right w:w="170" w:type="dxa"/>
          </w:tblCellMar>
        </w:tblPrEx>
        <w:trPr>
          <w:trHeight w:val="244" w:hRule="atLeast"/>
        </w:trPr>
        <w:tc>
          <w:tcPr>
            <w:tcW w:w="4041" w:type="dxa"/>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2166"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center"/>
              <w:rPr>
                <w:rFonts w:hint="default" w:cs="宋体"/>
                <w:color w:val="000000"/>
                <w:sz w:val="20"/>
                <w:szCs w:val="20"/>
              </w:rPr>
            </w:pPr>
          </w:p>
        </w:tc>
        <w:tc>
          <w:tcPr>
            <w:tcW w:w="2115"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4524" w:type="dxa"/>
            <w:tcBorders>
              <w:top w:val="nil"/>
              <w:left w:val="nil"/>
              <w:bottom w:val="nil"/>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1499" w:type="dxa"/>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公开09表</w:t>
            </w:r>
          </w:p>
        </w:tc>
      </w:tr>
      <w:tr>
        <w:tblPrEx>
          <w:tblCellMar>
            <w:top w:w="0" w:type="dxa"/>
            <w:left w:w="170" w:type="dxa"/>
            <w:bottom w:w="0" w:type="dxa"/>
            <w:right w:w="170" w:type="dxa"/>
          </w:tblCellMar>
        </w:tblPrEx>
        <w:trPr>
          <w:trHeight w:val="244" w:hRule="atLeast"/>
        </w:trPr>
        <w:tc>
          <w:tcPr>
            <w:tcW w:w="6207" w:type="dxa"/>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r>
              <w:rPr>
                <w:rFonts w:cs="宋体"/>
                <w:sz w:val="20"/>
                <w:szCs w:val="20"/>
              </w:rPr>
              <w:t>公开单位</w:t>
            </w:r>
            <w:r>
              <w:rPr>
                <w:rFonts w:cs="宋体"/>
                <w:color w:val="000000"/>
                <w:sz w:val="20"/>
                <w:szCs w:val="20"/>
              </w:rPr>
              <w:t xml:space="preserve">： </w:t>
            </w:r>
            <w:r>
              <w:rPr>
                <w:color w:val="000000"/>
                <w:sz w:val="20"/>
                <w:u w:color="auto"/>
              </w:rPr>
              <w:t>重庆市巫溪县文化和旅游发展委员会（本级）</w:t>
            </w:r>
          </w:p>
        </w:tc>
        <w:tc>
          <w:tcPr>
            <w:tcW w:w="2115"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sz w:val="20"/>
                <w:szCs w:val="20"/>
              </w:rPr>
            </w:pPr>
          </w:p>
        </w:tc>
        <w:tc>
          <w:tcPr>
            <w:tcW w:w="4524"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sz w:val="20"/>
                <w:szCs w:val="20"/>
              </w:rPr>
            </w:pPr>
          </w:p>
        </w:tc>
        <w:tc>
          <w:tcPr>
            <w:tcW w:w="1499" w:type="dxa"/>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170" w:type="dxa"/>
            <w:bottom w:w="0" w:type="dxa"/>
            <w:right w:w="170" w:type="dxa"/>
          </w:tblCellMar>
        </w:tblPrEx>
        <w:trPr>
          <w:trHeight w:val="28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2166"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预算数</w:t>
            </w:r>
          </w:p>
        </w:tc>
        <w:tc>
          <w:tcPr>
            <w:tcW w:w="2115"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项  目</w:t>
            </w:r>
          </w:p>
        </w:tc>
        <w:tc>
          <w:tcPr>
            <w:tcW w:w="1499"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6"/>
                <w:szCs w:val="16"/>
              </w:rPr>
            </w:pPr>
            <w:r>
              <w:rPr>
                <w:rFonts w:cs="宋体"/>
                <w:b/>
                <w:color w:val="000000"/>
                <w:sz w:val="16"/>
                <w:szCs w:val="16"/>
              </w:rPr>
              <w:t>决算数</w:t>
            </w:r>
          </w:p>
        </w:tc>
      </w:tr>
      <w:tr>
        <w:tblPrEx>
          <w:tblCellMar>
            <w:top w:w="0" w:type="dxa"/>
            <w:left w:w="170" w:type="dxa"/>
            <w:bottom w:w="0" w:type="dxa"/>
            <w:right w:w="170" w:type="dxa"/>
          </w:tblCellMar>
        </w:tblPrEx>
        <w:trPr>
          <w:trHeight w:val="28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一、“三公”经费支出</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四、机关运行经费</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85.13</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（一）支出合计</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9.58</w:t>
            </w: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9.58</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（一）行政单位</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85.13</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（二）参照公务员法管理事业单位</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2．公务用车购置及运行维护费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4.58</w:t>
            </w: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4.58</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五、资产信息</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（1）公务用车购置费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（一）车辆数合计（辆）</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 xml:space="preserve">3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（2）公务用车运行维护费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4.58</w:t>
            </w: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4.58</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1．副部（省）级及以上领导用车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3．公务接待费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4.99</w:t>
            </w:r>
            <w:r>
              <w:rPr>
                <w:color w:val="000000"/>
                <w:sz w:val="16"/>
                <w:u w:color="auto"/>
              </w:rPr>
              <w:t xml:space="preserve"> </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4.99</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2．主要领导干部用车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（1）国内接待费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4.99</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3．机要通信用车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4．应急保障用车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3</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（2）国（境）外接待费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5．执法执勤用车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（二）相关统计数</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6．特种专业技术用车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1．因公出国（境）团组数（个）</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7．离退休干部用车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2．因公出国（境）人次数（人）</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8．其他用车</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3．公务用车购置数（辆）</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（二）单价100万元（含）以上设备（不含车辆）</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4．公务用车保有量（辆）</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3</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六、政府采购支出信息</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5．国内公务接待批次（个）</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105</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（一）政府采购支出合计</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其中：外事接待批次（个）</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1．政府采购货物支出</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6．国内公务接待人次（人）</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450</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2．政府采购工程支出</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其中：外事接待人次（人）</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3．政府采购服务支出</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7．国（境）外公务接待批次（个）</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（二）政府采购授予中小企业合同金额</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4041" w:type="dxa"/>
            <w:tcBorders>
              <w:top w:val="single" w:color="auto" w:sz="4" w:space="0"/>
              <w:left w:val="single" w:color="auto" w:sz="4" w:space="0"/>
              <w:bottom w:val="single" w:color="auto" w:sz="4" w:space="0"/>
              <w:right w:val="single" w:color="auto" w:sz="4" w:space="0"/>
            </w:tcBorders>
            <w:shd w:val="clear" w:color="FFFFFF" w:fill="BFBFBF"/>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8．国（境）外公务接待人次（人）</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 xml:space="preserve">        其中：授予小微企业合同金额</w:t>
            </w: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二、会议费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0.90</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r>
        <w:tblPrEx>
          <w:tblCellMar>
            <w:top w:w="0" w:type="dxa"/>
            <w:left w:w="170" w:type="dxa"/>
            <w:bottom w:w="0" w:type="dxa"/>
            <w:right w:w="170" w:type="dxa"/>
          </w:tblCellMar>
        </w:tblPrEx>
        <w:trPr>
          <w:trHeight w:val="389" w:hRule="atLeast"/>
        </w:trPr>
        <w:tc>
          <w:tcPr>
            <w:tcW w:w="4041"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6"/>
                <w:szCs w:val="16"/>
              </w:rPr>
            </w:pPr>
            <w:r>
              <w:rPr>
                <w:rFonts w:cs="宋体"/>
                <w:color w:val="000000"/>
                <w:sz w:val="16"/>
                <w:szCs w:val="16"/>
              </w:rPr>
              <w:t>三、培训费</w:t>
            </w:r>
          </w:p>
        </w:tc>
        <w:tc>
          <w:tcPr>
            <w:tcW w:w="2166"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sz w:val="16"/>
                <w:szCs w:val="16"/>
              </w:rPr>
            </w:pPr>
            <w:r>
              <w:rPr>
                <w:rFonts w:cs="宋体"/>
                <w:color w:val="000000"/>
                <w:sz w:val="16"/>
                <w:szCs w:val="16"/>
              </w:rPr>
              <w:t>—</w:t>
            </w:r>
          </w:p>
        </w:tc>
        <w:tc>
          <w:tcPr>
            <w:tcW w:w="2115"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sz w:val="16"/>
                <w:szCs w:val="16"/>
              </w:rPr>
            </w:pPr>
            <w:r>
              <w:rPr>
                <w:rFonts w:cs="宋体"/>
                <w:color w:val="000000"/>
                <w:sz w:val="16"/>
                <w:szCs w:val="16"/>
              </w:rPr>
              <w:t>0.48</w:t>
            </w:r>
            <w:r>
              <w:rPr>
                <w:color w:val="000000"/>
                <w:sz w:val="16"/>
                <w:u w:color="auto"/>
              </w:rPr>
              <w:t xml:space="preserve"> </w:t>
            </w:r>
          </w:p>
        </w:tc>
        <w:tc>
          <w:tcPr>
            <w:tcW w:w="4524" w:type="dxa"/>
            <w:tcBorders>
              <w:top w:val="single" w:color="auto" w:sz="4" w:space="0"/>
              <w:left w:val="single" w:color="auto" w:sz="4" w:space="0"/>
              <w:bottom w:val="single" w:color="auto" w:sz="4" w:space="0"/>
              <w:right w:val="single" w:color="auto" w:sz="4" w:space="0"/>
            </w:tcBorders>
            <w:shd w:val="clear" w:color="FFFFFF" w:fill="C0C0C0"/>
            <w:noWrap/>
            <w:tcMar>
              <w:top w:w="15" w:type="dxa"/>
              <w:left w:w="15" w:type="dxa"/>
              <w:right w:w="15" w:type="dxa"/>
            </w:tcMar>
            <w:vAlign w:val="center"/>
          </w:tcPr>
          <w:p>
            <w:pPr>
              <w:spacing w:line="200" w:lineRule="exact"/>
              <w:rPr>
                <w:rFonts w:hint="default" w:cs="宋体"/>
                <w:color w:val="000000"/>
                <w:sz w:val="16"/>
                <w:szCs w:val="16"/>
              </w:rPr>
            </w:pPr>
          </w:p>
        </w:tc>
        <w:tc>
          <w:tcPr>
            <w:tcW w:w="1499" w:type="dxa"/>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sz w:val="16"/>
                <w:szCs w:val="16"/>
              </w:rPr>
            </w:pPr>
          </w:p>
        </w:tc>
      </w:tr>
    </w:tbl>
    <w:p>
      <w:pPr>
        <w:rPr>
          <w:rFonts w:cs="宋体"/>
          <w:sz w:val="20"/>
          <w:szCs w:val="20"/>
        </w:rPr>
      </w:pPr>
      <w:r>
        <w:rPr>
          <w:rFonts w:cs="宋体"/>
          <w:sz w:val="20"/>
          <w:szCs w:val="20"/>
        </w:rPr>
        <w:t>备注：1.本表反映单位本年度财政拨款“三公”经费支出预决算情况。其中，预算数为“三公”经费全年预算数，反映按规定程序调整后的预算数；决算数为包括本</w:t>
      </w:r>
    </w:p>
    <w:p>
      <w:pPr>
        <w:rPr>
          <w:rFonts w:hint="default" w:cs="宋体"/>
          <w:sz w:val="21"/>
          <w:szCs w:val="21"/>
        </w:rPr>
      </w:pPr>
      <w:r>
        <w:rPr>
          <w:rFonts w:cs="宋体"/>
          <w:sz w:val="20"/>
          <w:szCs w:val="20"/>
        </w:rPr>
        <w:t>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839" w:h="11907"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微软雅黑">
    <w:altName w:val="方正黑体_GBK"/>
    <w:panose1 w:val="020B0503020204020204"/>
    <w:charset w:val="86"/>
    <w:family w:val="auto"/>
    <w:pitch w:val="default"/>
    <w:sig w:usb0="00000000" w:usb1="00000000" w:usb2="00000016" w:usb3="00000000" w:csb0="0004001F" w:csb1="00000000"/>
  </w:font>
  <w:font w:name="方正黑体简体">
    <w:altName w:val="方正黑体_GBK"/>
    <w:panose1 w:val="03000509000000000000"/>
    <w:charset w:val="86"/>
    <w:family w:val="auto"/>
    <w:pitch w:val="default"/>
    <w:sig w:usb0="00000000" w:usb1="00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default"/>
      </w:rPr>
    </w:pPr>
    <w:r>
      <w:rPr>
        <w:rFonts w:hint="default"/>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3"/>
                            <w:rPr>
                              <w:rFonts w:hint="default"/>
                            </w:rPr>
                          </w:pPr>
                          <w:r>
                            <w:fldChar w:fldCharType="begin"/>
                          </w:r>
                          <w:r>
                            <w:instrText xml:space="preserve"> PAGE  \* MERGEFORMAT </w:instrText>
                          </w:r>
                          <w:r>
                            <w:fldChar w:fldCharType="separate"/>
                          </w:r>
                          <w:r>
                            <w:rPr>
                              <w:rFonts w:hint="default"/>
                            </w:rPr>
                            <w:t>- 4 -</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s0lY7tAAAAAFAQAADwAAAAAAAAABACAAAAA4AAAAZHJzL2Rvd25yZXYueG1sUEsB&#10;AhQAFAAAAAgAh07iQGUktTAgAgAANwQAAA4AAAAAAAAAAQAgAAAANQEAAGRycy9lMm9Eb2MueG1s&#10;UEsFBgAAAAAGAAYAWQEAAMcFAAAAAA==&#10;">
              <v:fill on="f" focussize="0,0"/>
              <v:stroke on="f" weight="0.5pt"/>
              <v:imagedata o:title=""/>
              <o:lock v:ext="edit" aspectratio="f"/>
              <v:textbox inset="0mm,0mm,0mm,0mm" style="mso-fit-shape-to-text:t;">
                <w:txbxContent>
                  <w:p>
                    <w:pPr>
                      <w:pStyle w:val="3"/>
                      <w:rPr>
                        <w:rFonts w:hint="default"/>
                      </w:rPr>
                    </w:pPr>
                    <w:r>
                      <w:fldChar w:fldCharType="begin"/>
                    </w:r>
                    <w:r>
                      <w:instrText xml:space="preserve"> PAGE  \* MERGEFORMAT </w:instrText>
                    </w:r>
                    <w:r>
                      <w:fldChar w:fldCharType="separate"/>
                    </w:r>
                    <w:r>
                      <w:rPr>
                        <w:rFonts w:hint="default"/>
                      </w:rPr>
                      <w:t>- 4 -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mc:AlternateContent>
        <mc:Choice Requires="wps">
          <w:drawing>
            <wp:anchor distT="0" distB="0" distL="114300" distR="114300" simplePos="0" relativeHeight="251660288" behindDoc="0" locked="0" layoutInCell="1" allowOverlap="0">
              <wp:simplePos x="0" y="0"/>
              <wp:positionH relativeFrom="margin">
                <wp:align>outside</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ffectLst/>
                    </wps:spPr>
                    <wps:txbx>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allowoverlap="f"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zSVju0AAAAAUBAAAPAAAAAAAAAAEAIAAAADgAAABkcnMvZG93bnJldi54bWxQSwECFAAU&#10;AAAACACHTuJA8Y1JphwCAAArBAAADgAAAAAAAAABACAAAAA1AQAAZHJzL2Uyb0RvYy54bWxQSwUG&#10;AAAAAAYABgBZAQAAwwUAAAAA&#10;">
              <v:fill on="f" focussize="0,0"/>
              <v:stroke on="f" weight="0.5pt"/>
              <v:imagedata o:title=""/>
              <o:lock v:ext="edit" aspectratio="f"/>
              <v:textbox inset="0mm,0mm,0mm,0mm" style="mso-fit-shape-to-text:t;">
                <w:txbxContent>
                  <w:p>
                    <w:pPr>
                      <w:pStyle w:val="3"/>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30 -</w:t>
                    </w:r>
                    <w:r>
                      <w:fldChar w:fldCharType="end"/>
                    </w:r>
                    <w:r>
                      <w:t xml:space="preserve"> </w:t>
                    </w:r>
                  </w:p>
                </w:txbxContent>
              </v:textbox>
            </v:shape>
          </w:pict>
        </mc:Fallback>
      </mc:AlternateContent>
    </w:r>
    <w:r>
      <w:rPr>
        <w:rFonts w:hint="default"/>
      </w:rP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true"/>
                    <wps:spPr>
                      <a:xfrm>
                        <a:off x="0" y="0"/>
                        <a:ext cx="1828800" cy="220980"/>
                      </a:xfrm>
                      <a:prstGeom prst="rect">
                        <a:avLst/>
                      </a:prstGeom>
                      <a:noFill/>
                      <a:ln w="6350">
                        <a:noFill/>
                      </a:ln>
                      <a:effectLst/>
                    </wps:spPr>
                    <wps:txbx>
                      <w:txbxContent>
                        <w:p>
                          <w:pPr>
                            <w:pStyle w:val="3"/>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false" anchor="t" anchorCtr="false" forceAA="false" compatLnSpc="true">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FgAAAGRy&#10;cy9QSwECFAAUAAAACACHTuJAeA1UVNgAAAAKAQAADwAAAAAAAAABACAAAAA4AAAAZHJzL2Rvd25y&#10;ZXYueG1sUEsBAhQAFAAAAAgAh07iQJMZTUchAgAAKgQAAA4AAAAAAAAAAQAgAAAAPQEAAGRycy9l&#10;Mm9Eb2MueG1sUEsFBgAAAAAGAAYAWQEAANAFAAAAAA==&#10;">
              <v:fill on="f" focussize="0,0"/>
              <v:stroke on="f" weight="0.5pt"/>
              <v:imagedata o:title=""/>
              <o:lock v:ext="edit" aspectratio="f"/>
              <v:textbox inset="0mm,0mm,0mm,0mm">
                <w:txbxContent>
                  <w:p>
                    <w:pPr>
                      <w:pStyle w:val="3"/>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false"/>
  <w:bordersDoNotSurroundFooter w:val="false"/>
  <w:documentProtection w:enforcement="0"/>
  <w:defaultTabStop w:val="420"/>
  <w:drawingGridHorizontalSpacing w:val="120"/>
  <w:drawingGridVerticalSpacing w:val="165"/>
  <w:displayHorizontalDrawingGridEvery w:val="1"/>
  <w:displayVerticalDrawingGridEvery w:val="2"/>
  <w:noPunctuationKerning w:val="true"/>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4Njg5YmU5MGE1N2Q3MDRjMzk5ZTNmMGQ3YzJjNzMifQ=="/>
  </w:docVars>
  <w:rsids>
    <w:rsidRoot w:val="00B03CCD"/>
    <w:rsid w:val="001D3BB7"/>
    <w:rsid w:val="002B254B"/>
    <w:rsid w:val="00466C9B"/>
    <w:rsid w:val="00550ABE"/>
    <w:rsid w:val="00770383"/>
    <w:rsid w:val="007819D4"/>
    <w:rsid w:val="007B419D"/>
    <w:rsid w:val="007B7C4B"/>
    <w:rsid w:val="007D3D39"/>
    <w:rsid w:val="00994AF7"/>
    <w:rsid w:val="009B67B8"/>
    <w:rsid w:val="009D2B67"/>
    <w:rsid w:val="00A566F9"/>
    <w:rsid w:val="00AF2751"/>
    <w:rsid w:val="00B03CCD"/>
    <w:rsid w:val="00BE2B89"/>
    <w:rsid w:val="00C10E9E"/>
    <w:rsid w:val="00C20C3E"/>
    <w:rsid w:val="00F73F90"/>
    <w:rsid w:val="01474EBF"/>
    <w:rsid w:val="01F3521E"/>
    <w:rsid w:val="03A9277B"/>
    <w:rsid w:val="03B87EA0"/>
    <w:rsid w:val="03E3214F"/>
    <w:rsid w:val="040368BE"/>
    <w:rsid w:val="044C50BA"/>
    <w:rsid w:val="05BC6D49"/>
    <w:rsid w:val="06194FF1"/>
    <w:rsid w:val="06A2550B"/>
    <w:rsid w:val="06AB60C8"/>
    <w:rsid w:val="06DE46EF"/>
    <w:rsid w:val="06F80EE2"/>
    <w:rsid w:val="07001CCA"/>
    <w:rsid w:val="075678DB"/>
    <w:rsid w:val="079D7CC7"/>
    <w:rsid w:val="07F6481F"/>
    <w:rsid w:val="08051BCA"/>
    <w:rsid w:val="086C12F4"/>
    <w:rsid w:val="08705944"/>
    <w:rsid w:val="08BA052C"/>
    <w:rsid w:val="08DB07BA"/>
    <w:rsid w:val="09600BC3"/>
    <w:rsid w:val="0969353F"/>
    <w:rsid w:val="098305D0"/>
    <w:rsid w:val="09D41A6B"/>
    <w:rsid w:val="0A3317EA"/>
    <w:rsid w:val="0A5C4B69"/>
    <w:rsid w:val="0A86124A"/>
    <w:rsid w:val="0AB54CC0"/>
    <w:rsid w:val="0B9335CE"/>
    <w:rsid w:val="0BF2311A"/>
    <w:rsid w:val="0C7927C4"/>
    <w:rsid w:val="0C9B098C"/>
    <w:rsid w:val="0D673E11"/>
    <w:rsid w:val="0DDA54E4"/>
    <w:rsid w:val="0E3A5F83"/>
    <w:rsid w:val="0EF324E6"/>
    <w:rsid w:val="0F3F4A35"/>
    <w:rsid w:val="0F836721"/>
    <w:rsid w:val="0FA25D96"/>
    <w:rsid w:val="107B59E5"/>
    <w:rsid w:val="10EC0126"/>
    <w:rsid w:val="10F70B9A"/>
    <w:rsid w:val="111445C7"/>
    <w:rsid w:val="114278C6"/>
    <w:rsid w:val="11554845"/>
    <w:rsid w:val="1158083A"/>
    <w:rsid w:val="11643A4B"/>
    <w:rsid w:val="11A567A1"/>
    <w:rsid w:val="11ED0F98"/>
    <w:rsid w:val="11F03528"/>
    <w:rsid w:val="12C921C4"/>
    <w:rsid w:val="13871C70"/>
    <w:rsid w:val="13A71CB4"/>
    <w:rsid w:val="13AF1D43"/>
    <w:rsid w:val="13CE1647"/>
    <w:rsid w:val="13FD55AB"/>
    <w:rsid w:val="14200702"/>
    <w:rsid w:val="14853548"/>
    <w:rsid w:val="16154057"/>
    <w:rsid w:val="163A6CEE"/>
    <w:rsid w:val="17041FCF"/>
    <w:rsid w:val="173708E3"/>
    <w:rsid w:val="17C374FC"/>
    <w:rsid w:val="182E4AB6"/>
    <w:rsid w:val="189079DC"/>
    <w:rsid w:val="189B0D0B"/>
    <w:rsid w:val="18B43F7C"/>
    <w:rsid w:val="194A1770"/>
    <w:rsid w:val="19B906A4"/>
    <w:rsid w:val="1AB33B0B"/>
    <w:rsid w:val="1AC113B6"/>
    <w:rsid w:val="1B6F15B6"/>
    <w:rsid w:val="1BAA2EDC"/>
    <w:rsid w:val="1CA55E64"/>
    <w:rsid w:val="1D014A01"/>
    <w:rsid w:val="1D022362"/>
    <w:rsid w:val="1D1B04B0"/>
    <w:rsid w:val="1DA52501"/>
    <w:rsid w:val="1DBD6767"/>
    <w:rsid w:val="1DC52125"/>
    <w:rsid w:val="1DD26311"/>
    <w:rsid w:val="1E053059"/>
    <w:rsid w:val="1E374ACB"/>
    <w:rsid w:val="1ECF0A66"/>
    <w:rsid w:val="1EF67CA4"/>
    <w:rsid w:val="1F020D3A"/>
    <w:rsid w:val="1F2C5189"/>
    <w:rsid w:val="1F4B0B02"/>
    <w:rsid w:val="1FBB35CD"/>
    <w:rsid w:val="1FCD26AF"/>
    <w:rsid w:val="20642787"/>
    <w:rsid w:val="20C467C5"/>
    <w:rsid w:val="21556F04"/>
    <w:rsid w:val="22403BD3"/>
    <w:rsid w:val="231223A3"/>
    <w:rsid w:val="24B92327"/>
    <w:rsid w:val="24C14514"/>
    <w:rsid w:val="2533755C"/>
    <w:rsid w:val="25791755"/>
    <w:rsid w:val="26396DF4"/>
    <w:rsid w:val="27167136"/>
    <w:rsid w:val="271B442C"/>
    <w:rsid w:val="27B23302"/>
    <w:rsid w:val="283C7103"/>
    <w:rsid w:val="29310A5F"/>
    <w:rsid w:val="29C37A35"/>
    <w:rsid w:val="2A076083"/>
    <w:rsid w:val="2A566214"/>
    <w:rsid w:val="2A73162E"/>
    <w:rsid w:val="2B167953"/>
    <w:rsid w:val="2B200583"/>
    <w:rsid w:val="2B8209DE"/>
    <w:rsid w:val="2C636760"/>
    <w:rsid w:val="2C6762A3"/>
    <w:rsid w:val="2EF10345"/>
    <w:rsid w:val="2FCA4B37"/>
    <w:rsid w:val="2FE029D7"/>
    <w:rsid w:val="2FF06E00"/>
    <w:rsid w:val="30586FEC"/>
    <w:rsid w:val="308464DA"/>
    <w:rsid w:val="315F0B22"/>
    <w:rsid w:val="31D84415"/>
    <w:rsid w:val="31EC6906"/>
    <w:rsid w:val="32285F6F"/>
    <w:rsid w:val="32770556"/>
    <w:rsid w:val="329C0913"/>
    <w:rsid w:val="32AA0460"/>
    <w:rsid w:val="3337290D"/>
    <w:rsid w:val="33446A27"/>
    <w:rsid w:val="33E31118"/>
    <w:rsid w:val="33EF7674"/>
    <w:rsid w:val="342D7BC6"/>
    <w:rsid w:val="352930DB"/>
    <w:rsid w:val="35573069"/>
    <w:rsid w:val="355F6038"/>
    <w:rsid w:val="358C217E"/>
    <w:rsid w:val="36C9128A"/>
    <w:rsid w:val="37841E99"/>
    <w:rsid w:val="37BF1123"/>
    <w:rsid w:val="383C3F15"/>
    <w:rsid w:val="38BE4696"/>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C8B0072"/>
    <w:rsid w:val="3D2757A1"/>
    <w:rsid w:val="3D3D4FC4"/>
    <w:rsid w:val="3DDF3AB1"/>
    <w:rsid w:val="3E1D0952"/>
    <w:rsid w:val="3E42660A"/>
    <w:rsid w:val="3E7555B1"/>
    <w:rsid w:val="3E787ED9"/>
    <w:rsid w:val="3F032E93"/>
    <w:rsid w:val="3F0527E5"/>
    <w:rsid w:val="3F694D83"/>
    <w:rsid w:val="3F885DCC"/>
    <w:rsid w:val="3FCD675E"/>
    <w:rsid w:val="4004000C"/>
    <w:rsid w:val="40BD5482"/>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A7C34E8"/>
    <w:rsid w:val="4B135857"/>
    <w:rsid w:val="4B7951CB"/>
    <w:rsid w:val="4B7C315C"/>
    <w:rsid w:val="4D2515D1"/>
    <w:rsid w:val="4D493467"/>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829E0"/>
    <w:rsid w:val="555A3CBC"/>
    <w:rsid w:val="5582012B"/>
    <w:rsid w:val="558E4E05"/>
    <w:rsid w:val="55BE2E85"/>
    <w:rsid w:val="56530F5D"/>
    <w:rsid w:val="567700D3"/>
    <w:rsid w:val="56FF7E9E"/>
    <w:rsid w:val="578867FC"/>
    <w:rsid w:val="5842572D"/>
    <w:rsid w:val="5A3B4365"/>
    <w:rsid w:val="5A3B59D6"/>
    <w:rsid w:val="5AD134D8"/>
    <w:rsid w:val="5B61236E"/>
    <w:rsid w:val="5C263CE4"/>
    <w:rsid w:val="5C5D2777"/>
    <w:rsid w:val="5CF66BF3"/>
    <w:rsid w:val="5D263E8F"/>
    <w:rsid w:val="5D290C69"/>
    <w:rsid w:val="5F2D4A41"/>
    <w:rsid w:val="60114363"/>
    <w:rsid w:val="607233C4"/>
    <w:rsid w:val="60C74F6C"/>
    <w:rsid w:val="61025A59"/>
    <w:rsid w:val="613D5BBC"/>
    <w:rsid w:val="61536C39"/>
    <w:rsid w:val="622A170C"/>
    <w:rsid w:val="62944DD7"/>
    <w:rsid w:val="6319381F"/>
    <w:rsid w:val="63C25DC5"/>
    <w:rsid w:val="63C62057"/>
    <w:rsid w:val="64571EF5"/>
    <w:rsid w:val="64FB113D"/>
    <w:rsid w:val="656152C6"/>
    <w:rsid w:val="6587477F"/>
    <w:rsid w:val="658C3A08"/>
    <w:rsid w:val="65C031CA"/>
    <w:rsid w:val="65CE6852"/>
    <w:rsid w:val="66267C04"/>
    <w:rsid w:val="663F505A"/>
    <w:rsid w:val="66AC298F"/>
    <w:rsid w:val="66EE5541"/>
    <w:rsid w:val="6709665E"/>
    <w:rsid w:val="67924660"/>
    <w:rsid w:val="68407834"/>
    <w:rsid w:val="68637725"/>
    <w:rsid w:val="6883293E"/>
    <w:rsid w:val="688412AD"/>
    <w:rsid w:val="68EB1B71"/>
    <w:rsid w:val="6904381F"/>
    <w:rsid w:val="6A6C7940"/>
    <w:rsid w:val="6AAD2300"/>
    <w:rsid w:val="6B474EF5"/>
    <w:rsid w:val="6C0A5AC5"/>
    <w:rsid w:val="6C560CAE"/>
    <w:rsid w:val="6C576495"/>
    <w:rsid w:val="6D903FF5"/>
    <w:rsid w:val="6D95462E"/>
    <w:rsid w:val="6DA955B8"/>
    <w:rsid w:val="6DE346AB"/>
    <w:rsid w:val="6DE5391A"/>
    <w:rsid w:val="6EFD1324"/>
    <w:rsid w:val="6F48676E"/>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5D0512"/>
    <w:rsid w:val="768A7619"/>
    <w:rsid w:val="772E1EBA"/>
    <w:rsid w:val="781926BC"/>
    <w:rsid w:val="787632AF"/>
    <w:rsid w:val="79590147"/>
    <w:rsid w:val="796D60A4"/>
    <w:rsid w:val="79A031D5"/>
    <w:rsid w:val="7A1525F7"/>
    <w:rsid w:val="7B420052"/>
    <w:rsid w:val="7B620780"/>
    <w:rsid w:val="7BD06A28"/>
    <w:rsid w:val="7C3A7C0B"/>
    <w:rsid w:val="7C5248E4"/>
    <w:rsid w:val="7C566698"/>
    <w:rsid w:val="7C5866A3"/>
    <w:rsid w:val="7D7406BB"/>
    <w:rsid w:val="7DA53883"/>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 w:type="paragraph" w:customStyle="1" w:styleId="16">
    <w:name w:val="普通(网站) Char Char"/>
    <w:basedOn w:val="1"/>
    <w:qFormat/>
    <w:uiPriority w:val="0"/>
    <w:pPr>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character" w:customStyle="1" w:styleId="17">
    <w:name w:val="28"/>
    <w:basedOn w:val="9"/>
    <w:qFormat/>
    <w:uiPriority w:val="0"/>
    <w:rPr>
      <w:rFonts w:hint="default" w:ascii="Times New Roman" w:hAnsi="Times New Roman" w:cs="Times New Roman"/>
      <w:b/>
      <w:bCs/>
    </w:rPr>
  </w:style>
  <w:style w:type="character" w:customStyle="1" w:styleId="18">
    <w:name w:val="20"/>
    <w:basedOn w:val="9"/>
    <w:qFormat/>
    <w:uiPriority w:val="0"/>
    <w:rPr>
      <w:rFonts w:hint="default" w:ascii="Times New Roman" w:hAnsi="Times New Roman" w:cs="Times New Roman"/>
      <w:b/>
      <w:bC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27</Pages>
  <Words>11311</Words>
  <Characters>14417</Characters>
  <Lines>190</Lines>
  <Paragraphs>53</Paragraphs>
  <TotalTime>13</TotalTime>
  <ScaleCrop>false</ScaleCrop>
  <LinksUpToDate>false</LinksUpToDate>
  <CharactersWithSpaces>15776</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2024-07-11T10:00:00Z</dcterms:created>
  <dc:creator>Administrator</dc:creator>
  <cp:lastModifiedBy> </cp:lastModifiedBy>
  <dcterms:modified xsi:type="dcterms:W3CDTF">2024-10-08T10:58:59Z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0352956BA45D4D6D910CE1C24F170448_13</vt:lpwstr>
  </property>
</Properties>
</file>