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firstLine="720" w:firstLineChars="200"/>
        <w:jc w:val="both"/>
        <w:textAlignment w:val="auto"/>
        <w:rPr>
          <w:rFonts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重庆市巫溪县图书馆</w:t>
      </w:r>
      <w:r>
        <w:rPr>
          <w:rFonts w:ascii="方正小标宋_GBK" w:hAnsi="方正小标宋_GBK" w:eastAsia="方正小标宋_GBK" w:cs="方正小标宋_GBK"/>
          <w:color w:val="auto"/>
          <w:sz w:val="36"/>
          <w:szCs w:val="36"/>
          <w:shd w:val="clear" w:color="auto" w:fill="FFFFFF"/>
        </w:rPr>
        <w:t>2023年度决算公开说明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firstLine="720" w:firstLineChars="200"/>
        <w:jc w:val="center"/>
        <w:textAlignment w:val="auto"/>
        <w:rPr>
          <w:rFonts w:hint="default" w:ascii="方正小标宋_GBK" w:hAnsi="方正小标宋_GBK" w:eastAsia="方正小标宋_GBK" w:cs="方正小标宋_GBK"/>
          <w:color w:val="auto"/>
          <w:sz w:val="36"/>
          <w:szCs w:val="36"/>
          <w:shd w:val="clear" w:color="auto" w:fill="FFFFFF"/>
        </w:rPr>
      </w:pP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b w:val="0"/>
          <w:bCs w:val="0"/>
          <w:color w:val="auto"/>
          <w:kern w:val="0"/>
          <w:sz w:val="32"/>
          <w:szCs w:val="32"/>
        </w:rPr>
      </w:pPr>
      <w:r>
        <w:rPr>
          <w:rStyle w:val="16"/>
          <w:rFonts w:hint="default" w:ascii="方正黑体_GBK" w:hAnsi="方正黑体_GBK" w:eastAsia="方正黑体_GBK" w:cs="方正黑体_GBK"/>
          <w:b w:val="0"/>
          <w:bCs w:val="0"/>
          <w:color w:val="auto"/>
          <w:sz w:val="32"/>
          <w:szCs w:val="32"/>
          <w:shd w:val="clear" w:fill="FFFFFF"/>
        </w:rPr>
        <w:t>一、</w:t>
      </w:r>
      <w:r>
        <w:rPr>
          <w:rStyle w:val="16"/>
          <w:rFonts w:hint="eastAsia" w:ascii="方正黑体_GBK" w:hAnsi="方正黑体_GBK" w:eastAsia="方正黑体_GBK" w:cs="方正黑体_GBK"/>
          <w:b w:val="0"/>
          <w:bCs w:val="0"/>
          <w:color w:val="auto"/>
          <w:sz w:val="32"/>
          <w:szCs w:val="32"/>
          <w:shd w:val="clear" w:fill="FFFFFF"/>
          <w:lang w:val="en-US" w:eastAsia="zh-CN"/>
        </w:rPr>
        <w:t>单位</w:t>
      </w:r>
      <w:r>
        <w:rPr>
          <w:rStyle w:val="16"/>
          <w:rFonts w:hint="default" w:ascii="方正黑体_GBK" w:hAnsi="方正黑体_GBK" w:eastAsia="方正黑体_GBK" w:cs="方正黑体_GBK"/>
          <w:b w:val="0"/>
          <w:bCs w:val="0"/>
          <w:color w:val="auto"/>
          <w:sz w:val="32"/>
          <w:szCs w:val="32"/>
          <w:shd w:val="clear" w:fill="FFFFFF"/>
        </w:rPr>
        <w:t>基本情况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楷体_GBK" w:hAnsi="方正楷体_GBK" w:eastAsia="方正楷体_GBK" w:cs="方正楷体_GBK"/>
          <w:b w:val="0"/>
          <w:bCs w:val="0"/>
          <w:color w:val="auto"/>
          <w:kern w:val="0"/>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（一）职能职责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1.保障公民基本文化权益，提高公民科学文化素质和社会文明程度，传承人类文明。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2.收集、整理、保存文献信息。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3.向社会公众提供查询、借阅及相关咨询服务。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4.推动、引导和服务全民阅读。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5.开展公益性讲座、阅读推广、培训、展览，开展社会教育。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楷体_GBK" w:hAnsi="方正楷体_GBK" w:eastAsia="方正楷体_GBK" w:cs="方正楷体_GBK"/>
          <w:b w:val="0"/>
          <w:bCs w:val="0"/>
          <w:color w:val="auto"/>
          <w:kern w:val="0"/>
          <w:sz w:val="32"/>
          <w:szCs w:val="32"/>
          <w:shd w:val="clear" w:fill="FFFFFF"/>
        </w:rPr>
      </w:pPr>
      <w:r>
        <w:rPr>
          <w:rStyle w:val="18"/>
          <w:rFonts w:hint="eastAsia" w:ascii="方正楷体_GBK" w:hAnsi="方正楷体_GBK" w:eastAsia="方正楷体_GBK" w:cs="方正楷体_GBK"/>
          <w:b w:val="0"/>
          <w:bCs w:val="0"/>
          <w:color w:val="auto"/>
          <w:sz w:val="32"/>
          <w:szCs w:val="32"/>
          <w:shd w:val="clear" w:fill="FFFFFF"/>
        </w:rPr>
        <w:t>（二）机构设置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巫溪县图书馆属于巫溪县文化和旅游发展委员会的二级预算单位，内设办公室、财务室、读者服务部和采编部，有事业编制数5个。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Fonts w:hint="eastAsia" w:ascii="方正楷体_GBK" w:hAnsi="方正楷体_GBK" w:eastAsia="方正楷体_GBK" w:cs="方正楷体_GBK"/>
          <w:b w:val="0"/>
          <w:bCs w:val="0"/>
          <w:color w:val="auto"/>
          <w:kern w:val="0"/>
          <w:sz w:val="32"/>
          <w:szCs w:val="32"/>
          <w:shd w:val="clear" w:fill="FFFFFF"/>
        </w:rPr>
      </w:pPr>
      <w:r>
        <w:rPr>
          <w:rStyle w:val="18"/>
          <w:rFonts w:hint="eastAsia" w:ascii="方正楷体_GBK" w:hAnsi="方正楷体_GBK" w:eastAsia="方正楷体_GBK" w:cs="方正楷体_GBK"/>
          <w:b w:val="0"/>
          <w:bCs w:val="0"/>
          <w:color w:val="auto"/>
          <w:sz w:val="32"/>
          <w:szCs w:val="32"/>
          <w:shd w:val="clear" w:fill="FFFFFF"/>
        </w:rPr>
        <w:t>（三）单位构成</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从预算单位构成看，巫溪县图书馆属于巫溪县文化和旅游发展委员会的二级预算单位，纳入202</w:t>
      </w:r>
      <w:r>
        <w:rPr>
          <w:rFonts w:hint="eastAsia" w:ascii="方正仿宋_GBK" w:hAnsi="方正仿宋_GBK" w:eastAsia="方正仿宋_GBK" w:cs="方正仿宋_GBK"/>
          <w:color w:val="auto"/>
          <w:kern w:val="0"/>
          <w:sz w:val="32"/>
          <w:szCs w:val="32"/>
          <w:shd w:val="clear" w:fill="FFFFFF"/>
          <w:lang w:val="en-US" w:eastAsia="zh-CN"/>
        </w:rPr>
        <w:t>3</w:t>
      </w:r>
      <w:r>
        <w:rPr>
          <w:rFonts w:hint="eastAsia" w:ascii="方正仿宋_GBK" w:hAnsi="方正仿宋_GBK" w:eastAsia="方正仿宋_GBK" w:cs="方正仿宋_GBK"/>
          <w:color w:val="auto"/>
          <w:kern w:val="0"/>
          <w:sz w:val="32"/>
          <w:szCs w:val="32"/>
          <w:shd w:val="clear" w:fill="FFFFFF"/>
        </w:rPr>
        <w:t>年度部门决算工作。</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Style w:val="16"/>
          <w:rFonts w:hint="default" w:ascii="方正黑体_GBK" w:hAnsi="方正黑体_GBK" w:eastAsia="方正黑体_GBK" w:cs="方正黑体_GBK"/>
          <w:b w:val="0"/>
          <w:bCs w:val="0"/>
          <w:color w:val="auto"/>
          <w:sz w:val="32"/>
          <w:szCs w:val="32"/>
          <w:shd w:val="clear" w:fill="FFFFFF"/>
        </w:rPr>
      </w:pPr>
      <w:r>
        <w:rPr>
          <w:rStyle w:val="16"/>
          <w:rFonts w:hint="default" w:ascii="方正黑体_GBK" w:hAnsi="方正黑体_GBK" w:eastAsia="方正黑体_GBK" w:cs="方正黑体_GBK"/>
          <w:b w:val="0"/>
          <w:bCs w:val="0"/>
          <w:color w:val="auto"/>
          <w:sz w:val="32"/>
          <w:szCs w:val="32"/>
          <w:shd w:val="clear" w:fill="FFFFFF"/>
        </w:rPr>
        <w:t>二、单位决算情况说明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2023年度收入总计106.65万元，支出总计</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万元。收支较上年决算数增加6.38万元，增长6.36%，主</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eastAsia="zh-CN"/>
        </w:rPr>
        <w:t>职工职业年金记实增加的费用</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2023年度收入合计106.65万元，较上年决算数增加6.38万元，增长6.36%，主要原因是</w:t>
      </w:r>
      <w:r>
        <w:rPr>
          <w:rFonts w:hint="eastAsia" w:ascii="方正仿宋_GBK" w:hAnsi="方正仿宋_GBK" w:eastAsia="方正仿宋_GBK" w:cs="方正仿宋_GBK"/>
          <w:color w:val="auto"/>
          <w:sz w:val="32"/>
          <w:szCs w:val="32"/>
          <w:shd w:val="clear" w:color="auto" w:fill="FFFFFF"/>
          <w:lang w:eastAsia="zh-CN"/>
        </w:rPr>
        <w:t>职工职业年金记实增加的费用</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万元，较上年决算数增加6.38万元，增长6.36%，主要原因是</w:t>
      </w:r>
      <w:r>
        <w:rPr>
          <w:rFonts w:hint="eastAsia" w:ascii="方正仿宋_GBK" w:hAnsi="方正仿宋_GBK" w:eastAsia="方正仿宋_GBK" w:cs="方正仿宋_GBK"/>
          <w:color w:val="auto"/>
          <w:sz w:val="32"/>
          <w:szCs w:val="32"/>
          <w:shd w:val="clear" w:color="auto" w:fill="FFFFFF"/>
          <w:lang w:eastAsia="zh-CN"/>
        </w:rPr>
        <w:t>职工职业年金记实增加的费用</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b w:val="0"/>
          <w:bCs/>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财政实行零结转制度。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2023年度财政拨款收、支总计106.65万元。与2022年相比，财政拨款收、支总计各增加6.38万元，增长6.36%。主要原因是</w:t>
      </w:r>
      <w:r>
        <w:rPr>
          <w:rFonts w:hint="eastAsia" w:ascii="方正仿宋_GBK" w:hAnsi="方正仿宋_GBK" w:eastAsia="方正仿宋_GBK" w:cs="方正仿宋_GBK"/>
          <w:color w:val="auto"/>
          <w:sz w:val="32"/>
          <w:szCs w:val="32"/>
          <w:shd w:val="clear" w:color="auto" w:fill="FFFFFF"/>
          <w:lang w:eastAsia="zh-CN"/>
        </w:rPr>
        <w:t>职工职业年金记实增加的费用。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万元，较上年决算数增加6.38万元，增长6.36%。主要原因是</w:t>
      </w:r>
      <w:r>
        <w:rPr>
          <w:rFonts w:hint="eastAsia" w:ascii="方正仿宋_GBK" w:hAnsi="方正仿宋_GBK" w:eastAsia="方正仿宋_GBK" w:cs="方正仿宋_GBK"/>
          <w:color w:val="auto"/>
          <w:sz w:val="32"/>
          <w:szCs w:val="32"/>
          <w:shd w:val="clear" w:color="auto" w:fill="FFFFFF"/>
          <w:lang w:eastAsia="zh-CN"/>
        </w:rPr>
        <w:t>职工职业年金记实、新招录</w:t>
      </w:r>
      <w:r>
        <w:rPr>
          <w:rFonts w:hint="eastAsia" w:ascii="方正仿宋_GBK" w:hAnsi="方正仿宋_GBK" w:eastAsia="方正仿宋_GBK" w:cs="方正仿宋_GBK"/>
          <w:color w:val="auto"/>
          <w:sz w:val="32"/>
          <w:szCs w:val="32"/>
          <w:shd w:val="clear" w:color="auto" w:fill="FFFFFF"/>
          <w:lang w:val="en-US" w:eastAsia="zh-CN"/>
        </w:rPr>
        <w:t>1名</w:t>
      </w:r>
      <w:r>
        <w:rPr>
          <w:rFonts w:hint="eastAsia" w:ascii="方正仿宋_GBK" w:hAnsi="方正仿宋_GBK" w:eastAsia="方正仿宋_GBK" w:cs="方正仿宋_GBK"/>
          <w:color w:val="auto"/>
          <w:sz w:val="32"/>
          <w:szCs w:val="32"/>
          <w:shd w:val="clear" w:color="auto" w:fill="FFFFFF"/>
          <w:lang w:eastAsia="zh-CN"/>
        </w:rPr>
        <w:t>人员增加的费用</w:t>
      </w:r>
      <w:r>
        <w:rPr>
          <w:rFonts w:ascii="方正仿宋_GBK" w:hAnsi="方正仿宋_GBK" w:eastAsia="方正仿宋_GBK" w:cs="方正仿宋_GBK"/>
          <w:color w:val="auto"/>
          <w:sz w:val="32"/>
          <w:szCs w:val="32"/>
          <w:shd w:val="clear" w:color="auto" w:fill="FFFFFF"/>
        </w:rPr>
        <w:t>。较年初预算数增加14.76万元，增长16.06%。主要原因是</w:t>
      </w:r>
      <w:r>
        <w:rPr>
          <w:rFonts w:hint="eastAsia" w:ascii="方正仿宋_GBK" w:hAnsi="方正仿宋_GBK" w:eastAsia="方正仿宋_GBK" w:cs="方正仿宋_GBK"/>
          <w:color w:val="auto"/>
          <w:sz w:val="32"/>
          <w:szCs w:val="32"/>
          <w:shd w:val="clear" w:color="auto" w:fill="FFFFFF"/>
          <w:lang w:eastAsia="zh-CN"/>
        </w:rPr>
        <w:t>职工职业年金记实、以及新招录</w:t>
      </w:r>
      <w:r>
        <w:rPr>
          <w:rFonts w:hint="eastAsia" w:ascii="方正仿宋_GBK" w:hAnsi="方正仿宋_GBK" w:eastAsia="方正仿宋_GBK" w:cs="方正仿宋_GBK"/>
          <w:color w:val="auto"/>
          <w:sz w:val="32"/>
          <w:szCs w:val="32"/>
          <w:shd w:val="clear" w:color="auto" w:fill="FFFFFF"/>
          <w:lang w:val="en-US" w:eastAsia="zh-CN"/>
        </w:rPr>
        <w:t>1名人员</w:t>
      </w:r>
      <w:r>
        <w:rPr>
          <w:rFonts w:hint="eastAsia" w:ascii="方正仿宋_GBK" w:hAnsi="方正仿宋_GBK" w:eastAsia="方正仿宋_GBK" w:cs="方正仿宋_GBK"/>
          <w:color w:val="auto"/>
          <w:sz w:val="32"/>
          <w:szCs w:val="32"/>
          <w:shd w:val="clear" w:color="auto" w:fill="FFFFFF"/>
          <w:lang w:eastAsia="zh-CN"/>
        </w:rPr>
        <w:t>增加的费用</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万元，较上年决算数增加6.38万元，增长6.36%。主要原因是主要原因是</w:t>
      </w:r>
      <w:r>
        <w:rPr>
          <w:rFonts w:hint="eastAsia" w:ascii="方正仿宋_GBK" w:hAnsi="方正仿宋_GBK" w:eastAsia="方正仿宋_GBK" w:cs="方正仿宋_GBK"/>
          <w:color w:val="auto"/>
          <w:sz w:val="32"/>
          <w:szCs w:val="32"/>
          <w:shd w:val="clear" w:color="auto" w:fill="FFFFFF"/>
          <w:lang w:eastAsia="zh-CN"/>
        </w:rPr>
        <w:t>职工职业年金记实增加的费用</w:t>
      </w:r>
      <w:r>
        <w:rPr>
          <w:rFonts w:ascii="方正仿宋_GBK" w:hAnsi="方正仿宋_GBK" w:eastAsia="方正仿宋_GBK" w:cs="方正仿宋_GBK"/>
          <w:color w:val="auto"/>
          <w:sz w:val="32"/>
          <w:szCs w:val="32"/>
          <w:shd w:val="clear" w:color="auto" w:fill="FFFFFF"/>
        </w:rPr>
        <w:t>。较年初预算数增加14.76万元，增长16.06%。主要原因是</w:t>
      </w:r>
      <w:r>
        <w:rPr>
          <w:rFonts w:hint="eastAsia" w:ascii="方正仿宋_GBK" w:hAnsi="方正仿宋_GBK" w:eastAsia="方正仿宋_GBK" w:cs="方正仿宋_GBK"/>
          <w:color w:val="auto"/>
          <w:sz w:val="32"/>
          <w:szCs w:val="32"/>
          <w:shd w:val="clear" w:color="auto" w:fill="FFFFFF"/>
          <w:lang w:eastAsia="zh-CN"/>
        </w:rPr>
        <w:t>职业年金记实、以及新招录</w:t>
      </w:r>
      <w:r>
        <w:rPr>
          <w:rFonts w:hint="eastAsia" w:ascii="方正仿宋_GBK" w:hAnsi="方正仿宋_GBK" w:eastAsia="方正仿宋_GBK" w:cs="方正仿宋_GBK"/>
          <w:color w:val="auto"/>
          <w:sz w:val="32"/>
          <w:szCs w:val="32"/>
          <w:shd w:val="clear" w:color="auto" w:fill="FFFFFF"/>
          <w:lang w:val="en-US" w:eastAsia="zh-CN"/>
        </w:rPr>
        <w:t>1名人员增加费用</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3.结转结余情况。2</w:t>
      </w:r>
      <w:r>
        <w:rPr>
          <w:rFonts w:ascii="方正仿宋_GBK" w:hAnsi="方正仿宋_GBK" w:eastAsia="方正仿宋_GBK" w:cs="方正仿宋_GBK"/>
          <w:color w:val="auto"/>
          <w:sz w:val="32"/>
          <w:szCs w:val="32"/>
          <w:shd w:val="clear" w:color="auto" w:fill="FFFFFF"/>
        </w:rPr>
        <w:t>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财政实行零结转制度</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b w:val="0"/>
          <w:bCs/>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69.48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65.14</w:t>
      </w:r>
      <w:r>
        <w:rPr>
          <w:rFonts w:ascii="方正仿宋_GBK" w:hAnsi="方正仿宋_GBK" w:eastAsia="方正仿宋_GBK" w:cs="方正仿宋_GBK"/>
          <w:color w:val="auto"/>
          <w:sz w:val="32"/>
          <w:szCs w:val="32"/>
          <w:shd w:val="clear" w:color="auto" w:fill="FFFFFF"/>
        </w:rPr>
        <w:t>%，较年初预算数增加4.97万元，增长7.70%，主要原因是</w:t>
      </w:r>
      <w:r>
        <w:rPr>
          <w:rFonts w:hint="eastAsia" w:ascii="方正仿宋_GBK" w:hAnsi="方正仿宋_GBK" w:eastAsia="方正仿宋_GBK" w:cs="方正仿宋_GBK"/>
          <w:color w:val="auto"/>
          <w:sz w:val="32"/>
          <w:szCs w:val="32"/>
          <w:shd w:val="clear" w:color="auto" w:fill="FFFFFF"/>
          <w:lang w:eastAsia="zh-CN"/>
        </w:rPr>
        <w:t>新招录人员及人员晋档晋级增加的费用</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28.62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26.83</w:t>
      </w:r>
      <w:r>
        <w:rPr>
          <w:rFonts w:ascii="方正仿宋_GBK" w:hAnsi="方正仿宋_GBK" w:eastAsia="方正仿宋_GBK" w:cs="方正仿宋_GBK"/>
          <w:color w:val="auto"/>
          <w:sz w:val="32"/>
          <w:szCs w:val="32"/>
          <w:shd w:val="clear" w:color="auto" w:fill="FFFFFF"/>
        </w:rPr>
        <w:t>%，较年初预算数增加9.81万元，增长52.15%，主要原因是</w:t>
      </w:r>
      <w:r>
        <w:rPr>
          <w:rFonts w:hint="eastAsia" w:ascii="方正仿宋_GBK" w:hAnsi="方正仿宋_GBK" w:eastAsia="方正仿宋_GBK" w:cs="方正仿宋_GBK"/>
          <w:color w:val="auto"/>
          <w:sz w:val="32"/>
          <w:szCs w:val="32"/>
          <w:shd w:val="clear" w:color="auto" w:fill="FFFFFF"/>
          <w:lang w:eastAsia="zh-CN"/>
        </w:rPr>
        <w:t>职工职业年金记实、新招录人员增加费用。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3.89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3.65</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该科目按照年初预算执行，年终不结算</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住房保障支出4.67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4.38</w:t>
      </w:r>
      <w:r>
        <w:rPr>
          <w:rFonts w:ascii="方正仿宋_GBK" w:hAnsi="方正仿宋_GBK" w:eastAsia="方正仿宋_GBK" w:cs="方正仿宋_GBK"/>
          <w:color w:val="auto"/>
          <w:sz w:val="32"/>
          <w:szCs w:val="32"/>
          <w:shd w:val="clear" w:color="auto" w:fill="FFFFFF"/>
        </w:rPr>
        <w:t>%，较年初预算数无</w:t>
      </w:r>
    </w:p>
    <w:p>
      <w:pPr>
        <w:keepNext w:val="0"/>
        <w:keepLines w:val="0"/>
        <w:pageBreakBefore w:val="0"/>
        <w:widowControl/>
        <w:kinsoku/>
        <w:wordWrap/>
        <w:overflowPunct/>
        <w:topLinePunct w:val="0"/>
        <w:autoSpaceDN/>
        <w:bidi w:val="0"/>
        <w:adjustRightInd/>
        <w:spacing w:beforeAutospacing="0" w:afterAutospacing="0" w:line="600" w:lineRule="exact"/>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增减，主要原因是</w:t>
      </w:r>
      <w:r>
        <w:rPr>
          <w:rFonts w:hint="eastAsia" w:ascii="方正仿宋_GBK" w:hAnsi="方正仿宋_GBK" w:eastAsia="方正仿宋_GBK" w:cs="方正仿宋_GBK"/>
          <w:color w:val="auto"/>
          <w:sz w:val="32"/>
          <w:szCs w:val="32"/>
          <w:shd w:val="clear" w:color="auto" w:fill="FFFFFF"/>
          <w:lang w:eastAsia="zh-CN"/>
        </w:rPr>
        <w:t>该科目按照年初预算执行，年终不结算</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106.65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101.29</w:t>
      </w:r>
      <w:r>
        <w:rPr>
          <w:rFonts w:ascii="方正仿宋_GBK" w:hAnsi="方正仿宋_GBK" w:eastAsia="方正仿宋_GBK" w:cs="方正仿宋_GBK"/>
          <w:color w:val="auto"/>
          <w:sz w:val="32"/>
          <w:szCs w:val="32"/>
          <w:shd w:val="clear" w:color="auto" w:fill="FFFFFF"/>
        </w:rPr>
        <w:t>万元，较上年决算数增加10.96万元，增长12.13%，主要原因是</w:t>
      </w:r>
      <w:r>
        <w:rPr>
          <w:rFonts w:hint="eastAsia" w:ascii="方正仿宋_GBK" w:hAnsi="方正仿宋_GBK" w:eastAsia="方正仿宋_GBK" w:cs="方正仿宋_GBK"/>
          <w:color w:val="auto"/>
          <w:sz w:val="32"/>
          <w:szCs w:val="32"/>
          <w:shd w:val="clear" w:color="auto" w:fill="FFFFFF"/>
          <w:lang w:eastAsia="zh-CN"/>
        </w:rPr>
        <w:t>新招录人员增加的费用</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基本工资</w:t>
      </w:r>
      <w:r>
        <w:rPr>
          <w:rFonts w:hint="eastAsia" w:ascii="方正仿宋_GBK" w:hAnsi="方正仿宋_GBK" w:eastAsia="方正仿宋_GBK" w:cs="方正仿宋_GBK"/>
          <w:color w:val="auto"/>
          <w:sz w:val="32"/>
          <w:szCs w:val="32"/>
          <w:shd w:val="clear" w:color="auto" w:fill="FFFFFF"/>
          <w:lang w:val="en-US" w:eastAsia="zh-CN"/>
        </w:rPr>
        <w:t>23.39万元，津贴补贴1.67万元，绩效工资37.6万元，事业单位养老保险6.22万元，职业年金缴费8.44万元，职工基本医疗保险3.89万元，住房公积金4.67万元，对个人和家庭补助</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5.37</w:t>
      </w:r>
      <w:r>
        <w:rPr>
          <w:rFonts w:ascii="方正仿宋_GBK" w:hAnsi="方正仿宋_GBK" w:eastAsia="方正仿宋_GBK" w:cs="方正仿宋_GBK"/>
          <w:color w:val="auto"/>
          <w:sz w:val="32"/>
          <w:szCs w:val="32"/>
          <w:shd w:val="clear" w:color="auto" w:fill="FFFFFF"/>
        </w:rPr>
        <w:t>万元，较上年决算数减少4.57万元，下降45.98%，主要原因是</w:t>
      </w:r>
      <w:r>
        <w:rPr>
          <w:rFonts w:hint="eastAsia" w:ascii="方正仿宋_GBK" w:hAnsi="方正仿宋_GBK" w:eastAsia="方正仿宋_GBK" w:cs="方正仿宋_GBK"/>
          <w:color w:val="auto"/>
          <w:sz w:val="32"/>
          <w:szCs w:val="32"/>
          <w:shd w:val="clear" w:color="auto" w:fill="FFFFFF"/>
          <w:lang w:eastAsia="zh-CN"/>
        </w:rPr>
        <w:t>本单位厉行节约，尽量压缩公用经费支出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lang w:val="en-US" w:eastAsia="zh-CN"/>
        </w:rPr>
        <w:t>1.98万元，工会经费1.58万元，办公费0.5万元，福利费0.5万元，其他商品和服务支出0.51万元</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default" w:ascii="方正仿宋_GBK" w:hAnsi="方正仿宋_GBK" w:eastAsia="方正仿宋_GBK" w:cs="方正仿宋_GBK"/>
          <w:b w:val="0"/>
          <w:bCs/>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本单位2023年度无政府性基金预算财政拨款收支。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default" w:ascii="方正仿宋_GBK" w:hAnsi="方正仿宋_GBK" w:eastAsia="方正仿宋_GBK" w:cs="方正仿宋_GBK"/>
          <w:b w:val="0"/>
          <w:bCs/>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 本单位2023年度无国有资本经营预算财政拨款支出。</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Style w:val="16"/>
          <w:rFonts w:hint="default" w:ascii="方正黑体_GBK" w:hAnsi="方正黑体_GBK" w:eastAsia="方正黑体_GBK" w:cs="方正黑体_GBK"/>
          <w:b w:val="0"/>
          <w:bCs w:val="0"/>
          <w:color w:val="auto"/>
          <w:sz w:val="32"/>
          <w:szCs w:val="32"/>
          <w:shd w:val="clear" w:fill="FFFFFF"/>
        </w:rPr>
      </w:pPr>
      <w:r>
        <w:rPr>
          <w:rStyle w:val="16"/>
          <w:rFonts w:hint="default" w:ascii="方正黑体_GBK" w:hAnsi="方正黑体_GBK" w:eastAsia="方正黑体_GBK" w:cs="方正黑体_GBK"/>
          <w:b w:val="0"/>
          <w:bCs w:val="0"/>
          <w:color w:val="auto"/>
          <w:sz w:val="32"/>
          <w:szCs w:val="32"/>
          <w:shd w:val="clear" w:fill="FFFFFF"/>
        </w:rPr>
        <w:t>三、“三公”经费情况说明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本年度我单位未发生“三公”经费支出</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（二）“三公”经费分项支出情况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我单位未发生出国出境费用。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rPr>
        <w:t>我单位未发生公务车辆购置费。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rPr>
        <w:t>公务车运行维护费0.00万元，我单位未发生公务车运行维护费。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我单位未发生公务接待费。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Style w:val="16"/>
          <w:rFonts w:hint="default" w:ascii="方正黑体_GBK" w:hAnsi="方正黑体_GBK" w:eastAsia="方正黑体_GBK" w:cs="方正黑体_GBK"/>
          <w:b w:val="0"/>
          <w:bCs w:val="0"/>
          <w:color w:val="auto"/>
          <w:sz w:val="32"/>
          <w:szCs w:val="32"/>
          <w:shd w:val="clear" w:fill="FFFFFF"/>
        </w:rPr>
      </w:pPr>
      <w:r>
        <w:rPr>
          <w:rStyle w:val="16"/>
          <w:rFonts w:hint="default" w:ascii="方正黑体_GBK" w:hAnsi="方正黑体_GBK" w:eastAsia="方正黑体_GBK" w:cs="方正黑体_GBK"/>
          <w:b w:val="0"/>
          <w:bCs w:val="0"/>
          <w:color w:val="auto"/>
          <w:sz w:val="32"/>
          <w:szCs w:val="32"/>
          <w:shd w:val="clear" w:fill="FFFFFF"/>
        </w:rPr>
        <w:t>四、其他需要说明的事项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万元，较上年决算数无增减，主要原因是本年度</w:t>
      </w:r>
      <w:r>
        <w:rPr>
          <w:rFonts w:hint="eastAsia" w:ascii="方正仿宋_GBK" w:hAnsi="方正仿宋_GBK" w:eastAsia="方正仿宋_GBK" w:cs="方正仿宋_GBK"/>
          <w:color w:val="auto"/>
          <w:sz w:val="32"/>
          <w:szCs w:val="32"/>
          <w:shd w:val="clear" w:color="auto" w:fill="FFFFFF"/>
          <w:lang w:eastAsia="zh-CN"/>
        </w:rPr>
        <w:t>未发生培训费用。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2023年度本单位政府采购支出总额</w:t>
      </w:r>
      <w:r>
        <w:rPr>
          <w:rFonts w:ascii="方正仿宋_GBK" w:hAnsi="方正仿宋_GBK" w:eastAsia="方正仿宋_GBK" w:cs="方正仿宋_GBK"/>
          <w:color w:val="auto"/>
          <w:sz w:val="32"/>
          <w:szCs w:val="32"/>
        </w:rPr>
        <w:t>636.89</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636.89</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636.89万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636.89</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图书馆新馆装修项目。</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Style w:val="16"/>
          <w:rFonts w:hint="default" w:ascii="方正黑体_GBK" w:hAnsi="方正黑体_GBK" w:eastAsia="方正黑体_GBK" w:cs="方正黑体_GBK"/>
          <w:b w:val="0"/>
          <w:bCs w:val="0"/>
          <w:color w:val="auto"/>
          <w:sz w:val="32"/>
          <w:szCs w:val="32"/>
          <w:shd w:val="clear" w:fill="FFFFFF"/>
        </w:rPr>
      </w:pPr>
      <w:r>
        <w:rPr>
          <w:rStyle w:val="16"/>
          <w:rFonts w:hint="eastAsia" w:ascii="方正黑体_GBK" w:hAnsi="方正黑体_GBK" w:eastAsia="方正黑体_GBK" w:cs="方正黑体_GBK"/>
          <w:b w:val="0"/>
          <w:bCs w:val="0"/>
          <w:color w:val="auto"/>
          <w:sz w:val="32"/>
          <w:szCs w:val="32"/>
          <w:shd w:val="clear" w:fill="FFFFFF"/>
          <w:lang w:eastAsia="zh-CN"/>
        </w:rPr>
        <w:t>五、</w:t>
      </w:r>
      <w:r>
        <w:rPr>
          <w:rStyle w:val="16"/>
          <w:rFonts w:hint="default" w:ascii="方正黑体_GBK" w:hAnsi="方正黑体_GBK" w:eastAsia="方正黑体_GBK" w:cs="方正黑体_GBK"/>
          <w:b w:val="0"/>
          <w:bCs w:val="0"/>
          <w:color w:val="auto"/>
          <w:sz w:val="32"/>
          <w:szCs w:val="32"/>
          <w:shd w:val="clear" w:fill="FFFFFF"/>
        </w:rPr>
        <w:t>预算绩效管理情况说明</w:t>
      </w:r>
    </w:p>
    <w:p>
      <w:pPr>
        <w:pStyle w:val="12"/>
        <w:keepNext w:val="0"/>
        <w:keepLines w:val="0"/>
        <w:pageBreakBefore w:val="0"/>
        <w:widowControl/>
        <w:numPr>
          <w:ilvl w:val="0"/>
          <w:numId w:val="1"/>
        </w:numPr>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单位自评情况</w:t>
      </w: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根据预算绩效管理要求，我单位组织部门本级及所属单位对0个一级项目、</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2</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个二级项目开展了绩效自评，涉及财政拨款项目支出</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0</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万元。</w:t>
      </w:r>
    </w:p>
    <w:p>
      <w:pPr>
        <w:pStyle w:val="12"/>
        <w:keepNext w:val="0"/>
        <w:keepLines w:val="0"/>
        <w:pageBreakBefore w:val="0"/>
        <w:widowControl/>
        <w:numPr>
          <w:ilvl w:val="0"/>
          <w:numId w:val="0"/>
        </w:numPr>
        <w:kinsoku/>
        <w:wordWrap/>
        <w:overflowPunct/>
        <w:topLinePunct w:val="0"/>
        <w:autoSpaceDE w:val="0"/>
        <w:autoSpaceDN/>
        <w:bidi w:val="0"/>
        <w:adjustRightInd/>
        <w:spacing w:before="0" w:beforeAutospacing="0" w:after="0" w:afterAutospacing="0" w:line="600" w:lineRule="exac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p>
    <w:tbl>
      <w:tblPr>
        <w:tblStyle w:val="7"/>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607"/>
        <w:gridCol w:w="621"/>
        <w:gridCol w:w="579"/>
        <w:gridCol w:w="784"/>
        <w:gridCol w:w="1391"/>
        <w:gridCol w:w="807"/>
        <w:gridCol w:w="1149"/>
        <w:gridCol w:w="591"/>
        <w:gridCol w:w="791"/>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40"/>
                <w:szCs w:val="40"/>
                <w:u w:val="none"/>
              </w:rPr>
            </w:pPr>
            <w:r>
              <w:rPr>
                <w:rFonts w:hint="eastAsia" w:ascii="微软雅黑" w:hAnsi="微软雅黑" w:eastAsia="微软雅黑" w:cs="微软雅黑"/>
                <w:b/>
                <w:bCs/>
                <w:i w:val="0"/>
                <w:iCs w:val="0"/>
                <w:color w:val="auto"/>
                <w:kern w:val="0"/>
                <w:sz w:val="28"/>
                <w:szCs w:val="28"/>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b w:val="0"/>
                <w:bCs w:val="0"/>
                <w:i w:val="0"/>
                <w:iCs w:val="0"/>
                <w:color w:val="auto"/>
                <w:sz w:val="18"/>
                <w:szCs w:val="18"/>
                <w:u w:val="none"/>
                <w:lang w:val="en-US" w:eastAsia="zh-CN"/>
              </w:rPr>
            </w:pPr>
            <w:r>
              <w:rPr>
                <w:rFonts w:hint="eastAsia" w:ascii="方正仿宋_GBK" w:hAnsi="方正仿宋_GBK" w:eastAsia="方正仿宋_GBK" w:cs="方正仿宋_GBK"/>
                <w:b w:val="0"/>
                <w:bCs w:val="0"/>
                <w:i w:val="0"/>
                <w:iCs w:val="0"/>
                <w:color w:val="auto"/>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项目名称</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职工张拥军一次性退休补贴</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项目编码</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50023823T000003059812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自评总分</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100.00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bCs/>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项目主管部门</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025-巫溪县文化和旅游发展委员会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财政归口科室</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005-行财科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部门联系人</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向佳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联系电话</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023</w:t>
            </w:r>
            <w:bookmarkStart w:id="0" w:name="_GoBack"/>
            <w:bookmarkEnd w:id="0"/>
            <w:r>
              <w:rPr>
                <w:rFonts w:hint="eastAsia" w:ascii="方正仿宋_GBK" w:hAnsi="方正仿宋_GBK" w:eastAsia="方正仿宋_GBK" w:cs="方正仿宋_GBK"/>
                <w:i w:val="0"/>
                <w:iCs w:val="0"/>
                <w:color w:val="auto"/>
                <w:kern w:val="0"/>
                <w:sz w:val="18"/>
                <w:szCs w:val="18"/>
                <w:u w:val="none"/>
                <w:lang w:val="en-US" w:eastAsia="zh-CN" w:bidi="ar"/>
              </w:rPr>
              <w:t>51330278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年初预算数</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全年（调整）预算数</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全年执行数</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执行率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执行率权重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年度总金额</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6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5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0.00 </w:t>
            </w:r>
          </w:p>
        </w:tc>
        <w:tc>
          <w:tcPr>
            <w:tcW w:w="7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3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lang w:val="en-US"/>
              </w:rPr>
            </w:pPr>
            <w:r>
              <w:rPr>
                <w:rFonts w:hint="eastAsia" w:ascii="方正仿宋_GBK" w:hAnsi="方正仿宋_GBK" w:eastAsia="方正仿宋_GBK" w:cs="方正仿宋_GBK"/>
                <w:i w:val="0"/>
                <w:iCs w:val="0"/>
                <w:color w:val="auto"/>
                <w:kern w:val="0"/>
                <w:sz w:val="18"/>
                <w:szCs w:val="18"/>
                <w:u w:val="none"/>
                <w:lang w:val="en-US" w:eastAsia="zh-CN" w:bidi="ar"/>
              </w:rPr>
              <w:t>1.89</w:t>
            </w:r>
          </w:p>
        </w:tc>
        <w:tc>
          <w:tcPr>
            <w:tcW w:w="8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1.89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其中：财政拨款</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6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5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0.00 </w:t>
            </w:r>
          </w:p>
        </w:tc>
        <w:tc>
          <w:tcPr>
            <w:tcW w:w="7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3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1.89</w:t>
            </w:r>
          </w:p>
        </w:tc>
        <w:tc>
          <w:tcPr>
            <w:tcW w:w="8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1.89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一般公共预算</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62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5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0.00 </w:t>
            </w:r>
          </w:p>
        </w:tc>
        <w:tc>
          <w:tcPr>
            <w:tcW w:w="7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3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1.89</w:t>
            </w:r>
          </w:p>
        </w:tc>
        <w:tc>
          <w:tcPr>
            <w:tcW w:w="8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1.89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年初绩效目标</w:t>
            </w:r>
          </w:p>
        </w:tc>
        <w:tc>
          <w:tcPr>
            <w:tcW w:w="4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全年（调整）绩效目标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退休人员一次性补贴</w:t>
            </w:r>
          </w:p>
        </w:tc>
        <w:tc>
          <w:tcPr>
            <w:tcW w:w="41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退休人员一次性补贴</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退休人员一次性补贴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指标名称</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计量单位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指标性质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全年完成值</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偏离度（%）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得分系数（%）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指标权重</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指标得分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是否核心指标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补助人数</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人数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补助金额</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元/人·次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1.89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default" w:ascii="方正仿宋_GBK" w:hAnsi="方正仿宋_GBK" w:eastAsia="方正仿宋_GBK" w:cs="方正仿宋_GBK"/>
                <w:i w:val="0"/>
                <w:iCs w:val="0"/>
                <w:color w:val="auto"/>
                <w:sz w:val="18"/>
                <w:szCs w:val="18"/>
                <w:u w:val="none"/>
                <w:lang w:val="en-US"/>
              </w:rPr>
            </w:pPr>
            <w:r>
              <w:rPr>
                <w:rFonts w:hint="eastAsia" w:ascii="方正仿宋_GBK" w:hAnsi="方正仿宋_GBK" w:eastAsia="方正仿宋_GBK" w:cs="方正仿宋_GBK"/>
                <w:i w:val="0"/>
                <w:iCs w:val="0"/>
                <w:color w:val="auto"/>
                <w:kern w:val="0"/>
                <w:sz w:val="18"/>
                <w:szCs w:val="18"/>
                <w:u w:val="none"/>
                <w:lang w:val="en-US" w:eastAsia="zh-CN" w:bidi="ar"/>
              </w:rPr>
              <w:t>1.89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执行社保机制情况</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定性</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执行到位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群众满意度</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90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90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18"/>
                <w:szCs w:val="18"/>
                <w:u w:val="none"/>
              </w:rPr>
            </w:pP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（二）单位绩效评价情况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我部门未组织开展绩效评价。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600" w:lineRule="exact"/>
        <w:ind w:left="0" w:leftChars="0" w:right="0" w:firstLine="640" w:firstLineChars="200"/>
        <w:jc w:val="left"/>
        <w:textAlignment w:val="auto"/>
        <w:rPr>
          <w:rStyle w:val="17"/>
          <w:rFonts w:hint="eastAsia" w:ascii="方正楷体_GBK" w:hAnsi="方正楷体_GBK" w:eastAsia="方正楷体_GBK" w:cs="方正楷体_GBK"/>
          <w:b w:val="0"/>
          <w:bCs w:val="0"/>
          <w:i w:val="0"/>
          <w:iCs w:val="0"/>
          <w:caps w:val="0"/>
          <w:color w:val="auto"/>
          <w:spacing w:val="0"/>
          <w:sz w:val="32"/>
          <w:szCs w:val="32"/>
          <w:shd w:val="clear" w:fill="FFFFFF"/>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(三)</w:t>
      </w:r>
      <w:r>
        <w:rPr>
          <w:rStyle w:val="17"/>
          <w:rFonts w:hint="eastAsia" w:ascii="方正楷体_GBK" w:hAnsi="方正楷体_GBK" w:eastAsia="方正楷体_GBK" w:cs="方正楷体_GBK"/>
          <w:b w:val="0"/>
          <w:bCs w:val="0"/>
          <w:i w:val="0"/>
          <w:iCs w:val="0"/>
          <w:caps w:val="0"/>
          <w:color w:val="auto"/>
          <w:spacing w:val="0"/>
          <w:sz w:val="32"/>
          <w:szCs w:val="32"/>
          <w:shd w:val="clear"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Style w:val="16"/>
          <w:rFonts w:hint="default" w:ascii="方正黑体_GBK" w:hAnsi="方正黑体_GBK" w:eastAsia="方正黑体_GBK" w:cs="方正黑体_GBK"/>
          <w:b w:val="0"/>
          <w:bCs w:val="0"/>
          <w:color w:val="auto"/>
          <w:sz w:val="32"/>
          <w:szCs w:val="32"/>
          <w:shd w:val="clear" w:fill="FFFFFF"/>
          <w:lang w:eastAsia="zh-CN"/>
        </w:rPr>
      </w:pPr>
      <w:r>
        <w:rPr>
          <w:rStyle w:val="16"/>
          <w:rFonts w:hint="eastAsia" w:ascii="方正黑体_GBK" w:hAnsi="方正黑体_GBK" w:eastAsia="方正黑体_GBK" w:cs="方正黑体_GBK"/>
          <w:b w:val="0"/>
          <w:bCs w:val="0"/>
          <w:color w:val="auto"/>
          <w:sz w:val="32"/>
          <w:szCs w:val="32"/>
          <w:shd w:val="clear" w:fill="FFFFFF"/>
          <w:lang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w:t>
      </w: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7"/>
          <w:rFonts w:hint="eastAsia" w:ascii="方正楷体_GBK" w:hAnsi="方正楷体_GBK" w:eastAsia="方正楷体_GBK" w:cs="方正楷体_GBK"/>
          <w:b w:val="0"/>
          <w:bCs w:val="0"/>
          <w:i w:val="0"/>
          <w:iCs w:val="0"/>
          <w:caps w:val="0"/>
          <w:color w:val="auto"/>
          <w:spacing w:val="0"/>
          <w:sz w:val="32"/>
          <w:szCs w:val="32"/>
          <w:shd w:val="clear" w:fill="FFFFFF"/>
          <w:lang w:val="en-US" w:eastAsia="zh-CN" w:bidi="ar-SA"/>
        </w:rPr>
        <w:t> （十七）其他资本性支出（支出经济分类科目类级）：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2"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w:t>
      </w:r>
      <w:r>
        <w:rPr>
          <w:rStyle w:val="10"/>
          <w:rFonts w:ascii="黑体" w:hAnsi="黑体" w:eastAsia="黑体" w:cs="黑体"/>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eastAsia="zh-CN"/>
        </w:rPr>
        <w:t>向佳</w:t>
      </w:r>
      <w:r>
        <w:rPr>
          <w:rFonts w:hint="eastAsia" w:ascii="方正仿宋_GBK" w:hAnsi="方正仿宋_GBK" w:eastAsia="方正仿宋_GBK" w:cs="方正仿宋_GBK"/>
          <w:color w:val="auto"/>
          <w:sz w:val="32"/>
          <w:szCs w:val="32"/>
          <w:shd w:val="clear" w:color="auto" w:fill="FFFFFF"/>
          <w:lang w:val="en-US" w:eastAsia="zh-CN"/>
        </w:rPr>
        <w:t xml:space="preserve"> 023-51330278</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2" w:firstLineChars="200"/>
        <w:textAlignment w:val="auto"/>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2098" w:right="1474" w:bottom="1474" w:left="1587" w:header="851" w:footer="992" w:gutter="0"/>
          <w:pgNumType w:fmt="numberInDash"/>
          <w:cols w:space="0" w:num="1"/>
          <w:rtlGutter w:val="0"/>
          <w:docGrid w:type="lines" w:linePitch="331" w:charSpace="0"/>
        </w:sectPr>
      </w:pPr>
    </w:p>
    <w:p>
      <w:pPr>
        <w:rPr>
          <w:rFonts w:hint="default" w:cs="宋体"/>
          <w:color w:val="auto"/>
          <w:sz w:val="21"/>
          <w:szCs w:val="21"/>
        </w:rPr>
      </w:pPr>
    </w:p>
    <w:tbl>
      <w:tblPr>
        <w:tblStyle w:val="7"/>
        <w:tblW w:w="4692" w:type="pct"/>
        <w:tblInd w:w="0" w:type="dxa"/>
        <w:tblLayout w:type="autofit"/>
        <w:tblCellMar>
          <w:top w:w="0" w:type="dxa"/>
          <w:left w:w="0" w:type="dxa"/>
          <w:bottom w:w="0" w:type="dxa"/>
          <w:right w:w="0" w:type="dxa"/>
        </w:tblCellMar>
      </w:tblPr>
      <w:tblGrid>
        <w:gridCol w:w="5120"/>
        <w:gridCol w:w="2020"/>
        <w:gridCol w:w="4808"/>
        <w:gridCol w:w="248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177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699"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16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8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trPr>
        <w:tc>
          <w:tcPr>
            <w:tcW w:w="247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重庆市巫溪县图书馆</w:t>
            </w:r>
          </w:p>
        </w:tc>
        <w:tc>
          <w:tcPr>
            <w:tcW w:w="16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85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243" w:hRule="atLeast"/>
        </w:trPr>
        <w:tc>
          <w:tcPr>
            <w:tcW w:w="247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525"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8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106.65</w:t>
            </w: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699"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28.62</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3.89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4.67</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106.65</w:t>
            </w: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106.65</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8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8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177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106.65</w:t>
            </w:r>
            <w:r>
              <w:rPr>
                <w:color w:val="auto"/>
                <w:sz w:val="20"/>
                <w:u w:color="auto"/>
              </w:rPr>
              <w:t xml:space="preserve"> </w:t>
            </w:r>
          </w:p>
        </w:tc>
        <w:tc>
          <w:tcPr>
            <w:tcW w:w="1666"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8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106.65</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4786"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967"/>
        <w:gridCol w:w="127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trPr>
        <w:tc>
          <w:tcPr>
            <w:tcW w:w="207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重庆市巫溪县图书馆</w:t>
            </w: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2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trPr>
        <w:tc>
          <w:tcPr>
            <w:tcW w:w="207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2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31" w:hRule="atLeast"/>
        </w:trPr>
        <w:tc>
          <w:tcPr>
            <w:tcW w:w="1655"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trPr>
        <w:tc>
          <w:tcPr>
            <w:tcW w:w="57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7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7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65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106.65</w:t>
            </w:r>
            <w:r>
              <w:rPr>
                <w:b/>
                <w:color w:val="auto"/>
                <w:sz w:val="20"/>
                <w:u w:color="auto"/>
              </w:rPr>
              <w:t xml:space="preserve"> </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106.65</w:t>
            </w:r>
            <w:r>
              <w:rPr>
                <w:b/>
                <w:color w:val="auto"/>
                <w:sz w:val="20"/>
                <w:u w:color="auto"/>
              </w:rPr>
              <w:t xml:space="preserve"> </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图书馆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6.22</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6.22</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8.44</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8.44</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3.89</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3.89</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4.67</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4.67</w:t>
            </w: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7"/>
        <w:tblW w:w="4709" w:type="pct"/>
        <w:tblInd w:w="0" w:type="dxa"/>
        <w:tblLayout w:type="autofit"/>
        <w:tblCellMar>
          <w:top w:w="0" w:type="dxa"/>
          <w:left w:w="0" w:type="dxa"/>
          <w:bottom w:w="0" w:type="dxa"/>
          <w:right w:w="0" w:type="dxa"/>
        </w:tblCellMar>
      </w:tblPr>
      <w:tblGrid>
        <w:gridCol w:w="1796"/>
        <w:gridCol w:w="3357"/>
        <w:gridCol w:w="1700"/>
        <w:gridCol w:w="1700"/>
        <w:gridCol w:w="1700"/>
        <w:gridCol w:w="1680"/>
        <w:gridCol w:w="1219"/>
        <w:gridCol w:w="133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trPr>
        <w:tc>
          <w:tcPr>
            <w:tcW w:w="2366"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重庆市巫溪县图书馆 </w:t>
            </w:r>
          </w:p>
        </w:tc>
        <w:tc>
          <w:tcPr>
            <w:tcW w:w="5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trPr>
        <w:tc>
          <w:tcPr>
            <w:tcW w:w="2366"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62" w:hRule="atLeast"/>
        </w:trPr>
        <w:tc>
          <w:tcPr>
            <w:tcW w:w="177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62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158"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15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15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15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62" w:hRule="atLeast"/>
        </w:trPr>
        <w:tc>
          <w:tcPr>
            <w:tcW w:w="177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106.65</w:t>
            </w:r>
            <w:r>
              <w:rPr>
                <w:b/>
                <w:color w:val="auto"/>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106.65</w:t>
            </w:r>
            <w:r>
              <w:rPr>
                <w:b/>
                <w:color w:val="auto"/>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69.48</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2070104</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图书馆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69.48</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28.62</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13.95</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6.22</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6.22</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8.44</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8.44</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3.89</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3.89</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3.89</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4.67</w:t>
            </w:r>
            <w:r>
              <w:rPr>
                <w:b/>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6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4.67</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4.67</w:t>
            </w:r>
            <w:r>
              <w:rPr>
                <w:color w:val="auto"/>
                <w:sz w:val="20"/>
                <w:u w:color="auto"/>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7"/>
        <w:tblW w:w="4622" w:type="pct"/>
        <w:tblInd w:w="0" w:type="dxa"/>
        <w:tblLayout w:type="autofit"/>
        <w:tblCellMar>
          <w:top w:w="0" w:type="dxa"/>
          <w:left w:w="0" w:type="dxa"/>
          <w:bottom w:w="0" w:type="dxa"/>
          <w:right w:w="0" w:type="dxa"/>
        </w:tblCellMar>
      </w:tblPr>
      <w:tblGrid>
        <w:gridCol w:w="2977"/>
        <w:gridCol w:w="1527"/>
        <w:gridCol w:w="3190"/>
        <w:gridCol w:w="1697"/>
        <w:gridCol w:w="1697"/>
        <w:gridCol w:w="1697"/>
        <w:gridCol w:w="143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706"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重庆市巫溪县图书馆</w:t>
            </w: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trPr>
        <w:tc>
          <w:tcPr>
            <w:tcW w:w="2706"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15"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trPr>
        <w:tc>
          <w:tcPr>
            <w:tcW w:w="10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1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29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trPr>
        <w:tc>
          <w:tcPr>
            <w:tcW w:w="10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1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9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49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69.48</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69.48</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28.62</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28.62</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3.89</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3.89</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4.67</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4.67</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11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106.65</w:t>
            </w:r>
            <w:r>
              <w:rPr>
                <w:color w:val="auto"/>
                <w:sz w:val="18"/>
                <w:u w:color="auto"/>
              </w:rPr>
              <w:t xml:space="preserve">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4726" w:type="pct"/>
        <w:tblInd w:w="0" w:type="dxa"/>
        <w:tblLayout w:type="autofit"/>
        <w:tblCellMar>
          <w:top w:w="0" w:type="dxa"/>
          <w:left w:w="0" w:type="dxa"/>
          <w:bottom w:w="0" w:type="dxa"/>
          <w:right w:w="0" w:type="dxa"/>
        </w:tblCellMar>
      </w:tblPr>
      <w:tblGrid>
        <w:gridCol w:w="1855"/>
        <w:gridCol w:w="3549"/>
        <w:gridCol w:w="3317"/>
        <w:gridCol w:w="3317"/>
        <w:gridCol w:w="2497"/>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0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重庆市巫溪县图书馆</w:t>
            </w:r>
          </w:p>
        </w:tc>
        <w:tc>
          <w:tcPr>
            <w:tcW w:w="114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5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trPr>
        <w:tc>
          <w:tcPr>
            <w:tcW w:w="300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4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5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08"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314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trPr>
        <w:tc>
          <w:tcPr>
            <w:tcW w:w="6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1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8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trPr>
        <w:tc>
          <w:tcPr>
            <w:tcW w:w="6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8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5" w:hRule="atLeast"/>
        </w:trPr>
        <w:tc>
          <w:tcPr>
            <w:tcW w:w="6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8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08" w:hRule="atLeast"/>
        </w:trPr>
        <w:tc>
          <w:tcPr>
            <w:tcW w:w="185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106.65</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106.65</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文化旅游体育与传媒支出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69.48</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69.48</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20701</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文化和旅游</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69.48</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69.48</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2070104</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图书馆</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69.48</w:t>
            </w:r>
            <w:r>
              <w:rPr>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69.48</w:t>
            </w:r>
            <w:r>
              <w:rPr>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28.62</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28.62</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28.62</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28.62</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13.95</w:t>
            </w:r>
            <w:r>
              <w:rPr>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13.95</w:t>
            </w:r>
            <w:r>
              <w:rPr>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6.22</w:t>
            </w:r>
            <w:r>
              <w:rPr>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6.22</w:t>
            </w:r>
            <w:r>
              <w:rPr>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8.44</w:t>
            </w:r>
            <w:r>
              <w:rPr>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8.44</w:t>
            </w:r>
            <w:r>
              <w:rPr>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3.89</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3.89</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3.89</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3.89</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3.89</w:t>
            </w:r>
            <w:r>
              <w:rPr>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3.89</w:t>
            </w:r>
            <w:r>
              <w:rPr>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4.67</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4.67</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4.67</w:t>
            </w:r>
            <w:r>
              <w:rPr>
                <w:b/>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4.67</w:t>
            </w:r>
            <w:r>
              <w:rPr>
                <w:b/>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4.67</w:t>
            </w:r>
            <w:r>
              <w:rPr>
                <w:color w:val="auto"/>
                <w:sz w:val="20"/>
                <w:u w:color="auto"/>
              </w:rPr>
              <w:t xml:space="preserve"> </w:t>
            </w:r>
          </w:p>
        </w:tc>
        <w:tc>
          <w:tcPr>
            <w:tcW w:w="11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4.67</w:t>
            </w:r>
            <w:r>
              <w:rPr>
                <w:color w:val="auto"/>
                <w:sz w:val="20"/>
                <w:u w:color="auto"/>
              </w:rPr>
              <w:t xml:space="preserve"> </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7"/>
        <w:tblW w:w="4751"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14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901"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重庆市巫溪县图书馆</w:t>
            </w: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trPr>
        <w:tc>
          <w:tcPr>
            <w:tcW w:w="1901"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1615"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384"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trPr>
        <w:tc>
          <w:tcPr>
            <w:tcW w:w="20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9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7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8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20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39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trPr>
        <w:tc>
          <w:tcPr>
            <w:tcW w:w="20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9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4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8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2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86.13</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5.37</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23.39</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0.35</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1.67</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37.60</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0.05</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6.22</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0.10</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8.44</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0.02</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3.89</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0.25</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1.98</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4.67</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15.15</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13.67</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0.25</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1.48</w:t>
            </w: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1.58</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0.53</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0.51</w:t>
            </w: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144"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7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101.29</w:t>
            </w:r>
            <w:r>
              <w:rPr>
                <w:color w:val="auto"/>
                <w:sz w:val="18"/>
                <w:u w:color="auto"/>
              </w:rPr>
              <w:t xml:space="preserve"> </w:t>
            </w:r>
          </w:p>
        </w:tc>
        <w:tc>
          <w:tcPr>
            <w:tcW w:w="2993"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3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5.37</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4751" w:type="pct"/>
        <w:tblInd w:w="0" w:type="dxa"/>
        <w:tblLayout w:type="autofit"/>
        <w:tblCellMar>
          <w:top w:w="0" w:type="dxa"/>
          <w:left w:w="0" w:type="dxa"/>
          <w:bottom w:w="0" w:type="dxa"/>
          <w:right w:w="0" w:type="dxa"/>
        </w:tblCellMar>
      </w:tblPr>
      <w:tblGrid>
        <w:gridCol w:w="1852"/>
        <w:gridCol w:w="3085"/>
        <w:gridCol w:w="1710"/>
        <w:gridCol w:w="1707"/>
        <w:gridCol w:w="1707"/>
        <w:gridCol w:w="1707"/>
        <w:gridCol w:w="1771"/>
        <w:gridCol w:w="107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7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重庆市巫溪县图书馆</w:t>
            </w: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60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6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trPr>
        <w:tc>
          <w:tcPr>
            <w:tcW w:w="227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60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6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39" w:hRule="atLeast"/>
        </w:trPr>
        <w:tc>
          <w:tcPr>
            <w:tcW w:w="169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58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1774"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6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5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60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6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6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69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6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3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7"/>
        <w:tblW w:w="4744" w:type="pct"/>
        <w:tblInd w:w="0" w:type="dxa"/>
        <w:tblLayout w:type="autofit"/>
        <w:tblCellMar>
          <w:top w:w="0" w:type="dxa"/>
          <w:left w:w="0" w:type="dxa"/>
          <w:bottom w:w="0" w:type="dxa"/>
          <w:right w:w="0" w:type="dxa"/>
        </w:tblCellMar>
      </w:tblPr>
      <w:tblGrid>
        <w:gridCol w:w="1879"/>
        <w:gridCol w:w="3061"/>
        <w:gridCol w:w="3274"/>
        <w:gridCol w:w="201"/>
        <w:gridCol w:w="3473"/>
        <w:gridCol w:w="76"/>
        <w:gridCol w:w="2627"/>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1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重庆市巫溪县图书馆</w:t>
            </w:r>
          </w:p>
        </w:tc>
        <w:tc>
          <w:tcPr>
            <w:tcW w:w="128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9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trPr>
        <w:tc>
          <w:tcPr>
            <w:tcW w:w="281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8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89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22" w:hRule="atLeast"/>
        </w:trPr>
        <w:tc>
          <w:tcPr>
            <w:tcW w:w="169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3306"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trPr>
        <w:tc>
          <w:tcPr>
            <w:tcW w:w="64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1191"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9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924"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trPr>
        <w:tc>
          <w:tcPr>
            <w:tcW w:w="64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91"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2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64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91"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2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26" w:hRule="atLeast"/>
        </w:trPr>
        <w:tc>
          <w:tcPr>
            <w:tcW w:w="64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91"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2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169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9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1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92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7"/>
        <w:tblW w:w="4706" w:type="pct"/>
        <w:tblInd w:w="0" w:type="dxa"/>
        <w:tblLayout w:type="fixed"/>
        <w:tblCellMar>
          <w:top w:w="0" w:type="dxa"/>
          <w:left w:w="170" w:type="dxa"/>
          <w:bottom w:w="0" w:type="dxa"/>
          <w:right w:w="170" w:type="dxa"/>
        </w:tblCellMar>
      </w:tblPr>
      <w:tblGrid>
        <w:gridCol w:w="4040"/>
        <w:gridCol w:w="2166"/>
        <w:gridCol w:w="2115"/>
        <w:gridCol w:w="4523"/>
        <w:gridCol w:w="1630"/>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9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4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3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CellMar>
            <w:top w:w="0" w:type="dxa"/>
            <w:left w:w="170" w:type="dxa"/>
            <w:bottom w:w="0" w:type="dxa"/>
            <w:right w:w="170" w:type="dxa"/>
          </w:tblCellMar>
        </w:tblPrEx>
        <w:trPr>
          <w:trHeight w:val="244" w:hRule="atLeast"/>
        </w:trPr>
        <w:tc>
          <w:tcPr>
            <w:tcW w:w="214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重庆市巫溪县图书馆</w:t>
            </w:r>
          </w:p>
        </w:tc>
        <w:tc>
          <w:tcPr>
            <w:tcW w:w="73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6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56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170" w:type="dxa"/>
            <w:bottom w:w="0" w:type="dxa"/>
            <w:right w:w="170" w:type="dxa"/>
          </w:tblCellMar>
        </w:tblPrEx>
        <w:trPr>
          <w:trHeight w:val="28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3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5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r>
      <w:tr>
        <w:tblPrEx>
          <w:tblCellMar>
            <w:top w:w="0" w:type="dxa"/>
            <w:left w:w="170" w:type="dxa"/>
            <w:bottom w:w="0" w:type="dxa"/>
            <w:right w:w="170" w:type="dxa"/>
          </w:tblCellMar>
        </w:tblPrEx>
        <w:trPr>
          <w:trHeight w:val="28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一、“三公”经费支出</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四、机关运行经费</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五、资产信息</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636.89</w:t>
            </w: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636.89</w:t>
            </w: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636.89</w:t>
            </w: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9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636.89</w:t>
            </w:r>
            <w:r>
              <w:rPr>
                <w:color w:val="auto"/>
                <w:sz w:val="16"/>
                <w:u w:color="auto"/>
              </w:rPr>
              <w:t xml:space="preserve"> </w:t>
            </w:r>
          </w:p>
        </w:tc>
      </w:tr>
      <w:tr>
        <w:tblPrEx>
          <w:tblCellMar>
            <w:top w:w="0" w:type="dxa"/>
            <w:left w:w="170" w:type="dxa"/>
            <w:bottom w:w="0" w:type="dxa"/>
            <w:right w:w="170" w:type="dxa"/>
          </w:tblCellMar>
        </w:tblPrEx>
        <w:trPr>
          <w:trHeight w:val="286"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二、会议费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r>
        <w:tblPrEx>
          <w:tblCellMar>
            <w:top w:w="0" w:type="dxa"/>
            <w:left w:w="170" w:type="dxa"/>
            <w:bottom w:w="0" w:type="dxa"/>
            <w:right w:w="170" w:type="dxa"/>
          </w:tblCellMar>
        </w:tblPrEx>
        <w:trPr>
          <w:trHeight w:val="389" w:hRule="atLeast"/>
        </w:trPr>
        <w:tc>
          <w:tcPr>
            <w:tcW w:w="13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三、培训费</w:t>
            </w:r>
          </w:p>
        </w:tc>
        <w:tc>
          <w:tcPr>
            <w:tcW w:w="7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7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5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bl>
    <w:p>
      <w:pPr>
        <w:rPr>
          <w:rFonts w:cs="宋体"/>
          <w:color w:val="auto"/>
          <w:sz w:val="20"/>
          <w:szCs w:val="20"/>
        </w:rPr>
      </w:pPr>
      <w:r>
        <w:rPr>
          <w:rFonts w:cs="宋体"/>
          <w:color w:val="auto"/>
          <w:sz w:val="20"/>
          <w:szCs w:val="20"/>
        </w:rPr>
        <w:t>备注：1.本表反映单位本年度财政拨款“三公”经费支出预决算情况。其中，预算数为“三公”经费全年预算数，反映按规定程序调整后的预算数；决算数为包括本</w:t>
      </w:r>
    </w:p>
    <w:p>
      <w:pPr>
        <w:rPr>
          <w:rFonts w:hint="default" w:cs="宋体"/>
          <w:color w:val="auto"/>
          <w:sz w:val="21"/>
          <w:szCs w:val="21"/>
        </w:rPr>
      </w:pPr>
      <w:r>
        <w:rPr>
          <w:rFonts w:cs="宋体"/>
          <w:color w:val="auto"/>
          <w:sz w:val="20"/>
          <w:szCs w:val="20"/>
        </w:rPr>
        <w:t>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F7B84"/>
    <w:multiLevelType w:val="singleLevel"/>
    <w:tmpl w:val="784F7B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5"/>
  <w:displayHorizontalDrawingGridEvery w:val="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926844"/>
    <w:rsid w:val="03B87EA0"/>
    <w:rsid w:val="03E3214F"/>
    <w:rsid w:val="044C50BA"/>
    <w:rsid w:val="05BC6D49"/>
    <w:rsid w:val="0601722E"/>
    <w:rsid w:val="06194FF1"/>
    <w:rsid w:val="06A2550B"/>
    <w:rsid w:val="06F80EE2"/>
    <w:rsid w:val="07001CCA"/>
    <w:rsid w:val="075678DB"/>
    <w:rsid w:val="079D7CC7"/>
    <w:rsid w:val="08051BCA"/>
    <w:rsid w:val="086C12F4"/>
    <w:rsid w:val="08705944"/>
    <w:rsid w:val="08BA052C"/>
    <w:rsid w:val="08DB07BA"/>
    <w:rsid w:val="0969353F"/>
    <w:rsid w:val="098305D0"/>
    <w:rsid w:val="0A3317EA"/>
    <w:rsid w:val="0A35493C"/>
    <w:rsid w:val="0A5C4B69"/>
    <w:rsid w:val="0A86124A"/>
    <w:rsid w:val="0AA50339"/>
    <w:rsid w:val="0AB54CC0"/>
    <w:rsid w:val="0B9335CE"/>
    <w:rsid w:val="0BF2311A"/>
    <w:rsid w:val="0C762CD4"/>
    <w:rsid w:val="0C7927C4"/>
    <w:rsid w:val="0C9B098C"/>
    <w:rsid w:val="0D673E11"/>
    <w:rsid w:val="0D97562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B6CA5"/>
    <w:rsid w:val="163A6CEE"/>
    <w:rsid w:val="173708E3"/>
    <w:rsid w:val="17C374FC"/>
    <w:rsid w:val="182E4AB6"/>
    <w:rsid w:val="189079DC"/>
    <w:rsid w:val="189B0D0B"/>
    <w:rsid w:val="18B43F7C"/>
    <w:rsid w:val="194A1770"/>
    <w:rsid w:val="19B906A4"/>
    <w:rsid w:val="1B6F15B6"/>
    <w:rsid w:val="1BAA2EDC"/>
    <w:rsid w:val="1C5B3C94"/>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444C3B"/>
    <w:rsid w:val="27B23302"/>
    <w:rsid w:val="29310A5F"/>
    <w:rsid w:val="29C37A35"/>
    <w:rsid w:val="2A076083"/>
    <w:rsid w:val="2A73162E"/>
    <w:rsid w:val="2B167953"/>
    <w:rsid w:val="2B200583"/>
    <w:rsid w:val="2B8209DE"/>
    <w:rsid w:val="2C636760"/>
    <w:rsid w:val="2C6762A3"/>
    <w:rsid w:val="2E2A2F53"/>
    <w:rsid w:val="2FC9073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170C4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924D5"/>
    <w:rsid w:val="3B6F6EE0"/>
    <w:rsid w:val="3B7935F5"/>
    <w:rsid w:val="3C566AD6"/>
    <w:rsid w:val="3C594871"/>
    <w:rsid w:val="3C6A5B02"/>
    <w:rsid w:val="3D2757A1"/>
    <w:rsid w:val="3D3D4FC4"/>
    <w:rsid w:val="3DDF3AB1"/>
    <w:rsid w:val="3E175334"/>
    <w:rsid w:val="3E1D0952"/>
    <w:rsid w:val="3E253CE6"/>
    <w:rsid w:val="3E42660A"/>
    <w:rsid w:val="3E7555B1"/>
    <w:rsid w:val="3E787ED9"/>
    <w:rsid w:val="3F032E93"/>
    <w:rsid w:val="3F0527E5"/>
    <w:rsid w:val="3F694D83"/>
    <w:rsid w:val="3F885DCC"/>
    <w:rsid w:val="3FCD675E"/>
    <w:rsid w:val="4004000C"/>
    <w:rsid w:val="40A961DB"/>
    <w:rsid w:val="40BD5482"/>
    <w:rsid w:val="411B6CE5"/>
    <w:rsid w:val="412070D7"/>
    <w:rsid w:val="41314E40"/>
    <w:rsid w:val="41AD6D6B"/>
    <w:rsid w:val="41E0734B"/>
    <w:rsid w:val="426C1EA8"/>
    <w:rsid w:val="42736402"/>
    <w:rsid w:val="42963A4C"/>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40723"/>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2F31A9"/>
    <w:rsid w:val="53C0244D"/>
    <w:rsid w:val="53DD4D4E"/>
    <w:rsid w:val="53E578CE"/>
    <w:rsid w:val="541330F0"/>
    <w:rsid w:val="54272666"/>
    <w:rsid w:val="543B029D"/>
    <w:rsid w:val="54861779"/>
    <w:rsid w:val="552256E1"/>
    <w:rsid w:val="554E5773"/>
    <w:rsid w:val="555829E0"/>
    <w:rsid w:val="555A3CBC"/>
    <w:rsid w:val="5582012B"/>
    <w:rsid w:val="558E4E05"/>
    <w:rsid w:val="55A305D4"/>
    <w:rsid w:val="55BE2E85"/>
    <w:rsid w:val="56160F42"/>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433C21"/>
    <w:rsid w:val="61536C39"/>
    <w:rsid w:val="62260A4B"/>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1A2D08"/>
    <w:rsid w:val="6C560CAE"/>
    <w:rsid w:val="6C576495"/>
    <w:rsid w:val="6D8A4F49"/>
    <w:rsid w:val="6D903FF5"/>
    <w:rsid w:val="6DA955B8"/>
    <w:rsid w:val="6DE346AB"/>
    <w:rsid w:val="6DE5391A"/>
    <w:rsid w:val="6ED23FED"/>
    <w:rsid w:val="6EFD1324"/>
    <w:rsid w:val="6F5A53AC"/>
    <w:rsid w:val="6FAC003D"/>
    <w:rsid w:val="6FE55E12"/>
    <w:rsid w:val="6FFB2E76"/>
    <w:rsid w:val="70160CE4"/>
    <w:rsid w:val="708F6F7F"/>
    <w:rsid w:val="70D94BD3"/>
    <w:rsid w:val="71C34D91"/>
    <w:rsid w:val="72DB435C"/>
    <w:rsid w:val="72E2613A"/>
    <w:rsid w:val="72F771F4"/>
    <w:rsid w:val="73934AD2"/>
    <w:rsid w:val="750837F0"/>
    <w:rsid w:val="754758CF"/>
    <w:rsid w:val="764F62AB"/>
    <w:rsid w:val="765C45EC"/>
    <w:rsid w:val="768A7619"/>
    <w:rsid w:val="772E1EBA"/>
    <w:rsid w:val="781926BC"/>
    <w:rsid w:val="78C01317"/>
    <w:rsid w:val="796D60A4"/>
    <w:rsid w:val="79A031D5"/>
    <w:rsid w:val="7A1525F7"/>
    <w:rsid w:val="7B420052"/>
    <w:rsid w:val="7BD06A28"/>
    <w:rsid w:val="7C3A7C0B"/>
    <w:rsid w:val="7C5248E4"/>
    <w:rsid w:val="7C566698"/>
    <w:rsid w:val="7C5866A3"/>
    <w:rsid w:val="7D7406BB"/>
    <w:rsid w:val="7DE94331"/>
    <w:rsid w:val="7F446A19"/>
    <w:rsid w:val="7F7452B9"/>
    <w:rsid w:val="7FE66CB0"/>
    <w:rsid w:val="B43FE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0"/>
    <w:basedOn w:val="9"/>
    <w:qFormat/>
    <w:uiPriority w:val="0"/>
    <w:rPr>
      <w:rFonts w:hint="default" w:ascii="Times New Roman" w:hAnsi="Times New Roman" w:cs="Times New Roman"/>
      <w:b/>
      <w:bCs/>
    </w:rPr>
  </w:style>
  <w:style w:type="character" w:customStyle="1" w:styleId="17">
    <w:name w:val="19"/>
    <w:basedOn w:val="9"/>
    <w:qFormat/>
    <w:uiPriority w:val="0"/>
    <w:rPr>
      <w:rFonts w:hint="default" w:ascii="Times New Roman" w:hAnsi="Times New Roman" w:cs="Times New Roman"/>
      <w:b/>
      <w:bCs/>
    </w:rPr>
  </w:style>
  <w:style w:type="character" w:customStyle="1" w:styleId="18">
    <w:name w:val="25"/>
    <w:basedOn w:val="9"/>
    <w:qFormat/>
    <w:uiPriority w:val="0"/>
    <w:rPr>
      <w:rFonts w:hint="default" w:ascii="Times New Roman" w:hAnsi="Times New Roman" w:cs="Times New Roman"/>
      <w:b/>
      <w:bCs/>
    </w:rPr>
  </w:style>
  <w:style w:type="paragraph" w:customStyle="1" w:styleId="19">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7945</Words>
  <Characters>9543</Characters>
  <Lines>190</Lines>
  <Paragraphs>53</Paragraphs>
  <TotalTime>18</TotalTime>
  <ScaleCrop>false</ScaleCrop>
  <LinksUpToDate>false</LinksUpToDate>
  <CharactersWithSpaces>10566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2024-10-08T11:09:58Z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5FC59882DE634346A3F09A1BFEEA682C_13</vt:lpwstr>
  </property>
</Properties>
</file>