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caps w:val="0"/>
          <w:color w:val="333333"/>
          <w:spacing w:val="0"/>
          <w:sz w:val="45"/>
          <w:szCs w:val="45"/>
          <w:bdr w:val="none" w:color="auto" w:sz="0" w:space="0"/>
          <w:shd w:val="clear" w:fill="FFFFFF"/>
        </w:rPr>
        <w:t>卫生健康部门随机抽查事项清单（2023年版）</w:t>
      </w:r>
    </w:p>
    <w:bookmarkEnd w:id="0"/>
    <w:tbl>
      <w:tblPr>
        <w:tblW w:w="8453" w:type="dxa"/>
        <w:jc w:val="center"/>
        <w:tblInd w:w="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93"/>
        <w:gridCol w:w="1054"/>
        <w:gridCol w:w="2273"/>
        <w:gridCol w:w="1066"/>
        <w:gridCol w:w="537"/>
        <w:gridCol w:w="439"/>
        <w:gridCol w:w="576"/>
        <w:gridCol w:w="21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93" w:type="dxa"/>
            <w:vMerge w:val="restart"/>
            <w:tcBorders>
              <w:top w:val="single" w:color="auto" w:sz="6" w:space="0"/>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ascii="Calibri" w:hAnsi="Calibri" w:cs="Calibri"/>
                <w:sz w:val="24"/>
                <w:szCs w:val="24"/>
              </w:rPr>
            </w:pPr>
            <w:r>
              <w:rPr>
                <w:rFonts w:hint="eastAsia" w:ascii="宋体" w:hAnsi="宋体" w:eastAsia="宋体" w:cs="宋体"/>
                <w:color w:val="333333"/>
                <w:sz w:val="21"/>
                <w:szCs w:val="21"/>
                <w:bdr w:val="none" w:color="auto" w:sz="0" w:space="0"/>
              </w:rPr>
              <w:t>序号</w:t>
            </w:r>
          </w:p>
        </w:tc>
        <w:tc>
          <w:tcPr>
            <w:tcW w:w="3327" w:type="dxa"/>
            <w:gridSpan w:val="2"/>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抽查项目</w:t>
            </w:r>
          </w:p>
        </w:tc>
        <w:tc>
          <w:tcPr>
            <w:tcW w:w="1066" w:type="dxa"/>
            <w:vMerge w:val="restart"/>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监督检查对象</w:t>
            </w:r>
          </w:p>
        </w:tc>
        <w:tc>
          <w:tcPr>
            <w:tcW w:w="537" w:type="dxa"/>
            <w:vMerge w:val="restart"/>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事项类别</w:t>
            </w:r>
          </w:p>
        </w:tc>
        <w:tc>
          <w:tcPr>
            <w:tcW w:w="439" w:type="dxa"/>
            <w:vMerge w:val="restart"/>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检查方式</w:t>
            </w:r>
          </w:p>
        </w:tc>
        <w:tc>
          <w:tcPr>
            <w:tcW w:w="576" w:type="dxa"/>
            <w:vMerge w:val="restart"/>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检查主体</w:t>
            </w:r>
          </w:p>
        </w:tc>
        <w:tc>
          <w:tcPr>
            <w:tcW w:w="2115" w:type="dxa"/>
            <w:vMerge w:val="restart"/>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检查依据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jc w:val="center"/>
        </w:trPr>
        <w:tc>
          <w:tcPr>
            <w:tcW w:w="393" w:type="dxa"/>
            <w:vMerge w:val="continue"/>
            <w:tcBorders>
              <w:top w:val="single" w:color="auto" w:sz="6" w:space="0"/>
              <w:left w:val="single" w:color="auto" w:sz="6" w:space="0"/>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c>
          <w:tcPr>
            <w:tcW w:w="1054"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抽查类别</w:t>
            </w:r>
          </w:p>
        </w:tc>
        <w:tc>
          <w:tcPr>
            <w:tcW w:w="227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eastAsia" w:ascii="宋体" w:hAnsi="宋体" w:eastAsia="宋体" w:cs="宋体"/>
                <w:color w:val="333333"/>
                <w:sz w:val="21"/>
                <w:szCs w:val="21"/>
                <w:bdr w:val="none" w:color="auto" w:sz="0" w:space="0"/>
              </w:rPr>
              <w:t>抽查事项</w:t>
            </w:r>
          </w:p>
        </w:tc>
        <w:tc>
          <w:tcPr>
            <w:tcW w:w="1066" w:type="dxa"/>
            <w:vMerge w:val="continue"/>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c>
          <w:tcPr>
            <w:tcW w:w="537" w:type="dxa"/>
            <w:vMerge w:val="continue"/>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c>
          <w:tcPr>
            <w:tcW w:w="439" w:type="dxa"/>
            <w:vMerge w:val="continue"/>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c>
          <w:tcPr>
            <w:tcW w:w="576" w:type="dxa"/>
            <w:vMerge w:val="continue"/>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c>
          <w:tcPr>
            <w:tcW w:w="2115" w:type="dxa"/>
            <w:vMerge w:val="continue"/>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245" w:hRule="atLeast"/>
          <w:jc w:val="center"/>
        </w:trPr>
        <w:tc>
          <w:tcPr>
            <w:tcW w:w="393"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1</w:t>
            </w:r>
          </w:p>
        </w:tc>
        <w:tc>
          <w:tcPr>
            <w:tcW w:w="1054"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医疗卫生监督检查</w:t>
            </w:r>
          </w:p>
        </w:tc>
        <w:tc>
          <w:tcPr>
            <w:tcW w:w="227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医疗机构、采供血机构及其从业人员的依法执业情况。</w:t>
            </w:r>
            <w:r>
              <w:rPr>
                <w:rFonts w:hint="default" w:ascii="Calibri" w:hAnsi="Calibri" w:cs="Calibri"/>
                <w:color w:val="333333"/>
                <w:sz w:val="21"/>
                <w:szCs w:val="21"/>
                <w:bdr w:val="none" w:color="auto" w:sz="0" w:space="0"/>
              </w:rPr>
              <w:t>  </w:t>
            </w:r>
          </w:p>
        </w:tc>
        <w:tc>
          <w:tcPr>
            <w:tcW w:w="106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医疗机构、采供血机构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537"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重点检查事项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《中华人民共和国执业医师法》《中华人民共和国献血法》《中华人民共和国基本医疗卫生与健康促进法》《医疗机构管理条例》《血站管理办法》《医疗机构临床用血管理办法》等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2</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放射卫生监督检查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1.</w:t>
            </w:r>
            <w:r>
              <w:rPr>
                <w:rFonts w:hint="eastAsia" w:ascii="宋体" w:hAnsi="宋体" w:eastAsia="宋体" w:cs="宋体"/>
                <w:color w:val="333333"/>
                <w:sz w:val="21"/>
                <w:szCs w:val="21"/>
                <w:bdr w:val="none" w:color="auto" w:sz="0" w:space="0"/>
              </w:rPr>
              <w:t>放射诊疗机构对相关法律法规、标准的执行情况。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2.</w:t>
            </w:r>
            <w:r>
              <w:rPr>
                <w:rFonts w:hint="eastAsia" w:ascii="宋体" w:hAnsi="宋体" w:eastAsia="宋体" w:cs="宋体"/>
                <w:color w:val="333333"/>
                <w:sz w:val="21"/>
                <w:szCs w:val="21"/>
                <w:bdr w:val="none" w:color="auto" w:sz="0" w:space="0"/>
              </w:rPr>
              <w:t>放射卫生技术服务机构依法开展放射卫生技术服务情况。</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放射诊疗机构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《中华人民共和国职业病防治法》《放射诊疗管理规定》《放射工作人员职业健康管理办法》等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3</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职业卫生监督检查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1.</w:t>
            </w:r>
            <w:r>
              <w:rPr>
                <w:rFonts w:hint="eastAsia" w:ascii="宋体" w:hAnsi="宋体" w:eastAsia="宋体" w:cs="宋体"/>
                <w:color w:val="333333"/>
                <w:sz w:val="21"/>
                <w:szCs w:val="21"/>
                <w:bdr w:val="none" w:color="auto" w:sz="0" w:space="0"/>
              </w:rPr>
              <w:t>存在职业病危害因素的企业对相关法律法规、标准的执行情况。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2.</w:t>
            </w:r>
            <w:r>
              <w:rPr>
                <w:rFonts w:hint="eastAsia" w:ascii="宋体" w:hAnsi="宋体" w:eastAsia="宋体" w:cs="宋体"/>
                <w:color w:val="333333"/>
                <w:sz w:val="21"/>
                <w:szCs w:val="21"/>
                <w:bdr w:val="none" w:color="auto" w:sz="0" w:space="0"/>
              </w:rPr>
              <w:t>职业健康检查机构、职业病诊断机构、职业病鉴定机构对相关法律法规、标准的执行情况。</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存在职业病危害的用人单位、职业健康检查机构、职业病诊断、鉴定机构</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《中华人民共和国职业病防治法》《职业病诊断与鉴定管理办法》《职业健康检查管理办法》《工作场所职业卫生管理规定》等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4</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传染病防治监督检查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对医疗卫生机构（疾控机构、医疗机构、采供血机构）预防接种、传染病疫情报告、传染病疫情控制措施、消毒隔离制度执行情况、医疗废物废水处置及病原微生物实验室生物安全管理等开展卫生监督检查。</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医疗机构、疾病预防控制机构、采供血机构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重点检查事项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传染病防治法》《中华人民共和国疫苗管理法》《中华人民共和国生物安全法》《医疗废物管理条例》《病原微生物实验室生物安全管理条例》《消毒管理办法》《医院感染管理办法》《医疗质量管理办法》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5</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消毒产品及餐（饮）具集中消毒服务单位监督检查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1.</w:t>
            </w:r>
            <w:r>
              <w:rPr>
                <w:rFonts w:hint="eastAsia" w:ascii="宋体" w:hAnsi="宋体" w:eastAsia="宋体" w:cs="宋体"/>
                <w:color w:val="333333"/>
                <w:sz w:val="21"/>
                <w:szCs w:val="21"/>
                <w:bdr w:val="none" w:color="auto" w:sz="0" w:space="0"/>
              </w:rPr>
              <w:t>对消毒产品生产企业、进口消毒产品在华责任单位以及消毒产品的经营、使用单位进行卫生监督检查及抽检。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2.</w:t>
            </w:r>
            <w:r>
              <w:rPr>
                <w:rFonts w:hint="eastAsia" w:ascii="宋体" w:hAnsi="宋体" w:eastAsia="宋体" w:cs="宋体"/>
                <w:color w:val="333333"/>
                <w:sz w:val="21"/>
                <w:szCs w:val="21"/>
                <w:bdr w:val="none" w:color="auto" w:sz="0" w:space="0"/>
              </w:rPr>
              <w:t>对餐饮具集中消毒服务单位作业场所、清洗消毒设备或者设施、生产用水和使用的洗涤剂消毒剂、餐饮具的出厂检验情况、餐饮具包装标识等开展监督检查。</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消毒产品生产企业、进口消毒产品在华责任单位、消毒产品的经营和使用单位</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传染病防治法》《中华人民共和国食品安全法》《消毒管理办法》《消毒产品生产企业卫生许可规定》《消毒产品标签说明书管理办法》《国务院关于加强食品等产品安全监督管理的特别规定》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6</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公共场所卫生监督检查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对公共场所卫生许可情况、从业人员健康情况、卫生管理制度落实情况等开展监督检查，开展公共场所卫生监督抽检。</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公共场所、生活饮用水供水单位、涉水产品生产经营单位。</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《中华人民共和国传染病防治法》《艾滋病防治条例》《公共场所卫生管理条例》《公共场所卫生管理条例实施细则》等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7</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生活饮用水卫生监督检查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对供水单位卫生许可情况、从业人员健康情况、卫生管理制度落实情况开展监督检查；对涉及饮用水卫生安全产品开展监督检查；对生活饮用水、涉水产品开展卫生监督抽检。</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餐具、饮具集中消毒生产企业</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《中华人民共和国传染病防治法》《生活饮用水卫生监督管理办法》等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8</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学校卫生监督检查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监督检查教学和生活环境卫生、传染病和常见病防控、学校饮用水以及学校内游泳场所的卫生管理情况，抽查教室采光照明和水质。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中小学校、高校</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《中华人民共和国传染病防治法》《学校卫生工作条例》《公共场所卫生管理条例实施细则》《生活饮用水卫生监督管理办法》等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485" w:hRule="atLeast"/>
          <w:jc w:val="center"/>
        </w:trPr>
        <w:tc>
          <w:tcPr>
            <w:tcW w:w="393" w:type="dxa"/>
            <w:tcBorders>
              <w:top w:val="nil"/>
              <w:left w:val="single" w:color="auto" w:sz="6" w:space="0"/>
              <w:bottom w:val="single" w:color="auto" w:sz="6" w:space="0"/>
              <w:right w:val="single"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jc w:val="center"/>
              <w:rPr>
                <w:rFonts w:hint="default" w:ascii="Calibri" w:hAnsi="Calibri" w:cs="Calibri"/>
                <w:sz w:val="24"/>
                <w:szCs w:val="24"/>
              </w:rPr>
            </w:pPr>
            <w:r>
              <w:rPr>
                <w:rFonts w:hint="default" w:ascii="Calibri" w:hAnsi="Calibri" w:cs="Calibri"/>
                <w:color w:val="333333"/>
                <w:sz w:val="21"/>
                <w:szCs w:val="21"/>
                <w:bdr w:val="none" w:color="auto" w:sz="0" w:space="0"/>
              </w:rPr>
              <w:t>9</w:t>
            </w:r>
          </w:p>
        </w:tc>
        <w:tc>
          <w:tcPr>
            <w:tcW w:w="1054"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母婴保健与计划生育监督检查</w:t>
            </w:r>
          </w:p>
        </w:tc>
        <w:tc>
          <w:tcPr>
            <w:tcW w:w="2273"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监督检查从事计划生育技术服务的机构及人员的依法执业情况，对打击非医学需要的胎儿性别鉴定和选择性别的人工终止妊娠行为开展监督检查。</w:t>
            </w:r>
          </w:p>
        </w:tc>
        <w:tc>
          <w:tcPr>
            <w:tcW w:w="106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从事母婴保健技术服务和计划生育技术服务的机构</w:t>
            </w:r>
          </w:p>
        </w:tc>
        <w:tc>
          <w:tcPr>
            <w:tcW w:w="537"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一般检查事项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default" w:ascii="Calibri" w:hAnsi="Calibri" w:cs="Calibri"/>
                <w:color w:val="333333"/>
                <w:sz w:val="21"/>
                <w:szCs w:val="21"/>
                <w:bdr w:val="none" w:color="auto" w:sz="0" w:space="0"/>
              </w:rPr>
              <w:t> </w:t>
            </w:r>
          </w:p>
        </w:tc>
        <w:tc>
          <w:tcPr>
            <w:tcW w:w="439"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现场检查</w:t>
            </w:r>
          </w:p>
        </w:tc>
        <w:tc>
          <w:tcPr>
            <w:tcW w:w="576"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县级以上卫生健康行政部门</w:t>
            </w:r>
          </w:p>
        </w:tc>
        <w:tc>
          <w:tcPr>
            <w:tcW w:w="2115" w:type="dxa"/>
            <w:tcBorders>
              <w:top w:val="nil"/>
              <w:left w:val="nil"/>
              <w:bottom w:val="single" w:color="auto" w:sz="6" w:space="0"/>
              <w:right w:val="single"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5" w:lineRule="atLeast"/>
              <w:ind w:left="0" w:right="0"/>
              <w:rPr>
                <w:rFonts w:hint="default" w:ascii="Calibri" w:hAnsi="Calibri" w:cs="Calibri"/>
                <w:sz w:val="24"/>
                <w:szCs w:val="24"/>
              </w:rPr>
            </w:pPr>
            <w:r>
              <w:rPr>
                <w:rFonts w:hint="eastAsia" w:ascii="宋体" w:hAnsi="宋体" w:eastAsia="宋体" w:cs="宋体"/>
                <w:color w:val="333333"/>
                <w:sz w:val="21"/>
                <w:szCs w:val="21"/>
                <w:bdr w:val="none" w:color="auto" w:sz="0" w:space="0"/>
              </w:rPr>
              <w:t>《中华人民共和国人口与计划生育法》《中华人民共和国执业医师法》《医疗机构管理条例》《中华人民共和国母婴保健法实施办法》《人类辅助生殖技术管理办法》《人类精子库管理办法》《产前诊断技术管理办法》《新生儿疾病筛查管理办法》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Calibri" w:hAnsi="Calibri" w:eastAsia="微软雅黑" w:cs="Calibri"/>
          <w:i w:val="0"/>
          <w:caps w:val="0"/>
          <w:color w:val="333333"/>
          <w:spacing w:val="0"/>
          <w:sz w:val="21"/>
          <w:szCs w:val="21"/>
          <w:bdr w:val="none" w:color="auto" w:sz="0" w:space="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92A4E"/>
    <w:rsid w:val="2F79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2024-09-19T01:53:00Z</dcterms:created>
  <dc:creator>Administrator</dc:creator>
  <cp:lastModifiedBy>Administrator</cp:lastModifiedBy>
  <dcterms:modified xsi:type="dcterms:W3CDTF">2024-09-19T01:54:06Z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