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巫溪县乌龙乡卫生院</w:t>
      </w:r>
    </w:p>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一、</w:t>
      </w:r>
      <w:r>
        <w:rPr>
          <w:rStyle w:val="9"/>
          <w:rFonts w:hint="eastAsia" w:ascii="黑体" w:hAnsi="黑体" w:eastAsia="黑体" w:cs="黑体"/>
          <w:sz w:val="32"/>
          <w:szCs w:val="32"/>
          <w:shd w:val="clear" w:color="auto" w:fill="FFFFFF"/>
          <w:lang w:eastAsia="zh-CN"/>
        </w:rPr>
        <w:t>单位</w:t>
      </w:r>
      <w:r>
        <w:rPr>
          <w:rStyle w:val="9"/>
          <w:rFonts w:ascii="黑体" w:hAnsi="黑体" w:eastAsia="黑体" w:cs="黑体"/>
          <w:sz w:val="32"/>
          <w:szCs w:val="32"/>
          <w:shd w:val="clear" w:color="auto" w:fill="FFFFFF"/>
        </w:rPr>
        <w:t>基本情况</w:t>
      </w:r>
      <w:bookmarkStart w:id="0" w:name="_GoBack"/>
      <w:bookmarkEnd w:id="0"/>
    </w:p>
    <w:p>
      <w:pPr>
        <w:pStyle w:val="6"/>
        <w:shd w:val="clear" w:color="auto" w:fill="FFFFFF"/>
        <w:ind w:firstLine="420"/>
        <w:rPr>
          <w:rStyle w:val="9"/>
          <w:rFonts w:ascii="楷体" w:hAnsi="楷体" w:eastAsia="楷体" w:cs="楷体"/>
          <w:sz w:val="32"/>
          <w:szCs w:val="32"/>
          <w:highlight w:val="none"/>
          <w:shd w:val="clear" w:color="auto" w:fill="FFFFFF"/>
        </w:rPr>
      </w:pPr>
      <w:r>
        <w:rPr>
          <w:rStyle w:val="9"/>
          <w:rFonts w:ascii="楷体" w:hAnsi="楷体" w:eastAsia="楷体" w:cs="楷体"/>
          <w:sz w:val="32"/>
          <w:szCs w:val="32"/>
          <w:highlight w:val="none"/>
          <w:shd w:val="clear" w:color="auto" w:fill="FFFFFF"/>
        </w:rPr>
        <w:t>（一）职能职责</w:t>
      </w:r>
    </w:p>
    <w:p>
      <w:pPr>
        <w:pStyle w:val="6"/>
        <w:shd w:val="clear" w:color="auto" w:fill="FFFFFF"/>
        <w:ind w:firstLine="880" w:firstLineChars="275"/>
        <w:rPr>
          <w:rFonts w:hint="eastAsia" w:ascii="方正仿宋_GBK" w:hAnsi="方正仿宋_GBK" w:eastAsia="方正仿宋_GBK" w:cs="方正仿宋_GBK"/>
          <w:kern w:val="2"/>
          <w:sz w:val="32"/>
          <w:szCs w:val="32"/>
          <w:highlight w:val="none"/>
          <w:shd w:val="clear" w:fill="FFFFFF"/>
        </w:rPr>
      </w:pPr>
      <w:r>
        <w:rPr>
          <w:rFonts w:hint="eastAsia" w:ascii="方正仿宋_GBK" w:hAnsi="方正仿宋_GBK" w:eastAsia="方正仿宋_GBK" w:cs="方正仿宋_GBK"/>
          <w:kern w:val="1"/>
          <w:sz w:val="32"/>
          <w:szCs w:val="32"/>
          <w:highlight w:val="none"/>
          <w:shd w:val="clear" w:fill="FFFFFF"/>
        </w:rPr>
        <w:t>巫溪县</w:t>
      </w:r>
      <w:r>
        <w:rPr>
          <w:rFonts w:hint="eastAsia" w:ascii="方正仿宋_GBK" w:hAnsi="方正仿宋_GBK" w:eastAsia="方正仿宋_GBK" w:cs="方正仿宋_GBK"/>
          <w:kern w:val="1"/>
          <w:sz w:val="32"/>
          <w:szCs w:val="32"/>
          <w:highlight w:val="none"/>
          <w:shd w:val="clear" w:fill="FFFFFF"/>
          <w:lang w:val="en-US" w:eastAsia="zh-CN"/>
        </w:rPr>
        <w:t>乌龙</w:t>
      </w:r>
      <w:r>
        <w:rPr>
          <w:rFonts w:hint="eastAsia" w:ascii="方正仿宋_GBK" w:hAnsi="方正仿宋_GBK" w:eastAsia="方正仿宋_GBK" w:cs="方正仿宋_GBK"/>
          <w:kern w:val="1"/>
          <w:sz w:val="32"/>
          <w:szCs w:val="32"/>
          <w:highlight w:val="none"/>
          <w:shd w:val="clear" w:fill="FFFFFF"/>
        </w:rPr>
        <w:t>乡卫生院是由政府举办，不以营利为目的，具有公共卫生性质的公益性事业单位，</w:t>
      </w:r>
      <w:r>
        <w:rPr>
          <w:rFonts w:hint="eastAsia" w:ascii="方正仿宋_GBK" w:hAnsi="方正仿宋_GBK" w:eastAsia="方正仿宋_GBK" w:cs="方正仿宋_GBK"/>
          <w:kern w:val="2"/>
          <w:sz w:val="32"/>
          <w:szCs w:val="32"/>
          <w:highlight w:val="none"/>
          <w:shd w:val="clear" w:fill="FFFFFF"/>
        </w:rPr>
        <w:t>具体工作职责如下：</w:t>
      </w:r>
    </w:p>
    <w:p>
      <w:pPr>
        <w:pStyle w:val="14"/>
        <w:keepNext w:val="0"/>
        <w:keepLines w:val="0"/>
        <w:pageBreakBefore w:val="0"/>
        <w:widowControl/>
        <w:suppressLineNumbers w:val="0"/>
        <w:kinsoku/>
        <w:wordWrap/>
        <w:overflowPunct/>
        <w:topLinePunct w:val="0"/>
        <w:autoSpaceDE w:val="0"/>
        <w:autoSpaceDN/>
        <w:bidi w:val="0"/>
        <w:adjustRightInd/>
        <w:snapToGrid/>
        <w:spacing w:beforeAutospacing="0" w:afterAutospacing="0" w:line="600" w:lineRule="exact"/>
        <w:ind w:left="0" w:firstLine="643" w:firstLineChars="200"/>
        <w:jc w:val="both"/>
        <w:textAlignment w:val="auto"/>
        <w:rPr>
          <w:rFonts w:hint="eastAsia" w:ascii="方正仿宋_GBK" w:hAnsi="方正仿宋_GBK" w:eastAsia="方正仿宋_GBK" w:cs="方正仿宋_GBK"/>
          <w:b/>
          <w:bCs/>
          <w:kern w:val="2"/>
          <w:sz w:val="32"/>
          <w:szCs w:val="32"/>
          <w:highlight w:val="none"/>
        </w:rPr>
      </w:pPr>
      <w:r>
        <w:rPr>
          <w:rFonts w:hint="eastAsia" w:ascii="方正仿宋_GBK" w:hAnsi="方正仿宋_GBK" w:eastAsia="方正仿宋_GBK" w:cs="方正仿宋_GBK"/>
          <w:b/>
          <w:bCs/>
          <w:kern w:val="2"/>
          <w:sz w:val="32"/>
          <w:szCs w:val="32"/>
          <w:highlight w:val="none"/>
        </w:rPr>
        <w:t>1</w:t>
      </w:r>
      <w:r>
        <w:rPr>
          <w:rFonts w:hint="eastAsia" w:ascii="方正仿宋_GBK" w:hAnsi="方正仿宋_GBK" w:eastAsia="方正仿宋_GBK" w:cs="方正仿宋_GBK"/>
          <w:b/>
          <w:bCs/>
          <w:kern w:val="2"/>
          <w:sz w:val="32"/>
          <w:szCs w:val="32"/>
          <w:highlight w:val="none"/>
          <w:lang w:eastAsia="zh-CN"/>
        </w:rPr>
        <w:t>.</w:t>
      </w:r>
      <w:r>
        <w:rPr>
          <w:rFonts w:hint="eastAsia" w:ascii="方正仿宋_GBK" w:hAnsi="方正仿宋_GBK" w:eastAsia="方正仿宋_GBK" w:cs="方正仿宋_GBK"/>
          <w:b/>
          <w:bCs/>
          <w:kern w:val="2"/>
          <w:sz w:val="32"/>
          <w:szCs w:val="32"/>
          <w:highlight w:val="none"/>
        </w:rPr>
        <w:t>提供公共卫生服务</w:t>
      </w:r>
    </w:p>
    <w:p>
      <w:pPr>
        <w:pStyle w:val="14"/>
        <w:keepNext w:val="0"/>
        <w:keepLines w:val="0"/>
        <w:pageBreakBefore w:val="0"/>
        <w:widowControl/>
        <w:suppressLineNumbers w:val="0"/>
        <w:kinsoku/>
        <w:wordWrap/>
        <w:overflowPunct/>
        <w:topLinePunct w:val="0"/>
        <w:autoSpaceDE w:val="0"/>
        <w:autoSpaceDN/>
        <w:bidi w:val="0"/>
        <w:adjustRightInd/>
        <w:snapToGrid/>
        <w:spacing w:beforeAutospacing="0" w:afterAutospacing="0" w:line="600" w:lineRule="exact"/>
        <w:ind w:left="0" w:firstLine="640" w:firstLineChars="200"/>
        <w:jc w:val="both"/>
        <w:textAlignment w:val="auto"/>
        <w:rPr>
          <w:rFonts w:hint="eastAsia" w:ascii="方正仿宋_GBK" w:hAnsi="方正仿宋_GBK" w:eastAsia="方正仿宋_GBK" w:cs="方正仿宋_GBK"/>
          <w:kern w:val="2"/>
          <w:sz w:val="32"/>
          <w:szCs w:val="32"/>
          <w:highlight w:val="none"/>
        </w:rPr>
      </w:pPr>
      <w:r>
        <w:rPr>
          <w:rFonts w:hint="eastAsia" w:ascii="方正仿宋_GBK" w:hAnsi="方正仿宋_GBK" w:eastAsia="方正仿宋_GBK" w:cs="方正仿宋_GBK"/>
          <w:kern w:val="2"/>
          <w:sz w:val="32"/>
          <w:szCs w:val="32"/>
          <w:highlight w:val="none"/>
        </w:rPr>
        <w:t>（1）承担本乡农村居民健康档案规范建档指导、管理及服务。</w:t>
      </w:r>
    </w:p>
    <w:p>
      <w:pPr>
        <w:pStyle w:val="14"/>
        <w:keepNext w:val="0"/>
        <w:keepLines w:val="0"/>
        <w:pageBreakBefore w:val="0"/>
        <w:widowControl/>
        <w:suppressLineNumbers w:val="0"/>
        <w:kinsoku/>
        <w:wordWrap/>
        <w:overflowPunct/>
        <w:topLinePunct w:val="0"/>
        <w:autoSpaceDE w:val="0"/>
        <w:autoSpaceDN/>
        <w:bidi w:val="0"/>
        <w:adjustRightInd/>
        <w:snapToGrid/>
        <w:spacing w:beforeAutospacing="0" w:afterAutospacing="0" w:line="600" w:lineRule="exact"/>
        <w:ind w:left="0" w:firstLine="640" w:firstLineChars="200"/>
        <w:jc w:val="both"/>
        <w:textAlignment w:val="auto"/>
        <w:rPr>
          <w:rFonts w:hint="eastAsia" w:ascii="方正仿宋_GBK" w:hAnsi="方正仿宋_GBK" w:eastAsia="方正仿宋_GBK" w:cs="方正仿宋_GBK"/>
          <w:kern w:val="2"/>
          <w:sz w:val="32"/>
          <w:szCs w:val="32"/>
          <w:highlight w:val="none"/>
        </w:rPr>
      </w:pPr>
      <w:r>
        <w:rPr>
          <w:rFonts w:hint="eastAsia" w:ascii="方正仿宋_GBK" w:hAnsi="方正仿宋_GBK" w:eastAsia="方正仿宋_GBK" w:cs="方正仿宋_GBK"/>
          <w:kern w:val="2"/>
          <w:sz w:val="32"/>
          <w:szCs w:val="32"/>
          <w:highlight w:val="none"/>
        </w:rPr>
        <w:t>（2）普及卫生保健常识，在重点人群和重点场所开展健康教育，帮助居民形成有利于维护和增进健康的行为方式</w:t>
      </w:r>
      <w:r>
        <w:rPr>
          <w:rFonts w:hint="eastAsia" w:ascii="方正仿宋_GBK" w:hAnsi="方正仿宋_GBK" w:eastAsia="方正仿宋_GBK" w:cs="方正仿宋_GBK"/>
          <w:kern w:val="2"/>
          <w:sz w:val="32"/>
          <w:szCs w:val="32"/>
          <w:highlight w:val="none"/>
          <w:lang w:eastAsia="zh-CN"/>
        </w:rPr>
        <w:t>；</w:t>
      </w:r>
      <w:r>
        <w:rPr>
          <w:rFonts w:hint="eastAsia" w:ascii="方正仿宋_GBK" w:hAnsi="方正仿宋_GBK" w:eastAsia="方正仿宋_GBK" w:cs="方正仿宋_GBK"/>
          <w:kern w:val="2"/>
          <w:sz w:val="32"/>
          <w:szCs w:val="32"/>
          <w:highlight w:val="none"/>
        </w:rPr>
        <w:t>指导开展爱国卫生工作。</w:t>
      </w:r>
    </w:p>
    <w:p>
      <w:pPr>
        <w:pStyle w:val="14"/>
        <w:keepNext w:val="0"/>
        <w:keepLines w:val="0"/>
        <w:pageBreakBefore w:val="0"/>
        <w:widowControl/>
        <w:suppressLineNumbers w:val="0"/>
        <w:kinsoku/>
        <w:wordWrap/>
        <w:overflowPunct/>
        <w:topLinePunct w:val="0"/>
        <w:autoSpaceDE w:val="0"/>
        <w:autoSpaceDN/>
        <w:bidi w:val="0"/>
        <w:adjustRightInd/>
        <w:snapToGrid/>
        <w:spacing w:beforeAutospacing="0" w:afterAutospacing="0" w:line="600" w:lineRule="exact"/>
        <w:ind w:left="0" w:firstLine="640" w:firstLineChars="200"/>
        <w:jc w:val="both"/>
        <w:textAlignment w:val="auto"/>
        <w:rPr>
          <w:rFonts w:hint="eastAsia" w:ascii="方正仿宋_GBK" w:hAnsi="方正仿宋_GBK" w:eastAsia="方正仿宋_GBK" w:cs="方正仿宋_GBK"/>
          <w:kern w:val="2"/>
          <w:sz w:val="32"/>
          <w:szCs w:val="32"/>
          <w:highlight w:val="none"/>
        </w:rPr>
      </w:pPr>
      <w:r>
        <w:rPr>
          <w:rFonts w:hint="eastAsia" w:ascii="方正仿宋_GBK" w:hAnsi="方正仿宋_GBK" w:eastAsia="方正仿宋_GBK" w:cs="方正仿宋_GBK"/>
          <w:kern w:val="2"/>
          <w:sz w:val="32"/>
          <w:szCs w:val="32"/>
          <w:highlight w:val="none"/>
        </w:rPr>
        <w:t>（3）提供并组织实施本乡预防接种服务，落实国家免疫规划。</w:t>
      </w:r>
    </w:p>
    <w:p>
      <w:pPr>
        <w:pStyle w:val="14"/>
        <w:keepNext w:val="0"/>
        <w:keepLines w:val="0"/>
        <w:pageBreakBefore w:val="0"/>
        <w:widowControl/>
        <w:suppressLineNumbers w:val="0"/>
        <w:kinsoku/>
        <w:wordWrap/>
        <w:overflowPunct/>
        <w:topLinePunct w:val="0"/>
        <w:autoSpaceDE w:val="0"/>
        <w:autoSpaceDN/>
        <w:bidi w:val="0"/>
        <w:adjustRightInd/>
        <w:snapToGrid/>
        <w:spacing w:beforeAutospacing="0" w:afterAutospacing="0" w:line="600" w:lineRule="exact"/>
        <w:ind w:left="0" w:firstLine="640" w:firstLineChars="200"/>
        <w:jc w:val="both"/>
        <w:textAlignment w:val="auto"/>
        <w:rPr>
          <w:rFonts w:hint="eastAsia" w:ascii="方正仿宋_GBK" w:hAnsi="方正仿宋_GBK" w:eastAsia="方正仿宋_GBK" w:cs="方正仿宋_GBK"/>
          <w:kern w:val="2"/>
          <w:sz w:val="32"/>
          <w:szCs w:val="32"/>
          <w:highlight w:val="none"/>
        </w:rPr>
      </w:pPr>
      <w:r>
        <w:rPr>
          <w:rFonts w:hint="eastAsia" w:ascii="方正仿宋_GBK" w:hAnsi="方正仿宋_GBK" w:eastAsia="方正仿宋_GBK" w:cs="方正仿宋_GBK"/>
          <w:kern w:val="2"/>
          <w:sz w:val="32"/>
          <w:szCs w:val="32"/>
          <w:highlight w:val="none"/>
        </w:rPr>
        <w:t>（4）及时发现、登记并报告本镇内发现的传染病病例和疑似病例</w:t>
      </w:r>
      <w:r>
        <w:rPr>
          <w:rFonts w:hint="eastAsia" w:ascii="方正仿宋_GBK" w:hAnsi="方正仿宋_GBK" w:eastAsia="方正仿宋_GBK" w:cs="方正仿宋_GBK"/>
          <w:kern w:val="2"/>
          <w:sz w:val="32"/>
          <w:szCs w:val="32"/>
          <w:highlight w:val="none"/>
          <w:lang w:eastAsia="zh-CN"/>
        </w:rPr>
        <w:t>，</w:t>
      </w:r>
      <w:r>
        <w:rPr>
          <w:rFonts w:hint="eastAsia" w:ascii="方正仿宋_GBK" w:hAnsi="方正仿宋_GBK" w:eastAsia="方正仿宋_GBK" w:cs="方正仿宋_GBK"/>
          <w:kern w:val="2"/>
          <w:sz w:val="32"/>
          <w:szCs w:val="32"/>
          <w:highlight w:val="none"/>
        </w:rPr>
        <w:t>参与现场疫情管理。</w:t>
      </w:r>
    </w:p>
    <w:p>
      <w:pPr>
        <w:pStyle w:val="14"/>
        <w:keepNext w:val="0"/>
        <w:keepLines w:val="0"/>
        <w:pageBreakBefore w:val="0"/>
        <w:widowControl/>
        <w:suppressLineNumbers w:val="0"/>
        <w:kinsoku/>
        <w:wordWrap/>
        <w:overflowPunct/>
        <w:topLinePunct w:val="0"/>
        <w:autoSpaceDE w:val="0"/>
        <w:autoSpaceDN/>
        <w:bidi w:val="0"/>
        <w:adjustRightInd/>
        <w:snapToGrid/>
        <w:spacing w:beforeAutospacing="0" w:afterAutospacing="0" w:line="600" w:lineRule="exact"/>
        <w:ind w:left="0" w:firstLine="640" w:firstLineChars="200"/>
        <w:jc w:val="both"/>
        <w:textAlignment w:val="auto"/>
        <w:rPr>
          <w:rFonts w:hint="eastAsia" w:ascii="方正仿宋_GBK" w:hAnsi="方正仿宋_GBK" w:eastAsia="方正仿宋_GBK" w:cs="方正仿宋_GBK"/>
          <w:kern w:val="2"/>
          <w:sz w:val="32"/>
          <w:szCs w:val="32"/>
          <w:highlight w:val="none"/>
        </w:rPr>
      </w:pPr>
      <w:r>
        <w:rPr>
          <w:rFonts w:hint="eastAsia" w:ascii="方正仿宋_GBK" w:hAnsi="方正仿宋_GBK" w:eastAsia="方正仿宋_GBK" w:cs="方正仿宋_GBK"/>
          <w:kern w:val="2"/>
          <w:sz w:val="32"/>
          <w:szCs w:val="32"/>
          <w:highlight w:val="none"/>
        </w:rPr>
        <w:t>（5）开展新生儿访视及儿童保健系统管理，进行体格检查和生长发育和监测及评价，开展健康指导。</w:t>
      </w:r>
    </w:p>
    <w:p>
      <w:pPr>
        <w:pStyle w:val="14"/>
        <w:keepNext w:val="0"/>
        <w:keepLines w:val="0"/>
        <w:pageBreakBefore w:val="0"/>
        <w:widowControl/>
        <w:suppressLineNumbers w:val="0"/>
        <w:kinsoku/>
        <w:wordWrap/>
        <w:overflowPunct/>
        <w:topLinePunct w:val="0"/>
        <w:autoSpaceDE w:val="0"/>
        <w:autoSpaceDN/>
        <w:bidi w:val="0"/>
        <w:adjustRightInd/>
        <w:snapToGrid/>
        <w:spacing w:beforeAutospacing="0" w:afterAutospacing="0" w:line="600" w:lineRule="exact"/>
        <w:ind w:left="0" w:firstLine="640" w:firstLineChars="200"/>
        <w:jc w:val="both"/>
        <w:textAlignment w:val="auto"/>
        <w:rPr>
          <w:rFonts w:hint="eastAsia" w:ascii="方正仿宋_GBK" w:hAnsi="方正仿宋_GBK" w:eastAsia="方正仿宋_GBK" w:cs="方正仿宋_GBK"/>
          <w:kern w:val="2"/>
          <w:sz w:val="32"/>
          <w:szCs w:val="32"/>
          <w:highlight w:val="none"/>
        </w:rPr>
      </w:pPr>
      <w:r>
        <w:rPr>
          <w:rFonts w:hint="eastAsia" w:ascii="方正仿宋_GBK" w:hAnsi="方正仿宋_GBK" w:eastAsia="方正仿宋_GBK" w:cs="方正仿宋_GBK"/>
          <w:kern w:val="2"/>
          <w:sz w:val="32"/>
          <w:szCs w:val="32"/>
          <w:highlight w:val="none"/>
        </w:rPr>
        <w:t>（6）开展孕产妇保健系统管理和产后访视，进行一般体格检查及孕期营养，心理等健康指导。</w:t>
      </w:r>
    </w:p>
    <w:p>
      <w:pPr>
        <w:pStyle w:val="14"/>
        <w:keepNext w:val="0"/>
        <w:keepLines w:val="0"/>
        <w:pageBreakBefore w:val="0"/>
        <w:widowControl/>
        <w:suppressLineNumbers w:val="0"/>
        <w:kinsoku/>
        <w:wordWrap/>
        <w:overflowPunct/>
        <w:topLinePunct w:val="0"/>
        <w:autoSpaceDE w:val="0"/>
        <w:autoSpaceDN/>
        <w:bidi w:val="0"/>
        <w:adjustRightInd/>
        <w:snapToGrid/>
        <w:spacing w:beforeAutospacing="0" w:afterAutospacing="0" w:line="600" w:lineRule="exact"/>
        <w:ind w:left="0" w:firstLine="640" w:firstLineChars="200"/>
        <w:jc w:val="both"/>
        <w:textAlignment w:val="auto"/>
        <w:rPr>
          <w:rFonts w:hint="eastAsia" w:ascii="方正仿宋_GBK" w:hAnsi="方正仿宋_GBK" w:eastAsia="方正仿宋_GBK" w:cs="方正仿宋_GBK"/>
          <w:kern w:val="2"/>
          <w:sz w:val="32"/>
          <w:szCs w:val="32"/>
          <w:highlight w:val="none"/>
        </w:rPr>
      </w:pPr>
      <w:r>
        <w:rPr>
          <w:rFonts w:hint="eastAsia" w:ascii="方正仿宋_GBK" w:hAnsi="方正仿宋_GBK" w:eastAsia="方正仿宋_GBK" w:cs="方正仿宋_GBK"/>
          <w:kern w:val="2"/>
          <w:sz w:val="32"/>
          <w:szCs w:val="32"/>
          <w:highlight w:val="none"/>
        </w:rPr>
        <w:t>（7）对本乡65岁及以上老年人进行登记管理，进行健康危险因素调查和一般体格检查，开展健康指导。</w:t>
      </w:r>
    </w:p>
    <w:p>
      <w:pPr>
        <w:pStyle w:val="14"/>
        <w:keepNext w:val="0"/>
        <w:keepLines w:val="0"/>
        <w:pageBreakBefore w:val="0"/>
        <w:widowControl/>
        <w:suppressLineNumbers w:val="0"/>
        <w:kinsoku/>
        <w:wordWrap/>
        <w:overflowPunct/>
        <w:topLinePunct w:val="0"/>
        <w:autoSpaceDE w:val="0"/>
        <w:autoSpaceDN/>
        <w:bidi w:val="0"/>
        <w:adjustRightInd/>
        <w:snapToGrid/>
        <w:spacing w:beforeAutospacing="0" w:afterAutospacing="0" w:line="600" w:lineRule="exact"/>
        <w:ind w:left="0" w:firstLine="640" w:firstLineChars="200"/>
        <w:jc w:val="both"/>
        <w:textAlignment w:val="auto"/>
        <w:rPr>
          <w:rFonts w:hint="eastAsia" w:ascii="方正仿宋_GBK" w:hAnsi="方正仿宋_GBK" w:eastAsia="方正仿宋_GBK" w:cs="方正仿宋_GBK"/>
          <w:kern w:val="2"/>
          <w:sz w:val="32"/>
          <w:szCs w:val="32"/>
          <w:highlight w:val="none"/>
        </w:rPr>
      </w:pPr>
      <w:r>
        <w:rPr>
          <w:rFonts w:hint="eastAsia" w:ascii="方正仿宋_GBK" w:hAnsi="方正仿宋_GBK" w:eastAsia="方正仿宋_GBK" w:cs="方正仿宋_GBK"/>
          <w:kern w:val="2"/>
          <w:sz w:val="32"/>
          <w:szCs w:val="32"/>
          <w:highlight w:val="none"/>
        </w:rPr>
        <w:t>（8）对高血压、糖尿病等慢性病高危人群进行指导，对确诊高血压、糖尿病等慢性疾病进行登记管理，定期随访和健康指导。</w:t>
      </w:r>
    </w:p>
    <w:p>
      <w:pPr>
        <w:pStyle w:val="14"/>
        <w:keepNext w:val="0"/>
        <w:keepLines w:val="0"/>
        <w:pageBreakBefore w:val="0"/>
        <w:widowControl/>
        <w:suppressLineNumbers w:val="0"/>
        <w:kinsoku/>
        <w:wordWrap/>
        <w:overflowPunct/>
        <w:topLinePunct w:val="0"/>
        <w:autoSpaceDE w:val="0"/>
        <w:autoSpaceDN/>
        <w:bidi w:val="0"/>
        <w:adjustRightInd/>
        <w:snapToGrid/>
        <w:spacing w:beforeAutospacing="0" w:afterAutospacing="0" w:line="600" w:lineRule="exact"/>
        <w:ind w:left="0" w:firstLine="640" w:firstLineChars="200"/>
        <w:jc w:val="both"/>
        <w:textAlignment w:val="auto"/>
        <w:rPr>
          <w:rFonts w:hint="eastAsia" w:ascii="方正仿宋_GBK" w:hAnsi="方正仿宋_GBK" w:eastAsia="方正仿宋_GBK" w:cs="方正仿宋_GBK"/>
          <w:kern w:val="2"/>
          <w:sz w:val="32"/>
          <w:szCs w:val="32"/>
          <w:highlight w:val="none"/>
        </w:rPr>
      </w:pPr>
      <w:r>
        <w:rPr>
          <w:rFonts w:hint="eastAsia" w:ascii="方正仿宋_GBK" w:hAnsi="方正仿宋_GBK" w:eastAsia="方正仿宋_GBK" w:cs="方正仿宋_GBK"/>
          <w:kern w:val="2"/>
          <w:sz w:val="32"/>
          <w:szCs w:val="32"/>
          <w:highlight w:val="none"/>
        </w:rPr>
        <w:t>（9）对本乡重性精神疾病患者进行登记管理、治疗随访和康复指导。</w:t>
      </w:r>
    </w:p>
    <w:p>
      <w:pPr>
        <w:pStyle w:val="14"/>
        <w:keepNext w:val="0"/>
        <w:keepLines w:val="0"/>
        <w:pageBreakBefore w:val="0"/>
        <w:widowControl/>
        <w:suppressLineNumbers w:val="0"/>
        <w:kinsoku/>
        <w:wordWrap/>
        <w:overflowPunct/>
        <w:topLinePunct w:val="0"/>
        <w:autoSpaceDE w:val="0"/>
        <w:autoSpaceDN/>
        <w:bidi w:val="0"/>
        <w:adjustRightInd/>
        <w:snapToGrid/>
        <w:spacing w:beforeAutospacing="0" w:afterAutospacing="0" w:line="600" w:lineRule="exact"/>
        <w:ind w:left="0" w:firstLine="640" w:firstLineChars="200"/>
        <w:jc w:val="both"/>
        <w:textAlignment w:val="auto"/>
        <w:rPr>
          <w:rFonts w:hint="eastAsia" w:ascii="方正仿宋_GBK" w:hAnsi="方正仿宋_GBK" w:eastAsia="方正仿宋_GBK" w:cs="方正仿宋_GBK"/>
          <w:kern w:val="2"/>
          <w:sz w:val="32"/>
          <w:szCs w:val="32"/>
          <w:highlight w:val="none"/>
        </w:rPr>
      </w:pPr>
      <w:r>
        <w:rPr>
          <w:rFonts w:hint="eastAsia" w:ascii="方正仿宋_GBK" w:hAnsi="方正仿宋_GBK" w:eastAsia="方正仿宋_GBK" w:cs="方正仿宋_GBK"/>
          <w:kern w:val="2"/>
          <w:sz w:val="32"/>
          <w:szCs w:val="32"/>
          <w:highlight w:val="none"/>
        </w:rPr>
        <w:t>（10）负责本乡内突发公共卫生事件的报告并协助处理。</w:t>
      </w:r>
    </w:p>
    <w:p>
      <w:pPr>
        <w:pStyle w:val="14"/>
        <w:keepNext w:val="0"/>
        <w:keepLines w:val="0"/>
        <w:pageBreakBefore w:val="0"/>
        <w:widowControl/>
        <w:suppressLineNumbers w:val="0"/>
        <w:kinsoku/>
        <w:wordWrap/>
        <w:overflowPunct/>
        <w:topLinePunct w:val="0"/>
        <w:autoSpaceDE w:val="0"/>
        <w:autoSpaceDN/>
        <w:bidi w:val="0"/>
        <w:adjustRightInd/>
        <w:snapToGrid/>
        <w:spacing w:beforeAutospacing="0" w:afterAutospacing="0" w:line="600" w:lineRule="exact"/>
        <w:ind w:left="0" w:firstLine="640" w:firstLineChars="200"/>
        <w:jc w:val="both"/>
        <w:textAlignment w:val="auto"/>
        <w:rPr>
          <w:rFonts w:hint="eastAsia" w:ascii="方正仿宋_GBK" w:hAnsi="方正仿宋_GBK" w:eastAsia="方正仿宋_GBK" w:cs="方正仿宋_GBK"/>
          <w:kern w:val="2"/>
          <w:sz w:val="32"/>
          <w:szCs w:val="32"/>
          <w:highlight w:val="none"/>
        </w:rPr>
      </w:pPr>
      <w:r>
        <w:rPr>
          <w:rFonts w:hint="eastAsia" w:ascii="方正仿宋_GBK" w:hAnsi="方正仿宋_GBK" w:eastAsia="方正仿宋_GBK" w:cs="方正仿宋_GBK"/>
          <w:kern w:val="2"/>
          <w:sz w:val="32"/>
          <w:szCs w:val="32"/>
          <w:highlight w:val="none"/>
        </w:rPr>
        <w:t>（11）做好卫生行政部门规定的其他公共卫生服务。</w:t>
      </w:r>
    </w:p>
    <w:p>
      <w:pPr>
        <w:pStyle w:val="14"/>
        <w:keepNext w:val="0"/>
        <w:keepLines w:val="0"/>
        <w:pageBreakBefore w:val="0"/>
        <w:widowControl/>
        <w:suppressLineNumbers w:val="0"/>
        <w:kinsoku/>
        <w:wordWrap/>
        <w:overflowPunct/>
        <w:topLinePunct w:val="0"/>
        <w:autoSpaceDE w:val="0"/>
        <w:autoSpaceDN/>
        <w:bidi w:val="0"/>
        <w:adjustRightInd/>
        <w:snapToGrid/>
        <w:spacing w:beforeAutospacing="0" w:afterAutospacing="0" w:line="600" w:lineRule="exact"/>
        <w:ind w:left="0" w:firstLine="643" w:firstLineChars="200"/>
        <w:jc w:val="both"/>
        <w:textAlignment w:val="auto"/>
        <w:rPr>
          <w:rFonts w:hint="eastAsia" w:ascii="方正仿宋_GBK" w:hAnsi="方正仿宋_GBK" w:eastAsia="方正仿宋_GBK" w:cs="方正仿宋_GBK"/>
          <w:b/>
          <w:bCs/>
          <w:kern w:val="2"/>
          <w:sz w:val="32"/>
          <w:szCs w:val="32"/>
          <w:highlight w:val="none"/>
        </w:rPr>
      </w:pPr>
      <w:r>
        <w:rPr>
          <w:rFonts w:hint="eastAsia" w:ascii="方正仿宋_GBK" w:hAnsi="方正仿宋_GBK" w:eastAsia="方正仿宋_GBK" w:cs="方正仿宋_GBK"/>
          <w:b/>
          <w:bCs/>
          <w:kern w:val="2"/>
          <w:sz w:val="32"/>
          <w:szCs w:val="32"/>
          <w:highlight w:val="none"/>
        </w:rPr>
        <w:t>2</w:t>
      </w:r>
      <w:r>
        <w:rPr>
          <w:rFonts w:hint="eastAsia" w:ascii="方正仿宋_GBK" w:hAnsi="方正仿宋_GBK" w:eastAsia="方正仿宋_GBK" w:cs="方正仿宋_GBK"/>
          <w:b/>
          <w:bCs/>
          <w:kern w:val="2"/>
          <w:sz w:val="32"/>
          <w:szCs w:val="32"/>
          <w:highlight w:val="none"/>
          <w:lang w:val="en-US" w:eastAsia="zh-CN"/>
        </w:rPr>
        <w:t>.</w:t>
      </w:r>
      <w:r>
        <w:rPr>
          <w:rFonts w:hint="eastAsia" w:ascii="方正仿宋_GBK" w:hAnsi="方正仿宋_GBK" w:eastAsia="方正仿宋_GBK" w:cs="方正仿宋_GBK"/>
          <w:b/>
          <w:bCs/>
          <w:kern w:val="2"/>
          <w:sz w:val="32"/>
          <w:szCs w:val="32"/>
          <w:highlight w:val="none"/>
        </w:rPr>
        <w:t>提供基本医疗服务</w:t>
      </w:r>
    </w:p>
    <w:p>
      <w:pPr>
        <w:pStyle w:val="14"/>
        <w:keepNext w:val="0"/>
        <w:keepLines w:val="0"/>
        <w:pageBreakBefore w:val="0"/>
        <w:widowControl/>
        <w:suppressLineNumbers w:val="0"/>
        <w:kinsoku/>
        <w:wordWrap/>
        <w:overflowPunct/>
        <w:topLinePunct w:val="0"/>
        <w:autoSpaceDE w:val="0"/>
        <w:autoSpaceDN/>
        <w:bidi w:val="0"/>
        <w:adjustRightInd/>
        <w:snapToGrid/>
        <w:spacing w:beforeAutospacing="0" w:afterAutospacing="0" w:line="600" w:lineRule="exact"/>
        <w:ind w:left="0" w:firstLine="640" w:firstLineChars="200"/>
        <w:jc w:val="both"/>
        <w:textAlignment w:val="auto"/>
        <w:rPr>
          <w:rFonts w:hint="eastAsia" w:ascii="方正仿宋_GBK" w:hAnsi="方正仿宋_GBK" w:eastAsia="方正仿宋_GBK" w:cs="方正仿宋_GBK"/>
          <w:kern w:val="2"/>
          <w:sz w:val="32"/>
          <w:szCs w:val="32"/>
          <w:highlight w:val="none"/>
        </w:rPr>
      </w:pPr>
      <w:r>
        <w:rPr>
          <w:rFonts w:hint="eastAsia" w:ascii="方正仿宋_GBK" w:hAnsi="方正仿宋_GBK" w:eastAsia="方正仿宋_GBK" w:cs="方正仿宋_GBK"/>
          <w:kern w:val="2"/>
          <w:sz w:val="32"/>
          <w:szCs w:val="32"/>
          <w:highlight w:val="none"/>
        </w:rPr>
        <w:t>（1）使用农村适宜医疗技术和中医药技术，正确处理常见病、多发病，对疑难重症进行恰当的处理并转诊。承担乡村现场应急救护、转诊服务和康复服务。</w:t>
      </w:r>
    </w:p>
    <w:p>
      <w:pPr>
        <w:pStyle w:val="14"/>
        <w:keepNext w:val="0"/>
        <w:keepLines w:val="0"/>
        <w:pageBreakBefore w:val="0"/>
        <w:widowControl/>
        <w:suppressLineNumbers w:val="0"/>
        <w:kinsoku/>
        <w:wordWrap/>
        <w:overflowPunct/>
        <w:topLinePunct w:val="0"/>
        <w:autoSpaceDE w:val="0"/>
        <w:autoSpaceDN/>
        <w:bidi w:val="0"/>
        <w:adjustRightInd/>
        <w:snapToGrid/>
        <w:spacing w:beforeAutospacing="0" w:afterAutospacing="0" w:line="600" w:lineRule="exact"/>
        <w:ind w:left="0" w:firstLine="640" w:firstLineChars="200"/>
        <w:jc w:val="both"/>
        <w:textAlignment w:val="auto"/>
        <w:rPr>
          <w:rFonts w:hint="eastAsia" w:ascii="方正仿宋_GBK" w:hAnsi="方正仿宋_GBK" w:eastAsia="方正仿宋_GBK" w:cs="方正仿宋_GBK"/>
          <w:kern w:val="2"/>
          <w:sz w:val="32"/>
          <w:szCs w:val="32"/>
          <w:highlight w:val="none"/>
        </w:rPr>
      </w:pPr>
      <w:r>
        <w:rPr>
          <w:rFonts w:hint="eastAsia" w:ascii="方正仿宋_GBK" w:hAnsi="方正仿宋_GBK" w:eastAsia="方正仿宋_GBK" w:cs="方正仿宋_GBK"/>
          <w:kern w:val="2"/>
          <w:sz w:val="32"/>
          <w:szCs w:val="32"/>
          <w:highlight w:val="none"/>
        </w:rPr>
        <w:t>（2）我院能完成外科的止血、缝合、包扎、骨折固定等处置，能开展阑尾、疝气等常见下腹部手术。</w:t>
      </w:r>
    </w:p>
    <w:p>
      <w:pPr>
        <w:pStyle w:val="14"/>
        <w:keepNext w:val="0"/>
        <w:keepLines w:val="0"/>
        <w:pageBreakBefore w:val="0"/>
        <w:widowControl/>
        <w:suppressLineNumbers w:val="0"/>
        <w:kinsoku/>
        <w:wordWrap/>
        <w:overflowPunct/>
        <w:topLinePunct w:val="0"/>
        <w:autoSpaceDE w:val="0"/>
        <w:autoSpaceDN/>
        <w:bidi w:val="0"/>
        <w:adjustRightInd/>
        <w:snapToGrid/>
        <w:spacing w:beforeAutospacing="0" w:afterAutospacing="0" w:line="600" w:lineRule="exact"/>
        <w:ind w:left="0" w:firstLine="640" w:firstLineChars="200"/>
        <w:jc w:val="both"/>
        <w:textAlignment w:val="auto"/>
        <w:rPr>
          <w:rFonts w:hint="eastAsia" w:ascii="方正仿宋_GBK" w:hAnsi="方正仿宋_GBK" w:eastAsia="方正仿宋_GBK" w:cs="方正仿宋_GBK"/>
          <w:kern w:val="2"/>
          <w:sz w:val="32"/>
          <w:szCs w:val="32"/>
          <w:highlight w:val="none"/>
        </w:rPr>
      </w:pPr>
      <w:r>
        <w:rPr>
          <w:rFonts w:hint="eastAsia" w:ascii="方正仿宋_GBK" w:hAnsi="方正仿宋_GBK" w:eastAsia="方正仿宋_GBK" w:cs="方正仿宋_GBK"/>
          <w:kern w:val="2"/>
          <w:sz w:val="32"/>
          <w:szCs w:val="32"/>
          <w:highlight w:val="none"/>
        </w:rPr>
        <w:t>（3）健全消毒、隔离制度，遵守无菌操作规程，加强医疗质量管理。做好医疗废物处理和污水、污物无害化处理。</w:t>
      </w:r>
    </w:p>
    <w:p>
      <w:pPr>
        <w:pStyle w:val="14"/>
        <w:keepNext w:val="0"/>
        <w:keepLines w:val="0"/>
        <w:pageBreakBefore w:val="0"/>
        <w:widowControl/>
        <w:suppressLineNumbers w:val="0"/>
        <w:kinsoku/>
        <w:wordWrap/>
        <w:overflowPunct/>
        <w:topLinePunct w:val="0"/>
        <w:autoSpaceDE w:val="0"/>
        <w:autoSpaceDN/>
        <w:bidi w:val="0"/>
        <w:adjustRightInd/>
        <w:snapToGrid/>
        <w:spacing w:beforeAutospacing="0" w:afterAutospacing="0" w:line="600" w:lineRule="exact"/>
        <w:ind w:left="0" w:firstLine="640" w:firstLineChars="200"/>
        <w:jc w:val="both"/>
        <w:textAlignment w:val="auto"/>
        <w:rPr>
          <w:rFonts w:hint="eastAsia" w:ascii="方正仿宋_GBK" w:hAnsi="方正仿宋_GBK" w:eastAsia="方正仿宋_GBK" w:cs="方正仿宋_GBK"/>
          <w:kern w:val="2"/>
          <w:sz w:val="32"/>
          <w:szCs w:val="32"/>
          <w:highlight w:val="none"/>
        </w:rPr>
      </w:pPr>
      <w:r>
        <w:rPr>
          <w:rFonts w:hint="eastAsia" w:ascii="方正仿宋_GBK" w:hAnsi="方正仿宋_GBK" w:eastAsia="方正仿宋_GBK" w:cs="方正仿宋_GBK"/>
          <w:kern w:val="2"/>
          <w:sz w:val="32"/>
          <w:szCs w:val="32"/>
          <w:highlight w:val="none"/>
        </w:rPr>
        <w:t>（4）执行国家基本药物制度药品集中采购、零差率销售等政策，为实施一体化管理的村卫生室统一代购药品。</w:t>
      </w:r>
    </w:p>
    <w:p>
      <w:pPr>
        <w:pStyle w:val="14"/>
        <w:keepNext w:val="0"/>
        <w:keepLines w:val="0"/>
        <w:pageBreakBefore w:val="0"/>
        <w:widowControl/>
        <w:suppressLineNumbers w:val="0"/>
        <w:kinsoku/>
        <w:wordWrap/>
        <w:overflowPunct/>
        <w:topLinePunct w:val="0"/>
        <w:autoSpaceDE w:val="0"/>
        <w:autoSpaceDN/>
        <w:bidi w:val="0"/>
        <w:adjustRightInd/>
        <w:snapToGrid/>
        <w:spacing w:beforeAutospacing="0" w:afterAutospacing="0" w:line="600" w:lineRule="exact"/>
        <w:ind w:left="0" w:firstLine="640" w:firstLineChars="200"/>
        <w:jc w:val="both"/>
        <w:textAlignment w:val="auto"/>
        <w:rPr>
          <w:rFonts w:hint="eastAsia" w:ascii="方正仿宋_GBK" w:hAnsi="方正仿宋_GBK" w:eastAsia="方正仿宋_GBK" w:cs="方正仿宋_GBK"/>
          <w:kern w:val="2"/>
          <w:sz w:val="32"/>
          <w:szCs w:val="32"/>
          <w:highlight w:val="none"/>
        </w:rPr>
      </w:pPr>
      <w:r>
        <w:rPr>
          <w:rFonts w:hint="eastAsia" w:ascii="方正仿宋_GBK" w:hAnsi="方正仿宋_GBK" w:eastAsia="方正仿宋_GBK" w:cs="方正仿宋_GBK"/>
          <w:kern w:val="2"/>
          <w:sz w:val="32"/>
          <w:szCs w:val="32"/>
          <w:highlight w:val="none"/>
        </w:rPr>
        <w:t>（5）提供政府卫生行政部门批准的其他适宜的医疗服务。</w:t>
      </w:r>
    </w:p>
    <w:p>
      <w:pPr>
        <w:pStyle w:val="14"/>
        <w:keepNext w:val="0"/>
        <w:keepLines w:val="0"/>
        <w:pageBreakBefore w:val="0"/>
        <w:widowControl/>
        <w:suppressLineNumbers w:val="0"/>
        <w:kinsoku/>
        <w:wordWrap/>
        <w:overflowPunct/>
        <w:topLinePunct w:val="0"/>
        <w:autoSpaceDE w:val="0"/>
        <w:autoSpaceDN/>
        <w:bidi w:val="0"/>
        <w:adjustRightInd/>
        <w:snapToGrid/>
        <w:spacing w:beforeAutospacing="0" w:afterAutospacing="0" w:line="600" w:lineRule="exact"/>
        <w:ind w:left="0" w:firstLine="643" w:firstLineChars="200"/>
        <w:jc w:val="both"/>
        <w:textAlignment w:val="auto"/>
        <w:rPr>
          <w:rFonts w:hint="eastAsia" w:ascii="方正仿宋_GBK" w:hAnsi="方正仿宋_GBK" w:eastAsia="方正仿宋_GBK" w:cs="方正仿宋_GBK"/>
          <w:b/>
          <w:bCs/>
          <w:kern w:val="2"/>
          <w:sz w:val="32"/>
          <w:szCs w:val="32"/>
          <w:highlight w:val="none"/>
        </w:rPr>
      </w:pPr>
      <w:r>
        <w:rPr>
          <w:rFonts w:hint="eastAsia" w:ascii="方正仿宋_GBK" w:hAnsi="方正仿宋_GBK" w:eastAsia="方正仿宋_GBK" w:cs="方正仿宋_GBK"/>
          <w:b/>
          <w:bCs/>
          <w:kern w:val="2"/>
          <w:sz w:val="32"/>
          <w:szCs w:val="32"/>
          <w:highlight w:val="none"/>
        </w:rPr>
        <w:t>3</w:t>
      </w:r>
      <w:r>
        <w:rPr>
          <w:rFonts w:hint="eastAsia" w:ascii="方正仿宋_GBK" w:hAnsi="方正仿宋_GBK" w:eastAsia="方正仿宋_GBK" w:cs="方正仿宋_GBK"/>
          <w:b/>
          <w:bCs/>
          <w:kern w:val="2"/>
          <w:sz w:val="32"/>
          <w:szCs w:val="32"/>
          <w:highlight w:val="none"/>
          <w:lang w:val="en-US" w:eastAsia="zh-CN"/>
        </w:rPr>
        <w:t>.</w:t>
      </w:r>
      <w:r>
        <w:rPr>
          <w:rFonts w:hint="eastAsia" w:ascii="方正仿宋_GBK" w:hAnsi="方正仿宋_GBK" w:eastAsia="方正仿宋_GBK" w:cs="方正仿宋_GBK"/>
          <w:b/>
          <w:bCs/>
          <w:kern w:val="2"/>
          <w:sz w:val="32"/>
          <w:szCs w:val="32"/>
          <w:highlight w:val="none"/>
        </w:rPr>
        <w:t>承担公共卫生管理</w:t>
      </w:r>
    </w:p>
    <w:p>
      <w:pPr>
        <w:pStyle w:val="14"/>
        <w:keepNext w:val="0"/>
        <w:keepLines w:val="0"/>
        <w:pageBreakBefore w:val="0"/>
        <w:widowControl/>
        <w:suppressLineNumbers w:val="0"/>
        <w:kinsoku/>
        <w:wordWrap/>
        <w:overflowPunct/>
        <w:topLinePunct w:val="0"/>
        <w:autoSpaceDE w:val="0"/>
        <w:autoSpaceDN/>
        <w:bidi w:val="0"/>
        <w:adjustRightInd/>
        <w:snapToGrid/>
        <w:spacing w:beforeAutospacing="0" w:afterAutospacing="0" w:line="600" w:lineRule="exact"/>
        <w:ind w:left="0" w:firstLine="640" w:firstLineChars="200"/>
        <w:jc w:val="both"/>
        <w:textAlignment w:val="auto"/>
        <w:rPr>
          <w:rFonts w:hint="eastAsia" w:ascii="方正仿宋_GBK" w:hAnsi="方正仿宋_GBK" w:eastAsia="方正仿宋_GBK" w:cs="方正仿宋_GBK"/>
          <w:kern w:val="2"/>
          <w:sz w:val="32"/>
          <w:szCs w:val="32"/>
          <w:highlight w:val="none"/>
        </w:rPr>
      </w:pPr>
      <w:r>
        <w:rPr>
          <w:rFonts w:hint="eastAsia" w:ascii="方正仿宋_GBK" w:hAnsi="方正仿宋_GBK" w:eastAsia="方正仿宋_GBK" w:cs="方正仿宋_GBK"/>
          <w:kern w:val="2"/>
          <w:sz w:val="32"/>
          <w:szCs w:val="32"/>
          <w:highlight w:val="none"/>
        </w:rPr>
        <w:t>（1）对本</w:t>
      </w:r>
      <w:r>
        <w:rPr>
          <w:rFonts w:hint="eastAsia" w:ascii="方正仿宋_GBK" w:hAnsi="方正仿宋_GBK" w:eastAsia="方正仿宋_GBK" w:cs="方正仿宋_GBK"/>
          <w:kern w:val="2"/>
          <w:sz w:val="32"/>
          <w:szCs w:val="32"/>
          <w:highlight w:val="none"/>
          <w:lang w:val="en-US" w:eastAsia="zh-CN"/>
        </w:rPr>
        <w:t>乡</w:t>
      </w:r>
      <w:r>
        <w:rPr>
          <w:rFonts w:hint="eastAsia" w:ascii="方正仿宋_GBK" w:hAnsi="方正仿宋_GBK" w:eastAsia="方正仿宋_GBK" w:cs="方正仿宋_GBK"/>
          <w:kern w:val="2"/>
          <w:sz w:val="32"/>
          <w:szCs w:val="32"/>
          <w:highlight w:val="none"/>
        </w:rPr>
        <w:t>内传染病防治、学校卫生、食品卫生、饮水卫生、职业卫生，以及村级预防保健工作进行指导、培训、考核与监督。</w:t>
      </w:r>
    </w:p>
    <w:p>
      <w:pPr>
        <w:pStyle w:val="14"/>
        <w:keepNext w:val="0"/>
        <w:keepLines w:val="0"/>
        <w:pageBreakBefore w:val="0"/>
        <w:widowControl/>
        <w:suppressLineNumbers w:val="0"/>
        <w:kinsoku/>
        <w:wordWrap/>
        <w:overflowPunct/>
        <w:topLinePunct w:val="0"/>
        <w:autoSpaceDE w:val="0"/>
        <w:autoSpaceDN/>
        <w:bidi w:val="0"/>
        <w:adjustRightInd/>
        <w:snapToGrid/>
        <w:spacing w:beforeAutospacing="0" w:afterAutospacing="0" w:line="600" w:lineRule="exact"/>
        <w:ind w:left="0" w:firstLine="640" w:firstLineChars="200"/>
        <w:jc w:val="both"/>
        <w:textAlignment w:val="auto"/>
        <w:rPr>
          <w:rFonts w:hint="eastAsia" w:ascii="方正仿宋_GBK" w:hAnsi="方正仿宋_GBK" w:eastAsia="方正仿宋_GBK" w:cs="方正仿宋_GBK"/>
          <w:kern w:val="2"/>
          <w:sz w:val="32"/>
          <w:szCs w:val="32"/>
          <w:highlight w:val="none"/>
        </w:rPr>
      </w:pPr>
      <w:r>
        <w:rPr>
          <w:rFonts w:hint="eastAsia" w:ascii="方正仿宋_GBK" w:hAnsi="方正仿宋_GBK" w:eastAsia="方正仿宋_GBK" w:cs="方正仿宋_GBK"/>
          <w:kern w:val="2"/>
          <w:sz w:val="32"/>
          <w:szCs w:val="32"/>
          <w:highlight w:val="none"/>
        </w:rPr>
        <w:t>（2）严格执行新型农村合作医疗政策规定，履行定点医疗机构职责，做好有关的政策宣传、监督及服务工作。</w:t>
      </w:r>
    </w:p>
    <w:p>
      <w:pPr>
        <w:pStyle w:val="14"/>
        <w:keepNext w:val="0"/>
        <w:keepLines w:val="0"/>
        <w:pageBreakBefore w:val="0"/>
        <w:widowControl/>
        <w:suppressLineNumbers w:val="0"/>
        <w:kinsoku/>
        <w:wordWrap/>
        <w:overflowPunct/>
        <w:topLinePunct w:val="0"/>
        <w:autoSpaceDE w:val="0"/>
        <w:autoSpaceDN/>
        <w:bidi w:val="0"/>
        <w:adjustRightInd/>
        <w:snapToGrid/>
        <w:spacing w:beforeAutospacing="0" w:afterAutospacing="0" w:line="600" w:lineRule="exact"/>
        <w:ind w:left="0" w:firstLine="640" w:firstLineChars="200"/>
        <w:jc w:val="both"/>
        <w:textAlignment w:val="auto"/>
        <w:rPr>
          <w:rFonts w:hint="eastAsia" w:ascii="方正仿宋_GBK" w:hAnsi="方正仿宋_GBK" w:eastAsia="方正仿宋_GBK" w:cs="方正仿宋_GBK"/>
          <w:kern w:val="2"/>
          <w:sz w:val="32"/>
          <w:szCs w:val="32"/>
          <w:highlight w:val="none"/>
        </w:rPr>
      </w:pPr>
      <w:r>
        <w:rPr>
          <w:rFonts w:hint="eastAsia" w:ascii="方正仿宋_GBK" w:hAnsi="方正仿宋_GBK" w:eastAsia="方正仿宋_GBK" w:cs="方正仿宋_GBK"/>
          <w:kern w:val="2"/>
          <w:sz w:val="32"/>
          <w:szCs w:val="32"/>
          <w:highlight w:val="none"/>
        </w:rPr>
        <w:t>（3）深入推进乡村卫生服务一体化管理，对村卫生室实行以行政、人员、业务、药品、财产为基本内容的“五统一”规范管理</w:t>
      </w:r>
      <w:r>
        <w:rPr>
          <w:rFonts w:hint="eastAsia" w:ascii="方正仿宋_GBK" w:hAnsi="方正仿宋_GBK" w:eastAsia="方正仿宋_GBK" w:cs="方正仿宋_GBK"/>
          <w:kern w:val="2"/>
          <w:sz w:val="32"/>
          <w:szCs w:val="32"/>
          <w:highlight w:val="none"/>
          <w:lang w:eastAsia="zh-CN"/>
        </w:rPr>
        <w:t>；</w:t>
      </w:r>
      <w:r>
        <w:rPr>
          <w:rFonts w:hint="eastAsia" w:ascii="方正仿宋_GBK" w:hAnsi="方正仿宋_GBK" w:eastAsia="方正仿宋_GBK" w:cs="方正仿宋_GBK"/>
          <w:kern w:val="2"/>
          <w:sz w:val="32"/>
          <w:szCs w:val="32"/>
          <w:highlight w:val="none"/>
        </w:rPr>
        <w:t>负责村卫生室的技术指导和乡村医生培训等工作。</w:t>
      </w:r>
    </w:p>
    <w:p>
      <w:pPr>
        <w:pStyle w:val="14"/>
        <w:keepNext w:val="0"/>
        <w:keepLines w:val="0"/>
        <w:pageBreakBefore w:val="0"/>
        <w:widowControl/>
        <w:suppressLineNumbers w:val="0"/>
        <w:kinsoku/>
        <w:wordWrap/>
        <w:overflowPunct/>
        <w:topLinePunct w:val="0"/>
        <w:autoSpaceDE w:val="0"/>
        <w:autoSpaceDN/>
        <w:bidi w:val="0"/>
        <w:adjustRightInd/>
        <w:snapToGrid/>
        <w:spacing w:beforeAutospacing="0" w:afterAutospacing="0" w:line="600" w:lineRule="exact"/>
        <w:ind w:left="0" w:firstLine="643" w:firstLineChars="200"/>
        <w:jc w:val="both"/>
        <w:textAlignment w:val="auto"/>
        <w:rPr>
          <w:rFonts w:hint="eastAsia" w:ascii="方正仿宋_GBK" w:hAnsi="方正仿宋_GBK" w:eastAsia="方正仿宋_GBK" w:cs="方正仿宋_GBK"/>
          <w:b/>
          <w:bCs/>
          <w:kern w:val="2"/>
          <w:sz w:val="32"/>
          <w:szCs w:val="32"/>
          <w:highlight w:val="none"/>
        </w:rPr>
      </w:pPr>
      <w:r>
        <w:rPr>
          <w:rFonts w:hint="eastAsia" w:ascii="方正仿宋_GBK" w:hAnsi="方正仿宋_GBK" w:eastAsia="方正仿宋_GBK" w:cs="方正仿宋_GBK"/>
          <w:b/>
          <w:bCs/>
          <w:kern w:val="2"/>
          <w:sz w:val="32"/>
          <w:szCs w:val="32"/>
          <w:highlight w:val="none"/>
        </w:rPr>
        <w:t>4</w:t>
      </w:r>
      <w:r>
        <w:rPr>
          <w:rFonts w:hint="eastAsia" w:ascii="方正仿宋_GBK" w:hAnsi="方正仿宋_GBK" w:eastAsia="方正仿宋_GBK" w:cs="方正仿宋_GBK"/>
          <w:b/>
          <w:bCs/>
          <w:kern w:val="2"/>
          <w:sz w:val="32"/>
          <w:szCs w:val="32"/>
          <w:highlight w:val="none"/>
          <w:lang w:val="en-US" w:eastAsia="zh-CN"/>
        </w:rPr>
        <w:t>.</w:t>
      </w:r>
      <w:r>
        <w:rPr>
          <w:rFonts w:hint="eastAsia" w:ascii="方正仿宋_GBK" w:hAnsi="方正仿宋_GBK" w:eastAsia="方正仿宋_GBK" w:cs="方正仿宋_GBK"/>
          <w:b/>
          <w:bCs/>
          <w:kern w:val="2"/>
          <w:sz w:val="32"/>
          <w:szCs w:val="32"/>
          <w:highlight w:val="none"/>
        </w:rPr>
        <w:t>卫生行政管理</w:t>
      </w:r>
    </w:p>
    <w:p>
      <w:pPr>
        <w:pStyle w:val="14"/>
        <w:keepNext w:val="0"/>
        <w:keepLines w:val="0"/>
        <w:pageBreakBefore w:val="0"/>
        <w:widowControl/>
        <w:suppressLineNumbers w:val="0"/>
        <w:kinsoku/>
        <w:wordWrap/>
        <w:overflowPunct/>
        <w:topLinePunct w:val="0"/>
        <w:autoSpaceDE w:val="0"/>
        <w:autoSpaceDN/>
        <w:bidi w:val="0"/>
        <w:adjustRightInd/>
        <w:snapToGrid/>
        <w:spacing w:beforeAutospacing="0" w:afterAutospacing="0" w:line="600" w:lineRule="exact"/>
        <w:ind w:left="0" w:firstLine="640" w:firstLineChars="200"/>
        <w:jc w:val="both"/>
        <w:textAlignment w:val="auto"/>
        <w:rPr>
          <w:rFonts w:hint="eastAsia" w:ascii="方正仿宋_GBK" w:hAnsi="方正仿宋_GBK" w:eastAsia="方正仿宋_GBK" w:cs="方正仿宋_GBK"/>
          <w:kern w:val="2"/>
          <w:sz w:val="32"/>
          <w:szCs w:val="32"/>
          <w:highlight w:val="none"/>
        </w:rPr>
      </w:pPr>
      <w:r>
        <w:rPr>
          <w:rFonts w:hint="eastAsia" w:ascii="方正仿宋_GBK" w:hAnsi="方正仿宋_GBK" w:eastAsia="方正仿宋_GBK" w:cs="方正仿宋_GBK"/>
          <w:kern w:val="2"/>
          <w:sz w:val="32"/>
          <w:szCs w:val="32"/>
          <w:highlight w:val="none"/>
        </w:rPr>
        <w:t>（1）在当地政府和上级卫生行政部门领导下，依据当地社会经济发展规划，协助制定和实施社区的初级卫生规划。</w:t>
      </w:r>
    </w:p>
    <w:p>
      <w:pPr>
        <w:pStyle w:val="14"/>
        <w:keepNext w:val="0"/>
        <w:keepLines w:val="0"/>
        <w:pageBreakBefore w:val="0"/>
        <w:widowControl/>
        <w:suppressLineNumbers w:val="0"/>
        <w:kinsoku/>
        <w:wordWrap/>
        <w:overflowPunct/>
        <w:topLinePunct w:val="0"/>
        <w:autoSpaceDE w:val="0"/>
        <w:autoSpaceDN/>
        <w:bidi w:val="0"/>
        <w:adjustRightInd/>
        <w:snapToGrid/>
        <w:spacing w:beforeAutospacing="0" w:afterAutospacing="0" w:line="600" w:lineRule="exact"/>
        <w:ind w:left="0" w:firstLine="640" w:firstLineChars="200"/>
        <w:jc w:val="both"/>
        <w:textAlignment w:val="auto"/>
        <w:rPr>
          <w:rFonts w:hint="eastAsia" w:ascii="方正仿宋_GBK" w:hAnsi="方正仿宋_GBK" w:eastAsia="方正仿宋_GBK" w:cs="方正仿宋_GBK"/>
          <w:kern w:val="2"/>
          <w:sz w:val="32"/>
          <w:szCs w:val="32"/>
          <w:highlight w:val="none"/>
        </w:rPr>
      </w:pPr>
      <w:r>
        <w:rPr>
          <w:rFonts w:hint="eastAsia" w:ascii="方正仿宋_GBK" w:hAnsi="方正仿宋_GBK" w:eastAsia="方正仿宋_GBK" w:cs="方正仿宋_GBK"/>
          <w:kern w:val="2"/>
          <w:sz w:val="32"/>
          <w:szCs w:val="32"/>
          <w:highlight w:val="none"/>
        </w:rPr>
        <w:t>（2）配合有关部门动员组织群众开展爱国卫生活动，逐步改善本</w:t>
      </w:r>
      <w:r>
        <w:rPr>
          <w:rFonts w:hint="eastAsia" w:ascii="方正仿宋_GBK" w:hAnsi="方正仿宋_GBK" w:eastAsia="方正仿宋_GBK" w:cs="方正仿宋_GBK"/>
          <w:kern w:val="2"/>
          <w:sz w:val="32"/>
          <w:szCs w:val="32"/>
          <w:highlight w:val="none"/>
          <w:lang w:val="en-US" w:eastAsia="zh-CN"/>
        </w:rPr>
        <w:t>乡</w:t>
      </w:r>
      <w:r>
        <w:rPr>
          <w:rFonts w:hint="eastAsia" w:ascii="方正仿宋_GBK" w:hAnsi="方正仿宋_GBK" w:eastAsia="方正仿宋_GBK" w:cs="方正仿宋_GBK"/>
          <w:kern w:val="2"/>
          <w:sz w:val="32"/>
          <w:szCs w:val="32"/>
          <w:highlight w:val="none"/>
        </w:rPr>
        <w:t>卫生状况。</w:t>
      </w:r>
    </w:p>
    <w:p>
      <w:pPr>
        <w:pStyle w:val="14"/>
        <w:keepNext w:val="0"/>
        <w:keepLines w:val="0"/>
        <w:pageBreakBefore w:val="0"/>
        <w:widowControl/>
        <w:suppressLineNumbers w:val="0"/>
        <w:kinsoku/>
        <w:wordWrap/>
        <w:overflowPunct/>
        <w:topLinePunct w:val="0"/>
        <w:autoSpaceDE w:val="0"/>
        <w:autoSpaceDN/>
        <w:bidi w:val="0"/>
        <w:adjustRightInd/>
        <w:snapToGrid/>
        <w:spacing w:beforeAutospacing="0" w:afterAutospacing="0" w:line="600" w:lineRule="exact"/>
        <w:ind w:left="0" w:firstLine="640" w:firstLineChars="200"/>
        <w:jc w:val="both"/>
        <w:textAlignment w:val="auto"/>
        <w:rPr>
          <w:rFonts w:hint="eastAsia" w:ascii="方正仿宋_GBK" w:hAnsi="方正仿宋_GBK" w:eastAsia="方正仿宋_GBK" w:cs="方正仿宋_GBK"/>
          <w:kern w:val="2"/>
          <w:sz w:val="32"/>
          <w:szCs w:val="32"/>
          <w:highlight w:val="none"/>
        </w:rPr>
      </w:pPr>
      <w:r>
        <w:rPr>
          <w:rFonts w:hint="eastAsia" w:ascii="方正仿宋_GBK" w:hAnsi="方正仿宋_GBK" w:eastAsia="方正仿宋_GBK" w:cs="方正仿宋_GBK"/>
          <w:kern w:val="2"/>
          <w:sz w:val="32"/>
          <w:szCs w:val="32"/>
          <w:highlight w:val="none"/>
        </w:rPr>
        <w:t>（3）贯彻执行国家各种卫生法规，对本</w:t>
      </w:r>
      <w:r>
        <w:rPr>
          <w:rFonts w:hint="eastAsia" w:ascii="方正仿宋_GBK" w:hAnsi="方正仿宋_GBK" w:eastAsia="方正仿宋_GBK" w:cs="方正仿宋_GBK"/>
          <w:kern w:val="2"/>
          <w:sz w:val="32"/>
          <w:szCs w:val="32"/>
          <w:highlight w:val="none"/>
          <w:lang w:val="en-US" w:eastAsia="zh-CN"/>
        </w:rPr>
        <w:t>乡</w:t>
      </w:r>
      <w:r>
        <w:rPr>
          <w:rFonts w:hint="eastAsia" w:ascii="方正仿宋_GBK" w:hAnsi="方正仿宋_GBK" w:eastAsia="方正仿宋_GBK" w:cs="方正仿宋_GBK"/>
          <w:kern w:val="2"/>
          <w:sz w:val="32"/>
          <w:szCs w:val="32"/>
          <w:highlight w:val="none"/>
        </w:rPr>
        <w:t>内有关行业实行监督管理。</w:t>
      </w:r>
    </w:p>
    <w:p>
      <w:pPr>
        <w:pStyle w:val="14"/>
        <w:keepNext w:val="0"/>
        <w:keepLines w:val="0"/>
        <w:pageBreakBefore w:val="0"/>
        <w:widowControl/>
        <w:suppressLineNumbers w:val="0"/>
        <w:kinsoku/>
        <w:wordWrap/>
        <w:overflowPunct/>
        <w:topLinePunct w:val="0"/>
        <w:autoSpaceDE w:val="0"/>
        <w:autoSpaceDN/>
        <w:bidi w:val="0"/>
        <w:adjustRightInd/>
        <w:snapToGrid/>
        <w:spacing w:beforeAutospacing="0" w:afterAutospacing="0" w:line="600" w:lineRule="exact"/>
        <w:ind w:left="0" w:firstLine="640" w:firstLineChars="200"/>
        <w:jc w:val="both"/>
        <w:textAlignment w:val="auto"/>
        <w:rPr>
          <w:rFonts w:hint="eastAsia" w:ascii="方正仿宋_GBK" w:hAnsi="方正仿宋_GBK" w:eastAsia="方正仿宋_GBK" w:cs="方正仿宋_GBK"/>
          <w:kern w:val="2"/>
          <w:sz w:val="32"/>
          <w:szCs w:val="32"/>
          <w:highlight w:val="none"/>
        </w:rPr>
      </w:pPr>
      <w:r>
        <w:rPr>
          <w:rFonts w:hint="eastAsia" w:ascii="方正仿宋_GBK" w:hAnsi="方正仿宋_GBK" w:eastAsia="方正仿宋_GBK" w:cs="方正仿宋_GBK"/>
          <w:kern w:val="2"/>
          <w:sz w:val="32"/>
          <w:szCs w:val="32"/>
          <w:highlight w:val="none"/>
        </w:rPr>
        <w:t>（4）负责本</w:t>
      </w:r>
      <w:r>
        <w:rPr>
          <w:rFonts w:hint="eastAsia" w:ascii="方正仿宋_GBK" w:hAnsi="方正仿宋_GBK" w:eastAsia="方正仿宋_GBK" w:cs="方正仿宋_GBK"/>
          <w:kern w:val="2"/>
          <w:sz w:val="32"/>
          <w:szCs w:val="32"/>
          <w:highlight w:val="none"/>
          <w:lang w:val="en-US" w:eastAsia="zh-CN"/>
        </w:rPr>
        <w:t>乡</w:t>
      </w:r>
      <w:r>
        <w:rPr>
          <w:rFonts w:hint="eastAsia" w:ascii="方正仿宋_GBK" w:hAnsi="方正仿宋_GBK" w:eastAsia="方正仿宋_GBK" w:cs="方正仿宋_GBK"/>
          <w:kern w:val="2"/>
          <w:sz w:val="32"/>
          <w:szCs w:val="32"/>
          <w:highlight w:val="none"/>
        </w:rPr>
        <w:t>内村级卫生服务站的管理和培训工作。</w:t>
      </w:r>
    </w:p>
    <w:p>
      <w:pPr>
        <w:pStyle w:val="6"/>
        <w:shd w:val="clear" w:color="auto" w:fill="FFFFFF"/>
        <w:rPr>
          <w:rStyle w:val="9"/>
          <w:rFonts w:ascii="楷体" w:hAnsi="楷体" w:eastAsia="楷体" w:cs="楷体"/>
          <w:sz w:val="32"/>
          <w:szCs w:val="32"/>
          <w:highlight w:val="none"/>
          <w:shd w:val="clear" w:color="auto" w:fill="FFFFFF"/>
        </w:rPr>
      </w:pPr>
      <w:r>
        <w:rPr>
          <w:rStyle w:val="9"/>
          <w:rFonts w:ascii="楷体" w:hAnsi="楷体" w:eastAsia="楷体" w:cs="楷体"/>
          <w:sz w:val="32"/>
          <w:szCs w:val="32"/>
          <w:highlight w:val="none"/>
          <w:shd w:val="clear" w:color="auto" w:fill="FFFFFF"/>
        </w:rPr>
        <w:t>（二）机构设置</w:t>
      </w:r>
    </w:p>
    <w:p>
      <w:pPr>
        <w:pStyle w:val="6"/>
        <w:shd w:val="clear" w:color="auto" w:fill="FFFFFF"/>
        <w:ind w:firstLine="640" w:firstLineChars="200"/>
        <w:rPr>
          <w:rFonts w:ascii="方正仿宋_GBK" w:hAnsi="方正仿宋_GBK" w:eastAsia="方正仿宋_GBK" w:cs="方正仿宋_GBK"/>
          <w:color w:val="auto"/>
          <w:kern w:val="0"/>
          <w:sz w:val="32"/>
          <w:szCs w:val="32"/>
          <w:highlight w:val="none"/>
        </w:rPr>
      </w:pPr>
      <w:r>
        <w:rPr>
          <w:rStyle w:val="15"/>
          <w:rFonts w:hint="eastAsia" w:ascii="方正仿宋_GBK" w:hAnsi="方正仿宋_GBK" w:eastAsia="方正仿宋_GBK" w:cs="方正仿宋_GBK"/>
          <w:b w:val="0"/>
          <w:bCs/>
          <w:color w:val="auto"/>
          <w:sz w:val="32"/>
          <w:szCs w:val="32"/>
          <w:highlight w:val="none"/>
          <w:shd w:val="clear" w:color="auto" w:fill="FFFFFF"/>
        </w:rPr>
        <w:t>巫溪县</w:t>
      </w:r>
      <w:r>
        <w:rPr>
          <w:rStyle w:val="15"/>
          <w:rFonts w:hint="eastAsia" w:ascii="方正仿宋_GBK" w:hAnsi="方正仿宋_GBK" w:eastAsia="方正仿宋_GBK" w:cs="方正仿宋_GBK"/>
          <w:b w:val="0"/>
          <w:bCs/>
          <w:color w:val="auto"/>
          <w:sz w:val="32"/>
          <w:szCs w:val="32"/>
          <w:highlight w:val="none"/>
          <w:shd w:val="clear" w:color="auto" w:fill="FFFFFF"/>
          <w:lang w:val="en-US" w:eastAsia="zh-CN"/>
        </w:rPr>
        <w:t>乌龙</w:t>
      </w:r>
      <w:r>
        <w:rPr>
          <w:rStyle w:val="15"/>
          <w:rFonts w:hint="eastAsia" w:ascii="方正仿宋_GBK" w:hAnsi="方正仿宋_GBK" w:eastAsia="方正仿宋_GBK" w:cs="方正仿宋_GBK"/>
          <w:b w:val="0"/>
          <w:bCs/>
          <w:color w:val="auto"/>
          <w:sz w:val="32"/>
          <w:szCs w:val="32"/>
          <w:highlight w:val="none"/>
          <w:shd w:val="clear" w:color="auto" w:fill="FFFFFF"/>
        </w:rPr>
        <w:t>乡卫生院为</w:t>
      </w:r>
      <w:r>
        <w:rPr>
          <w:rStyle w:val="15"/>
          <w:rFonts w:hint="eastAsia" w:ascii="方正仿宋_GBK" w:hAnsi="方正仿宋_GBK" w:eastAsia="方正仿宋_GBK" w:cs="方正仿宋_GBK"/>
          <w:b w:val="0"/>
          <w:bCs/>
          <w:color w:val="auto"/>
          <w:sz w:val="32"/>
          <w:szCs w:val="32"/>
          <w:highlight w:val="none"/>
          <w:shd w:val="clear" w:color="auto" w:fill="FFFFFF"/>
          <w:lang w:val="en-US" w:eastAsia="zh-CN"/>
        </w:rPr>
        <w:t>一</w:t>
      </w:r>
      <w:r>
        <w:rPr>
          <w:rStyle w:val="15"/>
          <w:rFonts w:hint="eastAsia" w:ascii="方正仿宋_GBK" w:hAnsi="方正仿宋_GBK" w:eastAsia="方正仿宋_GBK" w:cs="方正仿宋_GBK"/>
          <w:b w:val="0"/>
          <w:bCs/>
          <w:color w:val="auto"/>
          <w:sz w:val="32"/>
          <w:szCs w:val="32"/>
          <w:highlight w:val="none"/>
          <w:shd w:val="clear" w:color="auto" w:fill="FFFFFF"/>
        </w:rPr>
        <w:t>级预算单位，本年度无下级预算单位纳入部门决算。</w:t>
      </w:r>
      <w:r>
        <w:rPr>
          <w:rFonts w:ascii="方正仿宋_GBK" w:hAnsi="方正仿宋_GBK" w:eastAsia="方正仿宋_GBK" w:cs="方正仿宋_GBK"/>
          <w:color w:val="auto"/>
          <w:kern w:val="0"/>
          <w:sz w:val="32"/>
          <w:szCs w:val="32"/>
          <w:highlight w:val="none"/>
        </w:rPr>
        <w:t>我院内设儿科、内科、外科、妇科、中医科、检验科、数字化接种门诊等业务科室；我院下设</w:t>
      </w:r>
      <w:r>
        <w:rPr>
          <w:rFonts w:hint="eastAsia" w:ascii="方正仿宋_GBK" w:hAnsi="方正仿宋_GBK" w:eastAsia="方正仿宋_GBK" w:cs="方正仿宋_GBK"/>
          <w:color w:val="auto"/>
          <w:kern w:val="0"/>
          <w:sz w:val="32"/>
          <w:szCs w:val="32"/>
          <w:highlight w:val="none"/>
          <w:lang w:val="en-US" w:eastAsia="zh-CN"/>
        </w:rPr>
        <w:t>6</w:t>
      </w:r>
      <w:r>
        <w:rPr>
          <w:rFonts w:ascii="方正仿宋_GBK" w:hAnsi="方正仿宋_GBK" w:eastAsia="方正仿宋_GBK" w:cs="方正仿宋_GBK"/>
          <w:color w:val="auto"/>
          <w:kern w:val="0"/>
          <w:sz w:val="32"/>
          <w:szCs w:val="32"/>
          <w:highlight w:val="none"/>
        </w:rPr>
        <w:t>个村卫生室。</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eastAsia" w:ascii="楷体" w:hAnsi="楷体" w:eastAsia="楷体" w:cs="楷体"/>
          <w:b/>
          <w:bCs/>
          <w:sz w:val="32"/>
          <w:szCs w:val="32"/>
          <w:shd w:val="clear" w:color="auto" w:fill="FFFFFF"/>
        </w:rPr>
      </w:pPr>
      <w:r>
        <w:rPr>
          <w:rStyle w:val="9"/>
          <w:rFonts w:ascii="黑体" w:hAnsi="黑体" w:eastAsia="黑体" w:cs="黑体"/>
          <w:sz w:val="32"/>
          <w:szCs w:val="32"/>
          <w:shd w:val="clear" w:color="auto" w:fill="FFFFFF"/>
        </w:rPr>
        <w:t>二、</w:t>
      </w:r>
      <w:r>
        <w:rPr>
          <w:rStyle w:val="9"/>
          <w:rFonts w:hint="eastAsia" w:ascii="黑体" w:hAnsi="黑体" w:eastAsia="黑体" w:cs="黑体"/>
          <w:sz w:val="32"/>
          <w:szCs w:val="32"/>
          <w:shd w:val="clear" w:color="auto" w:fill="FFFFFF"/>
          <w:lang w:eastAsia="zh-CN"/>
        </w:rPr>
        <w:t>单位</w:t>
      </w:r>
      <w:r>
        <w:rPr>
          <w:rStyle w:val="9"/>
          <w:rFonts w:ascii="黑体" w:hAnsi="黑体" w:eastAsia="黑体" w:cs="黑体"/>
          <w:sz w:val="32"/>
          <w:szCs w:val="32"/>
          <w:shd w:val="clear" w:color="auto" w:fill="FFFFFF"/>
        </w:rPr>
        <w:t>决算</w:t>
      </w:r>
      <w:r>
        <w:rPr>
          <w:rStyle w:val="9"/>
          <w:rFonts w:hint="eastAsia" w:ascii="黑体" w:hAnsi="黑体" w:eastAsia="黑体" w:cs="黑体"/>
          <w:sz w:val="32"/>
          <w:szCs w:val="32"/>
          <w:shd w:val="clear" w:color="auto" w:fill="FFFFFF"/>
          <w:lang w:eastAsia="zh-CN"/>
        </w:rPr>
        <w:t>收支</w:t>
      </w:r>
      <w:r>
        <w:rPr>
          <w:rStyle w:val="9"/>
          <w:rFonts w:ascii="黑体" w:hAnsi="黑体" w:eastAsia="黑体" w:cs="黑体"/>
          <w:sz w:val="32"/>
          <w:szCs w:val="32"/>
          <w:shd w:val="clear" w:color="auto" w:fill="FFFFFF"/>
        </w:rPr>
        <w:t>情况说明</w:t>
      </w:r>
    </w:p>
    <w:p>
      <w:pPr>
        <w:pStyle w:val="10"/>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6"/>
        <w:shd w:val="clear" w:color="auto" w:fill="FFFFFF"/>
        <w:ind w:firstLine="643" w:firstLineChars="200"/>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度收入总计243.66万元，支出总计</w:t>
      </w:r>
      <w:r>
        <w:rPr>
          <w:rFonts w:ascii="方正仿宋_GBK" w:hAnsi="方正仿宋_GBK" w:eastAsia="方正仿宋_GBK" w:cs="方正仿宋_GBK"/>
          <w:sz w:val="32"/>
          <w:szCs w:val="32"/>
        </w:rPr>
        <w:t>243.66</w:t>
      </w:r>
      <w:r>
        <w:rPr>
          <w:rFonts w:ascii="方正仿宋_GBK" w:hAnsi="方正仿宋_GBK" w:eastAsia="方正仿宋_GBK" w:cs="方正仿宋_GBK"/>
          <w:sz w:val="32"/>
          <w:szCs w:val="32"/>
          <w:shd w:val="clear" w:color="auto" w:fill="FFFFFF"/>
        </w:rPr>
        <w:t>万元。收、支与2023年度相比，减少17.43万元，下降6.7%，主要原因是</w:t>
      </w:r>
      <w:r>
        <w:rPr>
          <w:rFonts w:hint="eastAsia" w:ascii="方正仿宋_GBK" w:hAnsi="方正仿宋_GBK" w:eastAsia="方正仿宋_GBK" w:cs="方正仿宋_GBK"/>
          <w:sz w:val="32"/>
          <w:szCs w:val="32"/>
          <w:shd w:val="clear" w:color="auto" w:fill="FFFFFF"/>
          <w:lang w:val="en-US" w:eastAsia="zh-CN"/>
        </w:rPr>
        <w:t>人员减少，人员经费拨款减少，基本公共卫生服务项目拨款减少。</w:t>
      </w:r>
    </w:p>
    <w:p>
      <w:pPr>
        <w:pStyle w:val="6"/>
        <w:shd w:val="clear" w:color="auto" w:fill="FFFFFF"/>
        <w:ind w:firstLine="643" w:firstLineChars="200"/>
        <w:rPr>
          <w:rFonts w:hint="default" w:ascii="方正仿宋_GBK" w:hAnsi="方正仿宋_GBK" w:eastAsia="方正仿宋_GBK" w:cs="方正仿宋_GBK"/>
          <w:sz w:val="32"/>
          <w:szCs w:val="32"/>
          <w:shd w:val="clear" w:color="auto" w:fill="FFFFFF"/>
        </w:rPr>
      </w:pPr>
      <w:r>
        <w:rPr>
          <w:rStyle w:val="9"/>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度收入合计243.66万元，与2023年度相比，减少17.43万元，下降6.7%，主要原因是</w:t>
      </w:r>
      <w:r>
        <w:rPr>
          <w:rFonts w:hint="eastAsia" w:ascii="方正仿宋_GBK" w:hAnsi="方正仿宋_GBK" w:eastAsia="方正仿宋_GBK" w:cs="方正仿宋_GBK"/>
          <w:sz w:val="32"/>
          <w:szCs w:val="32"/>
          <w:shd w:val="clear" w:color="auto" w:fill="FFFFFF"/>
          <w:lang w:val="en-US" w:eastAsia="zh-CN"/>
        </w:rPr>
        <w:t>人员减少，人员经费拨款减少，基本公共卫生服务项目拨款减少。</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190.37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78.13</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53.25</w:t>
      </w:r>
      <w:r>
        <w:rPr>
          <w:rFonts w:ascii="方正仿宋_GBK" w:hAnsi="方正仿宋_GBK" w:eastAsia="方正仿宋_GBK" w:cs="方正仿宋_GBK"/>
          <w:sz w:val="32"/>
          <w:szCs w:val="32"/>
          <w:shd w:val="clear" w:color="auto" w:fill="FFFFFF"/>
        </w:rPr>
        <w:t>万元，占21.86%；经营收入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0.04</w:t>
      </w:r>
      <w:r>
        <w:rPr>
          <w:rFonts w:ascii="方正仿宋_GBK" w:hAnsi="方正仿宋_GBK" w:eastAsia="方正仿宋_GBK" w:cs="方正仿宋_GBK"/>
          <w:sz w:val="32"/>
          <w:szCs w:val="32"/>
          <w:shd w:val="clear" w:color="auto" w:fill="FFFFFF"/>
        </w:rPr>
        <w:t>万元，占0.02%。此外，使用非财政拨款结余和专用结余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hd w:val="clear" w:color="auto" w:fill="FFFFFF"/>
        <w:ind w:firstLine="643" w:firstLineChars="200"/>
        <w:rPr>
          <w:rFonts w:hint="default" w:ascii="方正仿宋_GBK" w:hAnsi="方正仿宋_GBK" w:eastAsia="方正仿宋_GBK" w:cs="方正仿宋_GBK"/>
          <w:sz w:val="32"/>
          <w:szCs w:val="32"/>
          <w:shd w:val="clear" w:color="auto" w:fill="FFFFFF"/>
        </w:rPr>
      </w:pPr>
      <w:r>
        <w:rPr>
          <w:rStyle w:val="9"/>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243.62</w:t>
      </w:r>
      <w:r>
        <w:rPr>
          <w:rFonts w:ascii="方正仿宋_GBK" w:hAnsi="方正仿宋_GBK" w:eastAsia="方正仿宋_GBK" w:cs="方正仿宋_GBK"/>
          <w:sz w:val="32"/>
          <w:szCs w:val="32"/>
          <w:shd w:val="clear" w:color="auto" w:fill="FFFFFF"/>
        </w:rPr>
        <w:t>万元，与2023年度相比，减少17.45万元，下降6.7%，主要原因是</w:t>
      </w:r>
      <w:r>
        <w:rPr>
          <w:rFonts w:hint="eastAsia" w:ascii="方正仿宋_GBK" w:hAnsi="方正仿宋_GBK" w:eastAsia="方正仿宋_GBK" w:cs="方正仿宋_GBK"/>
          <w:sz w:val="32"/>
          <w:szCs w:val="32"/>
          <w:shd w:val="clear" w:color="auto" w:fill="FFFFFF"/>
          <w:lang w:val="en-US" w:eastAsia="zh-CN"/>
        </w:rPr>
        <w:t>人员减少，人员经费拨款减少，基本公共卫生服务项目拨款减少。</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216.74</w:t>
      </w:r>
      <w:r>
        <w:rPr>
          <w:rFonts w:ascii="方正仿宋_GBK" w:hAnsi="方正仿宋_GBK" w:eastAsia="方正仿宋_GBK" w:cs="方正仿宋_GBK"/>
          <w:sz w:val="32"/>
          <w:szCs w:val="32"/>
          <w:shd w:val="clear" w:color="auto" w:fill="FFFFFF"/>
        </w:rPr>
        <w:t>万元，占88.97%；项目支出</w:t>
      </w:r>
      <w:r>
        <w:rPr>
          <w:rFonts w:ascii="方正仿宋_GBK" w:hAnsi="方正仿宋_GBK" w:eastAsia="方正仿宋_GBK" w:cs="方正仿宋_GBK"/>
          <w:sz w:val="32"/>
          <w:szCs w:val="32"/>
        </w:rPr>
        <w:t>26.87</w:t>
      </w:r>
      <w:r>
        <w:rPr>
          <w:rFonts w:ascii="方正仿宋_GBK" w:hAnsi="方正仿宋_GBK" w:eastAsia="方正仿宋_GBK" w:cs="方正仿宋_GBK"/>
          <w:sz w:val="32"/>
          <w:szCs w:val="32"/>
          <w:shd w:val="clear" w:color="auto" w:fill="FFFFFF"/>
        </w:rPr>
        <w:t>万元，占11.03%；经营支出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0.04</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eastAsia" w:ascii="方正仿宋_GBK" w:hAnsi="方正仿宋_GBK" w:eastAsia="方正仿宋_GBK" w:cs="方正仿宋_GBK"/>
          <w:sz w:val="32"/>
          <w:szCs w:val="32"/>
          <w:lang w:val="en-US" w:eastAsia="zh-CN"/>
        </w:rPr>
      </w:pPr>
      <w:r>
        <w:rPr>
          <w:rStyle w:val="9"/>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hint="eastAsia" w:ascii="方正仿宋_GBK" w:hAnsi="方正仿宋_GBK" w:eastAsia="方正仿宋_GBK" w:cs="方正仿宋_GBK"/>
          <w:sz w:val="32"/>
          <w:szCs w:val="32"/>
          <w:shd w:val="clear" w:color="auto" w:fill="FFFFFF"/>
          <w:lang w:val="en-US" w:eastAsia="zh-CN"/>
        </w:rPr>
        <w:t>。</w:t>
      </w:r>
    </w:p>
    <w:p>
      <w:pPr>
        <w:pStyle w:val="10"/>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6"/>
        <w:shd w:val="clear" w:color="auto" w:fill="FFFFFF"/>
        <w:ind w:firstLine="640" w:firstLineChars="200"/>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度财政拨款收、支总计190.37万元。与202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年相比，财政拨款收、支总计各减少16.23万元，下降7.9%。主要原因是</w:t>
      </w:r>
      <w:r>
        <w:rPr>
          <w:rFonts w:hint="eastAsia" w:ascii="方正仿宋_GBK" w:hAnsi="方正仿宋_GBK" w:eastAsia="方正仿宋_GBK" w:cs="方正仿宋_GBK"/>
          <w:sz w:val="32"/>
          <w:szCs w:val="32"/>
          <w:shd w:val="clear" w:color="auto" w:fill="FFFFFF"/>
          <w:lang w:val="en-US" w:eastAsia="zh-CN"/>
        </w:rPr>
        <w:t>人员减少，人员经费拨款减少，基本公共卫生服务项目拨款减少。</w:t>
      </w:r>
    </w:p>
    <w:p>
      <w:pPr>
        <w:pStyle w:val="10"/>
        <w:numPr>
          <w:ilvl w:val="0"/>
          <w:numId w:val="1"/>
        </w:numPr>
        <w:autoSpaceDE w:val="0"/>
        <w:ind w:firstLine="643"/>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一般公共预算财政拨款收入支出决算情况说明</w:t>
      </w:r>
    </w:p>
    <w:p>
      <w:pPr>
        <w:pStyle w:val="6"/>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shd w:val="clear" w:color="auto" w:fill="FFFFFF"/>
        </w:rPr>
      </w:pPr>
      <w:r>
        <w:rPr>
          <w:rStyle w:val="9"/>
          <w:rFonts w:hint="eastAsia" w:ascii="方正仿宋_GBK" w:hAnsi="方正仿宋_GBK" w:eastAsia="方正仿宋_GBK" w:cs="方正仿宋_GBK"/>
          <w:sz w:val="32"/>
          <w:szCs w:val="32"/>
          <w:shd w:val="clear" w:color="auto" w:fill="FFFFFF"/>
          <w:lang w:val="en-US" w:eastAsia="zh-CN"/>
        </w:rPr>
        <w:t>1</w:t>
      </w:r>
      <w:r>
        <w:rPr>
          <w:rStyle w:val="9"/>
          <w:rFonts w:ascii="方正仿宋_GBK" w:hAnsi="方正仿宋_GBK" w:eastAsia="方正仿宋_GBK" w:cs="方正仿宋_GBK"/>
          <w:sz w:val="32"/>
          <w:szCs w:val="32"/>
          <w:shd w:val="clear" w:color="auto" w:fill="FFFFFF"/>
        </w:rPr>
        <w:t>.收入情况。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190.37</w:t>
      </w:r>
      <w:r>
        <w:rPr>
          <w:rFonts w:ascii="方正仿宋_GBK" w:hAnsi="方正仿宋_GBK" w:eastAsia="方正仿宋_GBK" w:cs="方正仿宋_GBK"/>
          <w:sz w:val="32"/>
          <w:szCs w:val="32"/>
          <w:shd w:val="clear" w:color="auto" w:fill="FFFFFF"/>
        </w:rPr>
        <w:t>万元，与2023年度相比，减少16.23万元，下降7.9%。主要原因</w:t>
      </w:r>
      <w:r>
        <w:rPr>
          <w:rFonts w:hint="eastAsia" w:ascii="方正仿宋_GBK" w:hAnsi="方正仿宋_GBK" w:eastAsia="方正仿宋_GBK" w:cs="方正仿宋_GBK"/>
          <w:sz w:val="32"/>
          <w:szCs w:val="32"/>
          <w:shd w:val="clear" w:color="auto" w:fill="FFFFFF"/>
          <w:lang w:eastAsia="zh-CN"/>
        </w:rPr>
        <w:t>是人员减少，</w:t>
      </w:r>
      <w:r>
        <w:rPr>
          <w:rFonts w:hint="eastAsia" w:ascii="方正仿宋_GBK" w:hAnsi="方正仿宋_GBK" w:eastAsia="方正仿宋_GBK" w:cs="方正仿宋_GBK"/>
          <w:color w:val="auto"/>
          <w:sz w:val="32"/>
          <w:szCs w:val="32"/>
          <w:shd w:val="clear" w:color="auto" w:fill="FFFFFF"/>
          <w:lang w:val="en-US" w:eastAsia="zh-CN"/>
        </w:rPr>
        <w:t>财政拨款收入减少，基本公共卫生服务收入减少</w:t>
      </w:r>
      <w:r>
        <w:rPr>
          <w:rFonts w:ascii="方正仿宋_GBK" w:hAnsi="方正仿宋_GBK" w:eastAsia="方正仿宋_GBK" w:cs="方正仿宋_GBK"/>
          <w:sz w:val="32"/>
          <w:szCs w:val="32"/>
          <w:shd w:val="clear" w:color="auto" w:fill="FFFFFF"/>
        </w:rPr>
        <w:t>。较年初预算数增加52.39万元，增长38.0%。</w:t>
      </w:r>
      <w:r>
        <w:rPr>
          <w:rFonts w:hint="eastAsia" w:ascii="方正仿宋_GBK" w:hAnsi="方正仿宋_GBK" w:eastAsia="方正仿宋_GBK" w:cs="方正仿宋_GBK"/>
          <w:sz w:val="32"/>
          <w:szCs w:val="32"/>
          <w:shd w:val="clear" w:color="auto" w:fill="FFFFFF"/>
          <w:lang w:val="en-US" w:eastAsia="zh-CN"/>
        </w:rPr>
        <w:t>主要原因</w:t>
      </w:r>
      <w:r>
        <w:rPr>
          <w:rFonts w:ascii="方正仿宋_GBK" w:hAnsi="方正仿宋_GBK" w:eastAsia="方正仿宋_GBK" w:cs="方正仿宋_GBK"/>
          <w:sz w:val="32"/>
          <w:szCs w:val="32"/>
          <w:shd w:val="clear" w:color="auto" w:fill="FFFFFF"/>
        </w:rPr>
        <w:t>是</w:t>
      </w:r>
      <w:r>
        <w:rPr>
          <w:rFonts w:hint="eastAsia" w:ascii="方正仿宋_GBK" w:hAnsi="方正仿宋_GBK" w:eastAsia="方正仿宋_GBK" w:cs="方正仿宋_GBK"/>
          <w:kern w:val="0"/>
          <w:sz w:val="32"/>
          <w:szCs w:val="32"/>
          <w:shd w:val="clear" w:color="auto" w:fill="FFFFFF"/>
        </w:rPr>
        <w:t>单位年初预算仅预算基本支出人员经费没有预算公共卫生项目经费预算，项目经费预算由卫健委统一编报，在调剂给本单位，导致决算数较预算数增</w:t>
      </w:r>
      <w:r>
        <w:rPr>
          <w:rFonts w:hint="eastAsia" w:ascii="方正仿宋_GBK" w:hAnsi="方正仿宋_GBK" w:eastAsia="方正仿宋_GBK" w:cs="方正仿宋_GBK"/>
          <w:kern w:val="0"/>
          <w:sz w:val="32"/>
          <w:szCs w:val="32"/>
          <w:shd w:val="clear" w:color="auto" w:fill="FFFFFF"/>
          <w:lang w:eastAsia="zh-CN"/>
        </w:rPr>
        <w:t>加</w:t>
      </w:r>
      <w:r>
        <w:rPr>
          <w:rFonts w:hint="eastAsia" w:ascii="方正仿宋_GBK" w:hAnsi="方正仿宋_GBK" w:eastAsia="方正仿宋_GBK" w:cs="方正仿宋_GBK"/>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eastAsia" w:ascii="方正仿宋_GBK" w:hAnsi="方正仿宋_GBK" w:eastAsia="方正仿宋_GBK" w:cs="方正仿宋_GBK"/>
          <w:sz w:val="32"/>
          <w:szCs w:val="32"/>
          <w:shd w:val="clear" w:color="auto" w:fill="FFFFFF"/>
          <w:lang w:val="en-US" w:eastAsia="zh-CN"/>
        </w:rPr>
      </w:pPr>
      <w:r>
        <w:rPr>
          <w:rStyle w:val="9"/>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190.37</w:t>
      </w:r>
      <w:r>
        <w:rPr>
          <w:rFonts w:ascii="方正仿宋_GBK" w:hAnsi="方正仿宋_GBK" w:eastAsia="方正仿宋_GBK" w:cs="方正仿宋_GBK"/>
          <w:sz w:val="32"/>
          <w:szCs w:val="32"/>
          <w:shd w:val="clear" w:color="auto" w:fill="FFFFFF"/>
        </w:rPr>
        <w:t>万元，与2023年度相比，减少16.23万元，下降7.9%。主要原因</w:t>
      </w:r>
      <w:r>
        <w:rPr>
          <w:rFonts w:hint="eastAsia" w:ascii="方正仿宋_GBK" w:hAnsi="方正仿宋_GBK" w:eastAsia="方正仿宋_GBK" w:cs="方正仿宋_GBK"/>
          <w:sz w:val="32"/>
          <w:szCs w:val="32"/>
          <w:shd w:val="clear" w:color="auto" w:fill="FFFFFF"/>
          <w:lang w:eastAsia="zh-CN"/>
        </w:rPr>
        <w:t>是人员减少，</w:t>
      </w:r>
      <w:r>
        <w:rPr>
          <w:rFonts w:hint="eastAsia" w:ascii="方正仿宋_GBK" w:hAnsi="方正仿宋_GBK" w:eastAsia="方正仿宋_GBK" w:cs="方正仿宋_GBK"/>
          <w:color w:val="auto"/>
          <w:sz w:val="32"/>
          <w:szCs w:val="32"/>
          <w:shd w:val="clear" w:color="auto" w:fill="FFFFFF"/>
          <w:lang w:val="en-US" w:eastAsia="zh-CN"/>
        </w:rPr>
        <w:t>财政拨款收入减少，基本公共卫生服务收入减少</w:t>
      </w:r>
      <w:r>
        <w:rPr>
          <w:rFonts w:hint="eastAsia" w:ascii="方正仿宋_GBK" w:hAnsi="方正仿宋_GBK" w:eastAsia="方正仿宋_GBK" w:cs="方正仿宋_GBK"/>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较年初预算数增加52.39万元，增长38.0%。主要原因是</w:t>
      </w:r>
      <w:r>
        <w:rPr>
          <w:rFonts w:hint="eastAsia" w:ascii="方正仿宋_GBK" w:hAnsi="方正仿宋_GBK" w:eastAsia="方正仿宋_GBK" w:cs="方正仿宋_GBK"/>
          <w:kern w:val="0"/>
          <w:sz w:val="32"/>
          <w:szCs w:val="32"/>
          <w:shd w:val="clear" w:color="auto" w:fill="FFFFFF"/>
        </w:rPr>
        <w:t>单位年初预算仅预算基本支出人员经费没有预算公共卫生项目经费预算，项目经费预算由卫健委统一编报，在调剂给本单位，导致决算数较预算数增</w:t>
      </w:r>
      <w:r>
        <w:rPr>
          <w:rFonts w:hint="eastAsia" w:ascii="方正仿宋_GBK" w:hAnsi="方正仿宋_GBK" w:eastAsia="方正仿宋_GBK" w:cs="方正仿宋_GBK"/>
          <w:kern w:val="0"/>
          <w:sz w:val="32"/>
          <w:szCs w:val="32"/>
          <w:shd w:val="clear" w:color="auto" w:fill="FFFFFF"/>
          <w:lang w:eastAsia="zh-CN"/>
        </w:rPr>
        <w:t>加</w:t>
      </w:r>
      <w:r>
        <w:rPr>
          <w:rFonts w:hint="eastAsia" w:ascii="方正仿宋_GBK" w:hAnsi="方正仿宋_GBK" w:eastAsia="方正仿宋_GBK" w:cs="方正仿宋_GBK"/>
          <w:kern w:val="0"/>
          <w:sz w:val="32"/>
          <w:szCs w:val="32"/>
          <w:shd w:val="clear" w:color="auto" w:fill="FFFFFF"/>
        </w:rPr>
        <w:t>。</w:t>
      </w:r>
    </w:p>
    <w:p>
      <w:pPr>
        <w:pStyle w:val="6"/>
        <w:snapToGrid w:val="0"/>
        <w:spacing w:before="0" w:beforeAutospacing="0" w:after="0" w:afterAutospacing="0" w:line="600" w:lineRule="exact"/>
        <w:ind w:firstLine="643" w:firstLineChars="200"/>
        <w:jc w:val="both"/>
        <w:rPr>
          <w:rFonts w:hint="eastAsia" w:ascii="方正仿宋_GBK" w:hAnsi="方正仿宋_GBK" w:eastAsia="方正仿宋_GBK" w:cs="方正仿宋_GBK"/>
          <w:sz w:val="32"/>
          <w:szCs w:val="32"/>
          <w:shd w:val="clear" w:color="auto" w:fill="FFFFFF"/>
          <w:lang w:val="en-US" w:eastAsia="zh-CN"/>
        </w:rPr>
      </w:pPr>
      <w:r>
        <w:rPr>
          <w:rStyle w:val="9"/>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hint="eastAsia" w:ascii="方正仿宋_GBK" w:hAnsi="方正仿宋_GBK" w:eastAsia="方正仿宋_GBK" w:cs="方正仿宋_GBK"/>
          <w:sz w:val="32"/>
          <w:szCs w:val="32"/>
          <w:shd w:val="clear" w:color="auto" w:fill="FFFFFF"/>
          <w:lang w:eastAsia="zh-CN"/>
        </w:rPr>
        <w:t>。</w:t>
      </w:r>
    </w:p>
    <w:p>
      <w:pPr>
        <w:pStyle w:val="10"/>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6"/>
        <w:keepNext w:val="0"/>
        <w:keepLines w:val="0"/>
        <w:pageBreakBefore w:val="0"/>
        <w:widowControl/>
        <w:numPr>
          <w:ilvl w:val="0"/>
          <w:numId w:val="0"/>
        </w:numPr>
        <w:kinsoku/>
        <w:overflowPunct/>
        <w:topLinePunct w:val="0"/>
        <w:autoSpaceDN/>
        <w:bidi w:val="0"/>
        <w:adjustRightInd/>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163.49</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163.49</w:t>
      </w:r>
      <w:r>
        <w:rPr>
          <w:rFonts w:ascii="方正仿宋_GBK" w:hAnsi="方正仿宋_GBK" w:eastAsia="方正仿宋_GBK" w:cs="方正仿宋_GBK"/>
          <w:sz w:val="32"/>
          <w:szCs w:val="32"/>
          <w:shd w:val="clear" w:color="auto" w:fill="FFFFFF"/>
        </w:rPr>
        <w:t>万元，与2023年度相比，增加15.46万元，增长10.4%，主要原因是</w:t>
      </w:r>
      <w:r>
        <w:rPr>
          <w:rFonts w:hint="eastAsia" w:ascii="方正仿宋_GBK" w:hAnsi="方正仿宋_GBK" w:eastAsia="方正仿宋_GBK" w:cs="方正仿宋_GBK"/>
          <w:sz w:val="32"/>
          <w:szCs w:val="32"/>
          <w:shd w:val="clear" w:color="auto" w:fill="FFFFFF"/>
          <w:lang w:eastAsia="zh-CN"/>
        </w:rPr>
        <w:t>年中追加退休职工死亡抚恤金，三支一扶人员经费</w:t>
      </w:r>
      <w:r>
        <w:rPr>
          <w:rFonts w:hint="eastAsia" w:ascii="方正仿宋_GBK" w:hAnsi="方正仿宋_GBK" w:eastAsia="方正仿宋_GBK" w:cs="方正仿宋_GBK"/>
          <w:sz w:val="32"/>
          <w:szCs w:val="32"/>
          <w:shd w:val="clear" w:color="auto" w:fill="FFFFFF"/>
          <w:lang w:val="en-US" w:eastAsia="zh-CN"/>
        </w:rPr>
        <w:t>2023年填列在项目支出，2024年填列在基本支出</w:t>
      </w:r>
      <w:r>
        <w:rPr>
          <w:rFonts w:hint="eastAsia" w:ascii="方正仿宋_GBK" w:hAnsi="方正仿宋_GBK" w:eastAsia="方正仿宋_GBK" w:cs="方正仿宋_GBK"/>
          <w:kern w:val="0"/>
          <w:sz w:val="32"/>
          <w:szCs w:val="32"/>
          <w:shd w:val="clear" w:color="auto" w:fill="FFFFFF"/>
        </w:rPr>
        <w:t>。</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kern w:val="2"/>
          <w:sz w:val="32"/>
          <w:szCs w:val="32"/>
        </w:rPr>
        <w:t>基本工资、津贴补贴、绩效工资、社会保障缴费、住房公积金及健康</w:t>
      </w:r>
      <w:r>
        <w:rPr>
          <w:rFonts w:hint="eastAsia" w:ascii="方正仿宋_GBK" w:hAnsi="方正仿宋_GBK" w:eastAsia="方正仿宋_GBK" w:cs="方正仿宋_GBK"/>
          <w:kern w:val="2"/>
          <w:sz w:val="32"/>
          <w:szCs w:val="32"/>
          <w:highlight w:val="none"/>
        </w:rPr>
        <w:t>休养费。</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hint="eastAsia" w:ascii="方正仿宋_GBK" w:hAnsi="方正仿宋_GBK" w:eastAsia="方正仿宋_GBK" w:cs="方正仿宋_GBK"/>
          <w:color w:val="auto"/>
          <w:sz w:val="32"/>
          <w:szCs w:val="32"/>
          <w:highlight w:val="none"/>
          <w:shd w:val="clear" w:color="auto" w:fill="FFFFFF"/>
          <w:lang w:eastAsia="zh-CN"/>
        </w:rPr>
        <w:t>主要原因是我单位属于差额拨款事业单位，无公用经费拨款。</w:t>
      </w:r>
    </w:p>
    <w:p>
      <w:pPr>
        <w:pStyle w:val="10"/>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10"/>
        <w:autoSpaceDE w:val="0"/>
        <w:ind w:firstLine="643"/>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本单位202</w:t>
      </w:r>
      <w:r>
        <w:rPr>
          <w:rFonts w:hint="eastAsia" w:ascii="方正仿宋_GBK" w:hAnsi="方正仿宋_GBK" w:eastAsia="方正仿宋_GBK" w:cs="方正仿宋_GBK"/>
          <w:kern w:val="2"/>
          <w:sz w:val="32"/>
          <w:szCs w:val="32"/>
          <w:lang w:val="en-US" w:eastAsia="zh-CN"/>
        </w:rPr>
        <w:t>4</w:t>
      </w:r>
      <w:r>
        <w:rPr>
          <w:rFonts w:hint="eastAsia" w:ascii="方正仿宋_GBK" w:hAnsi="方正仿宋_GBK" w:eastAsia="方正仿宋_GBK" w:cs="方正仿宋_GBK"/>
          <w:kern w:val="2"/>
          <w:sz w:val="32"/>
          <w:szCs w:val="32"/>
        </w:rPr>
        <w:t>年度无政府性基金预算财政拨款收支。</w:t>
      </w:r>
    </w:p>
    <w:p>
      <w:pPr>
        <w:pStyle w:val="10"/>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kern w:val="2"/>
          <w:sz w:val="32"/>
          <w:szCs w:val="32"/>
        </w:rPr>
        <w:t>本单位202</w:t>
      </w:r>
      <w:r>
        <w:rPr>
          <w:rFonts w:hint="eastAsia" w:ascii="方正仿宋_GBK" w:hAnsi="方正仿宋_GBK" w:eastAsia="方正仿宋_GBK" w:cs="方正仿宋_GBK"/>
          <w:kern w:val="2"/>
          <w:sz w:val="32"/>
          <w:szCs w:val="32"/>
          <w:lang w:val="en-US" w:eastAsia="zh-CN"/>
        </w:rPr>
        <w:t>4</w:t>
      </w:r>
      <w:r>
        <w:rPr>
          <w:rFonts w:hint="eastAsia" w:ascii="方正仿宋_GBK" w:hAnsi="方正仿宋_GBK" w:eastAsia="方正仿宋_GBK" w:cs="方正仿宋_GBK"/>
          <w:kern w:val="2"/>
          <w:sz w:val="32"/>
          <w:szCs w:val="32"/>
        </w:rPr>
        <w:t>年度无国有资本经营预算财政拨款支出</w:t>
      </w:r>
      <w:r>
        <w:rPr>
          <w:rFonts w:hint="eastAsia" w:ascii="方正仿宋_GBK" w:hAnsi="方正仿宋_GBK" w:eastAsia="方正仿宋_GBK" w:cs="方正仿宋_GBK"/>
          <w:kern w:val="2"/>
          <w:sz w:val="32"/>
          <w:szCs w:val="32"/>
          <w:lang w:eastAsia="zh-CN"/>
        </w:rPr>
        <w:t>。</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三、</w:t>
      </w:r>
      <w:r>
        <w:rPr>
          <w:rStyle w:val="9"/>
          <w:rFonts w:hint="eastAsia" w:ascii="黑体" w:hAnsi="黑体" w:eastAsia="黑体" w:cs="黑体"/>
          <w:sz w:val="32"/>
          <w:szCs w:val="32"/>
          <w:shd w:val="clear" w:color="auto" w:fill="FFFFFF"/>
          <w:lang w:eastAsia="zh-CN"/>
        </w:rPr>
        <w:t>财政拨款</w:t>
      </w:r>
      <w:r>
        <w:rPr>
          <w:rStyle w:val="9"/>
          <w:rFonts w:ascii="黑体" w:hAnsi="黑体" w:eastAsia="黑体" w:cs="黑体"/>
          <w:sz w:val="32"/>
          <w:szCs w:val="32"/>
          <w:shd w:val="clear" w:color="auto" w:fill="FFFFFF"/>
        </w:rPr>
        <w:t>“三公”经费情况说明</w:t>
      </w:r>
    </w:p>
    <w:p>
      <w:pPr>
        <w:pStyle w:val="10"/>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pPr>
        <w:pStyle w:val="14"/>
        <w:keepNext w:val="0"/>
        <w:keepLines w:val="0"/>
        <w:widowControl/>
        <w:suppressLineNumbers w:val="0"/>
        <w:autoSpaceDE w:val="0"/>
        <w:autoSpaceDN/>
        <w:spacing w:after="0" w:afterAutospacing="0" w:line="600" w:lineRule="exact"/>
        <w:ind w:left="0" w:firstLine="640" w:firstLineChars="200"/>
        <w:jc w:val="both"/>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我单位属于差额拨款事业单位，财政未保障“三公”经费。</w:t>
      </w:r>
    </w:p>
    <w:p>
      <w:pPr>
        <w:pStyle w:val="10"/>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14"/>
        <w:keepNext w:val="0"/>
        <w:keepLines w:val="0"/>
        <w:widowControl/>
        <w:suppressLineNumbers w:val="0"/>
        <w:autoSpaceDE w:val="0"/>
        <w:autoSpaceDN/>
        <w:spacing w:after="0" w:afterAutospacing="0" w:line="600" w:lineRule="exact"/>
        <w:ind w:left="0" w:firstLine="640" w:firstLineChars="200"/>
        <w:jc w:val="both"/>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202</w:t>
      </w:r>
      <w:r>
        <w:rPr>
          <w:rFonts w:hint="eastAsia" w:ascii="方正仿宋_GBK" w:hAnsi="方正仿宋_GBK" w:eastAsia="方正仿宋_GBK" w:cs="方正仿宋_GBK"/>
          <w:kern w:val="2"/>
          <w:sz w:val="32"/>
          <w:szCs w:val="32"/>
          <w:lang w:val="en-US" w:eastAsia="zh-CN"/>
        </w:rPr>
        <w:t>4</w:t>
      </w:r>
      <w:r>
        <w:rPr>
          <w:rFonts w:hint="eastAsia" w:ascii="方正仿宋_GBK" w:hAnsi="方正仿宋_GBK" w:eastAsia="方正仿宋_GBK" w:cs="方正仿宋_GBK"/>
          <w:kern w:val="2"/>
          <w:sz w:val="32"/>
          <w:szCs w:val="32"/>
        </w:rPr>
        <w:t>年度本单位无因公出国（境）费用。</w:t>
      </w:r>
    </w:p>
    <w:p>
      <w:pPr>
        <w:pStyle w:val="14"/>
        <w:keepNext w:val="0"/>
        <w:keepLines w:val="0"/>
        <w:widowControl/>
        <w:suppressLineNumbers w:val="0"/>
        <w:autoSpaceDE w:val="0"/>
        <w:autoSpaceDN/>
        <w:spacing w:after="0" w:afterAutospacing="0" w:line="600" w:lineRule="exact"/>
        <w:ind w:left="0" w:firstLine="640" w:firstLineChars="200"/>
        <w:jc w:val="both"/>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202</w:t>
      </w:r>
      <w:r>
        <w:rPr>
          <w:rFonts w:hint="eastAsia" w:ascii="方正仿宋_GBK" w:hAnsi="方正仿宋_GBK" w:eastAsia="方正仿宋_GBK" w:cs="方正仿宋_GBK"/>
          <w:kern w:val="2"/>
          <w:sz w:val="32"/>
          <w:szCs w:val="32"/>
          <w:lang w:val="en-US" w:eastAsia="zh-CN"/>
        </w:rPr>
        <w:t>4</w:t>
      </w:r>
      <w:r>
        <w:rPr>
          <w:rFonts w:hint="eastAsia" w:ascii="方正仿宋_GBK" w:hAnsi="方正仿宋_GBK" w:eastAsia="方正仿宋_GBK" w:cs="方正仿宋_GBK"/>
          <w:kern w:val="2"/>
          <w:sz w:val="32"/>
          <w:szCs w:val="32"/>
        </w:rPr>
        <w:t>年度本单位无公务车购置费。</w:t>
      </w:r>
    </w:p>
    <w:p>
      <w:pPr>
        <w:pStyle w:val="14"/>
        <w:keepNext w:val="0"/>
        <w:keepLines w:val="0"/>
        <w:widowControl/>
        <w:suppressLineNumbers w:val="0"/>
        <w:autoSpaceDE w:val="0"/>
        <w:autoSpaceDN/>
        <w:spacing w:after="0" w:afterAutospacing="0" w:line="600" w:lineRule="exact"/>
        <w:ind w:left="0" w:firstLine="640" w:firstLineChars="200"/>
        <w:jc w:val="both"/>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202</w:t>
      </w:r>
      <w:r>
        <w:rPr>
          <w:rFonts w:hint="eastAsia" w:ascii="方正仿宋_GBK" w:hAnsi="方正仿宋_GBK" w:eastAsia="方正仿宋_GBK" w:cs="方正仿宋_GBK"/>
          <w:kern w:val="2"/>
          <w:sz w:val="32"/>
          <w:szCs w:val="32"/>
          <w:lang w:val="en-US" w:eastAsia="zh-CN"/>
        </w:rPr>
        <w:t>4</w:t>
      </w:r>
      <w:r>
        <w:rPr>
          <w:rFonts w:hint="eastAsia" w:ascii="方正仿宋_GBK" w:hAnsi="方正仿宋_GBK" w:eastAsia="方正仿宋_GBK" w:cs="方正仿宋_GBK"/>
          <w:kern w:val="2"/>
          <w:sz w:val="32"/>
          <w:szCs w:val="32"/>
        </w:rPr>
        <w:t>年度本单位无公务车运行维护费。</w:t>
      </w:r>
    </w:p>
    <w:p>
      <w:pPr>
        <w:pStyle w:val="14"/>
        <w:keepNext w:val="0"/>
        <w:keepLines w:val="0"/>
        <w:widowControl/>
        <w:suppressLineNumbers w:val="0"/>
        <w:autoSpaceDE w:val="0"/>
        <w:autoSpaceDN/>
        <w:spacing w:after="0" w:afterAutospacing="0" w:line="600" w:lineRule="exact"/>
        <w:ind w:left="0" w:firstLine="640" w:firstLineChars="200"/>
        <w:jc w:val="both"/>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rPr>
        <w:t>202</w:t>
      </w:r>
      <w:r>
        <w:rPr>
          <w:rFonts w:hint="eastAsia" w:ascii="方正仿宋_GBK" w:hAnsi="方正仿宋_GBK" w:eastAsia="方正仿宋_GBK" w:cs="方正仿宋_GBK"/>
          <w:kern w:val="2"/>
          <w:sz w:val="32"/>
          <w:szCs w:val="32"/>
          <w:lang w:val="en-US" w:eastAsia="zh-CN"/>
        </w:rPr>
        <w:t>4</w:t>
      </w:r>
      <w:r>
        <w:rPr>
          <w:rFonts w:hint="eastAsia" w:ascii="方正仿宋_GBK" w:hAnsi="方正仿宋_GBK" w:eastAsia="方正仿宋_GBK" w:cs="方正仿宋_GBK"/>
          <w:kern w:val="2"/>
          <w:sz w:val="32"/>
          <w:szCs w:val="32"/>
        </w:rPr>
        <w:t>年度本单位无公务接待费。</w:t>
      </w:r>
    </w:p>
    <w:p>
      <w:pPr>
        <w:pStyle w:val="10"/>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四、其他需要说明的事项</w:t>
      </w:r>
    </w:p>
    <w:p>
      <w:pPr>
        <w:pStyle w:val="10"/>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（一）财政拨款会议费和培训费情况说明</w:t>
      </w:r>
    </w:p>
    <w:p>
      <w:pPr>
        <w:pStyle w:val="14"/>
        <w:keepNext w:val="0"/>
        <w:keepLines w:val="0"/>
        <w:widowControl/>
        <w:suppressLineNumbers w:val="0"/>
        <w:autoSpaceDE w:val="0"/>
        <w:autoSpaceDN/>
        <w:spacing w:after="0" w:afterAutospacing="0" w:line="600" w:lineRule="exact"/>
        <w:ind w:left="0" w:leftChars="0"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kern w:val="2"/>
          <w:sz w:val="32"/>
          <w:szCs w:val="32"/>
        </w:rPr>
        <w:t>我单位属于差额拨款事业单位，财政未保障我单位会议费和培训费。</w:t>
      </w:r>
    </w:p>
    <w:p>
      <w:pPr>
        <w:pStyle w:val="10"/>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10"/>
        <w:autoSpaceDE w:val="0"/>
        <w:ind w:firstLine="643"/>
        <w:rPr>
          <w:rFonts w:hint="eastAsia" w:ascii="方正仿宋_GBK" w:hAnsi="方正仿宋_GBK" w:eastAsia="方正仿宋_GBK" w:cs="方正仿宋_GBK"/>
          <w:sz w:val="32"/>
          <w:szCs w:val="32"/>
          <w:shd w:val="clear" w:color="auto" w:fill="FFFFFF"/>
          <w:lang w:val="en-US" w:eastAsia="zh-CN"/>
        </w:rPr>
      </w:pPr>
      <w:r>
        <w:rPr>
          <w:rFonts w:hint="default" w:ascii="方正仿宋_GBK" w:hAnsi="方正仿宋_GBK" w:eastAsia="方正仿宋_GBK" w:cs="方正仿宋_GBK"/>
          <w:sz w:val="32"/>
          <w:szCs w:val="32"/>
          <w:shd w:val="clear" w:color="auto" w:fill="FFFFFF"/>
          <w:lang w:val="en-US" w:eastAsia="zh-CN"/>
        </w:rPr>
        <w:t>按照部门决算列报口径，我单位不在机关运行经费统计范围之内。</w:t>
      </w:r>
    </w:p>
    <w:p>
      <w:pPr>
        <w:pStyle w:val="10"/>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10"/>
        <w:autoSpaceDE w:val="0"/>
        <w:ind w:firstLine="643"/>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截至202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年12月31日，本单位共有车辆</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0"/>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14"/>
        <w:keepNext w:val="0"/>
        <w:keepLines w:val="0"/>
        <w:widowControl/>
        <w:suppressLineNumbers w:val="0"/>
        <w:autoSpaceDE w:val="0"/>
        <w:autoSpaceDN/>
        <w:spacing w:after="0" w:afterAutospacing="0" w:line="600" w:lineRule="exact"/>
        <w:ind w:left="0"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 xml:space="preserve"> 202</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kern w:val="2"/>
          <w:sz w:val="32"/>
          <w:szCs w:val="32"/>
        </w:rPr>
        <w:t>年度我单位未发生政府采购事项，无相关经费支出。</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9"/>
          <w:rFonts w:hint="eastAsia" w:ascii="黑体" w:hAnsi="黑体" w:eastAsia="黑体" w:cs="黑体"/>
          <w:sz w:val="32"/>
          <w:szCs w:val="32"/>
          <w:shd w:val="clear" w:color="auto" w:fill="FFFFFF"/>
          <w:lang w:val="en-US" w:eastAsia="zh-CN" w:bidi="ar-SA"/>
        </w:rPr>
      </w:pPr>
      <w:r>
        <w:rPr>
          <w:rStyle w:val="9"/>
          <w:rFonts w:hint="eastAsia" w:ascii="黑体" w:hAnsi="黑体" w:eastAsia="黑体" w:cs="黑体"/>
          <w:sz w:val="32"/>
          <w:szCs w:val="32"/>
          <w:shd w:val="clear" w:color="auto" w:fill="FFFFFF"/>
          <w:lang w:val="en-US" w:eastAsia="zh-CN" w:bidi="ar-SA"/>
        </w:rPr>
        <w:t>五、2024年度预算绩效管理情况说明</w:t>
      </w:r>
    </w:p>
    <w:p>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（一）单位自评情况</w:t>
      </w:r>
    </w:p>
    <w:p>
      <w:pPr>
        <w:pStyle w:val="10"/>
        <w:numPr>
          <w:ilvl w:val="0"/>
          <w:numId w:val="0"/>
        </w:numPr>
        <w:autoSpaceDE w:val="0"/>
        <w:ind w:firstLine="640" w:firstLineChars="200"/>
        <w:rPr>
          <w:rFonts w:hint="eastAsia" w:ascii="方正仿宋_GBK" w:hAnsi="方正仿宋_GBK" w:eastAsia="方正仿宋_GBK" w:cs="方正仿宋_GBK"/>
          <w:color w:val="auto"/>
          <w:sz w:val="32"/>
          <w:szCs w:val="32"/>
          <w:highlight w:val="none"/>
          <w:shd w:val="clear" w:color="auto" w:fill="FFFFFF"/>
          <w:lang w:eastAsia="zh-CN"/>
        </w:rPr>
      </w:pPr>
      <w:r>
        <w:rPr>
          <w:rFonts w:hint="eastAsia" w:ascii="方正仿宋_GBK" w:hAnsi="方正仿宋_GBK" w:eastAsia="方正仿宋_GBK" w:cs="方正仿宋_GBK"/>
          <w:color w:val="auto"/>
          <w:sz w:val="32"/>
          <w:szCs w:val="32"/>
          <w:highlight w:val="none"/>
          <w:shd w:val="clear" w:color="auto" w:fill="FFFFFF"/>
        </w:rPr>
        <w:t>根据预算绩效管理要求，我单位</w:t>
      </w:r>
      <w:r>
        <w:rPr>
          <w:rFonts w:hint="eastAsia" w:ascii="方正仿宋_GBK" w:hAnsi="方正仿宋_GBK" w:eastAsia="方正仿宋_GBK" w:cs="方正仿宋_GBK"/>
          <w:color w:val="auto"/>
          <w:sz w:val="32"/>
          <w:szCs w:val="32"/>
          <w:highlight w:val="none"/>
          <w:shd w:val="clear" w:color="auto" w:fill="FFFFFF"/>
          <w:lang w:eastAsia="zh-CN"/>
        </w:rPr>
        <w:t>属于卫健委下属事业单位，部门整体绩效评价由卫健委统一进行自评。</w:t>
      </w:r>
    </w:p>
    <w:p>
      <w:pPr>
        <w:pStyle w:val="10"/>
        <w:numPr>
          <w:ilvl w:val="0"/>
          <w:numId w:val="0"/>
        </w:numPr>
        <w:autoSpaceDE w:val="0"/>
        <w:ind w:firstLine="640" w:firstLineChars="200"/>
        <w:rPr>
          <w:rFonts w:hint="default" w:ascii="方正仿宋_GBK" w:hAnsi="方正仿宋_GBK" w:eastAsia="方正仿宋_GBK" w:cs="方正仿宋_GBK"/>
          <w:color w:val="auto"/>
          <w:sz w:val="32"/>
          <w:szCs w:val="32"/>
          <w:highlight w:val="none"/>
          <w:shd w:val="clear" w:color="auto" w:fill="FFFFFF"/>
          <w:lang w:val="en-US" w:eastAsia="zh-CN"/>
        </w:rPr>
      </w:pPr>
      <w:r>
        <w:rPr>
          <w:rFonts w:hint="eastAsia" w:ascii="方正仿宋_GBK" w:hAnsi="方正仿宋_GBK" w:eastAsia="方正仿宋_GBK" w:cs="方正仿宋_GBK"/>
          <w:color w:val="auto"/>
          <w:sz w:val="32"/>
          <w:szCs w:val="32"/>
          <w:highlight w:val="none"/>
          <w:shd w:val="clear" w:color="auto" w:fill="FFFFFF"/>
          <w:lang w:eastAsia="zh-CN"/>
        </w:rPr>
        <w:t>我单位</w:t>
      </w:r>
      <w:r>
        <w:rPr>
          <w:rFonts w:hint="eastAsia" w:ascii="方正仿宋_GBK" w:hAnsi="方正仿宋_GBK" w:eastAsia="方正仿宋_GBK" w:cs="方正仿宋_GBK"/>
          <w:color w:val="auto"/>
          <w:sz w:val="32"/>
          <w:szCs w:val="32"/>
          <w:highlight w:val="none"/>
          <w:shd w:val="clear" w:color="auto" w:fill="FFFFFF"/>
          <w:lang w:val="en-US" w:eastAsia="zh-CN"/>
        </w:rPr>
        <w:t>对1个二级项目开展了绩效自评，涉及财政拨款项目支出资金26.87万元。</w:t>
      </w: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68"/>
        <w:gridCol w:w="851"/>
        <w:gridCol w:w="848"/>
        <w:gridCol w:w="773"/>
        <w:gridCol w:w="613"/>
        <w:gridCol w:w="653"/>
        <w:gridCol w:w="732"/>
        <w:gridCol w:w="613"/>
        <w:gridCol w:w="532"/>
        <w:gridCol w:w="693"/>
        <w:gridCol w:w="6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24"/>
                <w:szCs w:val="24"/>
                <w:u w:val="none"/>
                <w:lang w:val="en-US" w:eastAsia="zh-CN" w:bidi="ar"/>
              </w:rPr>
              <w:t>2024年度二级项目绩效自评表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both"/>
              <w:textAlignment w:val="center"/>
              <w:rPr>
                <w:rFonts w:hint="default" w:ascii="宋体" w:hAnsi="宋体" w:eastAsia="宋体" w:cs="宋体"/>
                <w:b/>
                <w:bCs/>
                <w:i w:val="0"/>
                <w:iCs w:val="0"/>
                <w:color w:val="DA3232"/>
                <w:sz w:val="16"/>
                <w:szCs w:val="16"/>
                <w:u w:val="none"/>
                <w:lang w:val="en-US"/>
              </w:rPr>
            </w:pPr>
            <w:r>
              <w:rPr>
                <w:rFonts w:hint="eastAsia" w:ascii="宋体" w:hAnsi="宋体" w:eastAsia="宋体" w:cs="宋体"/>
                <w:b/>
                <w:bCs/>
                <w:i w:val="0"/>
                <w:iCs w:val="0"/>
                <w:color w:val="DA3232"/>
                <w:kern w:val="0"/>
                <w:sz w:val="16"/>
                <w:szCs w:val="16"/>
                <w:u w:val="none"/>
                <w:lang w:val="en-US" w:eastAsia="zh-CN" w:bidi="ar"/>
              </w:rPr>
              <w:t>状态：业务审核已审</w:t>
            </w:r>
            <w:r>
              <w:rPr>
                <w:rFonts w:hint="eastAsia" w:cs="宋体"/>
                <w:b/>
                <w:bCs/>
                <w:i w:val="0"/>
                <w:iCs w:val="0"/>
                <w:color w:val="DA3232"/>
                <w:kern w:val="0"/>
                <w:sz w:val="16"/>
                <w:szCs w:val="16"/>
                <w:u w:val="none"/>
                <w:lang w:val="en-US" w:eastAsia="zh-CN" w:bidi="ar"/>
              </w:rPr>
              <w:t xml:space="preserve">                                                                         </w:t>
            </w:r>
            <w:r>
              <w:rPr>
                <w:rFonts w:hint="eastAsia" w:cs="宋体"/>
                <w:b w:val="0"/>
                <w:bCs w:val="0"/>
                <w:i w:val="0"/>
                <w:iCs w:val="0"/>
                <w:color w:val="auto"/>
                <w:kern w:val="0"/>
                <w:sz w:val="16"/>
                <w:szCs w:val="16"/>
                <w:u w:val="none"/>
                <w:lang w:val="en-US" w:eastAsia="zh-CN" w:bidi="ar"/>
              </w:rPr>
              <w:t xml:space="preserve"> 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项目名称：</w:t>
            </w:r>
          </w:p>
        </w:tc>
        <w:tc>
          <w:tcPr>
            <w:tcW w:w="9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基本公共卫生服务中央和市级补助资金</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项目编码：</w:t>
            </w:r>
          </w:p>
        </w:tc>
        <w:tc>
          <w:tcPr>
            <w:tcW w:w="74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50023822T000002456449</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自评总分：</w:t>
            </w:r>
          </w:p>
        </w:tc>
        <w:tc>
          <w:tcPr>
            <w:tcW w:w="6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16"/>
                <w:szCs w:val="16"/>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项目主管部门：</w:t>
            </w:r>
          </w:p>
        </w:tc>
        <w:tc>
          <w:tcPr>
            <w:tcW w:w="9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067-巫溪县卫生健康委员会</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财政归口处室：</w:t>
            </w:r>
          </w:p>
        </w:tc>
        <w:tc>
          <w:tcPr>
            <w:tcW w:w="74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006-社保科</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部门联系人：</w:t>
            </w:r>
          </w:p>
        </w:tc>
        <w:tc>
          <w:tcPr>
            <w:tcW w:w="6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韩程</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联系电话：</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13896200005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16"/>
                <w:szCs w:val="16"/>
                <w:u w:val="none"/>
              </w:rPr>
            </w:pPr>
            <w:r>
              <w:rPr>
                <w:rFonts w:hint="eastAsia" w:ascii="微软雅黑" w:hAnsi="微软雅黑" w:eastAsia="微软雅黑" w:cs="微软雅黑"/>
                <w:b/>
                <w:bCs/>
                <w:i w:val="0"/>
                <w:iCs w:val="0"/>
                <w:color w:val="808080"/>
                <w:kern w:val="0"/>
                <w:sz w:val="16"/>
                <w:szCs w:val="16"/>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41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9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年初预算数</w:t>
            </w:r>
          </w:p>
        </w:tc>
        <w:tc>
          <w:tcPr>
            <w:tcW w:w="74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全年（调整）预算数</w:t>
            </w:r>
          </w:p>
        </w:tc>
        <w:tc>
          <w:tcPr>
            <w:tcW w:w="78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全年执行数</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执行率</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执行率权重</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19"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年度总金额</w:t>
            </w:r>
          </w:p>
        </w:tc>
        <w:tc>
          <w:tcPr>
            <w:tcW w:w="498" w:type="pct"/>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97" w:type="pct"/>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453"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0.00 </w:t>
            </w:r>
          </w:p>
        </w:tc>
        <w:tc>
          <w:tcPr>
            <w:tcW w:w="359" w:type="pct"/>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382"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sz w:val="16"/>
                <w:szCs w:val="16"/>
                <w:u w:val="none"/>
                <w:lang w:val="en-US"/>
              </w:rPr>
            </w:pPr>
            <w:r>
              <w:rPr>
                <w:rFonts w:hint="eastAsia" w:ascii="宋体" w:hAnsi="宋体" w:eastAsia="宋体" w:cs="宋体"/>
                <w:i w:val="0"/>
                <w:iCs w:val="0"/>
                <w:color w:val="000000"/>
                <w:kern w:val="0"/>
                <w:sz w:val="16"/>
                <w:szCs w:val="16"/>
                <w:u w:val="none"/>
                <w:lang w:val="en-US" w:eastAsia="zh-CN" w:bidi="ar"/>
              </w:rPr>
              <w:t>26</w:t>
            </w:r>
            <w:r>
              <w:rPr>
                <w:rFonts w:hint="eastAsia" w:cs="宋体"/>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 xml:space="preserve">87 </w:t>
            </w:r>
          </w:p>
        </w:tc>
        <w:tc>
          <w:tcPr>
            <w:tcW w:w="429" w:type="pct"/>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358"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w:t>
            </w:r>
            <w:r>
              <w:rPr>
                <w:rFonts w:hint="eastAsia" w:cs="宋体"/>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87</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19"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其中：财政拨款</w:t>
            </w:r>
          </w:p>
        </w:tc>
        <w:tc>
          <w:tcPr>
            <w:tcW w:w="498" w:type="pct"/>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97" w:type="pct"/>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453"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0.00 </w:t>
            </w:r>
          </w:p>
        </w:tc>
        <w:tc>
          <w:tcPr>
            <w:tcW w:w="359" w:type="pct"/>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382"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w:t>
            </w:r>
            <w:r>
              <w:rPr>
                <w:rFonts w:hint="eastAsia" w:cs="宋体"/>
                <w:i w:val="0"/>
                <w:iCs w:val="0"/>
                <w:color w:val="000000"/>
                <w:kern w:val="0"/>
                <w:sz w:val="16"/>
                <w:szCs w:val="16"/>
                <w:u w:val="none"/>
                <w:lang w:val="en-US" w:eastAsia="zh-CN" w:bidi="ar"/>
              </w:rPr>
              <w:t>.8</w:t>
            </w:r>
            <w:r>
              <w:rPr>
                <w:rFonts w:hint="eastAsia" w:ascii="宋体" w:hAnsi="宋体" w:eastAsia="宋体" w:cs="宋体"/>
                <w:i w:val="0"/>
                <w:iCs w:val="0"/>
                <w:color w:val="000000"/>
                <w:kern w:val="0"/>
                <w:sz w:val="16"/>
                <w:szCs w:val="16"/>
                <w:u w:val="none"/>
                <w:lang w:val="en-US" w:eastAsia="zh-CN" w:bidi="ar"/>
              </w:rPr>
              <w:t xml:space="preserve">7 </w:t>
            </w:r>
          </w:p>
        </w:tc>
        <w:tc>
          <w:tcPr>
            <w:tcW w:w="429" w:type="pct"/>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358"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w:t>
            </w:r>
            <w:r>
              <w:rPr>
                <w:rFonts w:hint="eastAsia" w:cs="宋体"/>
                <w:i w:val="0"/>
                <w:iCs w:val="0"/>
                <w:color w:val="000000"/>
                <w:kern w:val="0"/>
                <w:sz w:val="16"/>
                <w:szCs w:val="16"/>
                <w:u w:val="none"/>
                <w:lang w:val="en-US" w:eastAsia="zh-CN" w:bidi="ar"/>
              </w:rPr>
              <w:t>.8</w:t>
            </w:r>
            <w:r>
              <w:rPr>
                <w:rFonts w:hint="eastAsia" w:ascii="宋体" w:hAnsi="宋体" w:eastAsia="宋体" w:cs="宋体"/>
                <w:i w:val="0"/>
                <w:iCs w:val="0"/>
                <w:color w:val="000000"/>
                <w:kern w:val="0"/>
                <w:sz w:val="16"/>
                <w:szCs w:val="16"/>
                <w:u w:val="none"/>
                <w:lang w:val="en-US" w:eastAsia="zh-CN" w:bidi="ar"/>
              </w:rPr>
              <w:t>7</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19"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一般公共预算</w:t>
            </w:r>
          </w:p>
        </w:tc>
        <w:tc>
          <w:tcPr>
            <w:tcW w:w="498" w:type="pct"/>
            <w:tcBorders>
              <w:top w:val="single" w:color="000000" w:sz="4" w:space="0"/>
              <w:left w:val="nil"/>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497" w:type="pct"/>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453"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0.00 </w:t>
            </w:r>
          </w:p>
        </w:tc>
        <w:tc>
          <w:tcPr>
            <w:tcW w:w="359" w:type="pct"/>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382" w:type="pc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w:t>
            </w:r>
            <w:r>
              <w:rPr>
                <w:rFonts w:hint="eastAsia" w:cs="宋体"/>
                <w:i w:val="0"/>
                <w:iCs w:val="0"/>
                <w:color w:val="000000"/>
                <w:kern w:val="0"/>
                <w:sz w:val="16"/>
                <w:szCs w:val="16"/>
                <w:u w:val="none"/>
                <w:lang w:val="en-US" w:eastAsia="zh-CN" w:bidi="ar"/>
              </w:rPr>
              <w:t>.8</w:t>
            </w:r>
            <w:r>
              <w:rPr>
                <w:rFonts w:hint="eastAsia" w:ascii="宋体" w:hAnsi="宋体" w:eastAsia="宋体" w:cs="宋体"/>
                <w:i w:val="0"/>
                <w:iCs w:val="0"/>
                <w:color w:val="000000"/>
                <w:kern w:val="0"/>
                <w:sz w:val="16"/>
                <w:szCs w:val="16"/>
                <w:u w:val="none"/>
                <w:lang w:val="en-US" w:eastAsia="zh-CN" w:bidi="ar"/>
              </w:rPr>
              <w:t xml:space="preserve">7 </w:t>
            </w:r>
          </w:p>
        </w:tc>
        <w:tc>
          <w:tcPr>
            <w:tcW w:w="429" w:type="pct"/>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16"/>
                <w:szCs w:val="16"/>
                <w:u w:val="none"/>
              </w:rPr>
            </w:pPr>
          </w:p>
        </w:tc>
        <w:tc>
          <w:tcPr>
            <w:tcW w:w="358" w:type="pct"/>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w:t>
            </w:r>
            <w:r>
              <w:rPr>
                <w:rFonts w:hint="eastAsia" w:cs="宋体"/>
                <w:i w:val="0"/>
                <w:iCs w:val="0"/>
                <w:color w:val="000000"/>
                <w:kern w:val="0"/>
                <w:sz w:val="16"/>
                <w:szCs w:val="16"/>
                <w:u w:val="none"/>
                <w:lang w:val="en-US" w:eastAsia="zh-CN" w:bidi="ar"/>
              </w:rPr>
              <w:t>.8</w:t>
            </w:r>
            <w:r>
              <w:rPr>
                <w:rFonts w:hint="eastAsia" w:ascii="宋体" w:hAnsi="宋体" w:eastAsia="宋体" w:cs="宋体"/>
                <w:i w:val="0"/>
                <w:iCs w:val="0"/>
                <w:color w:val="000000"/>
                <w:kern w:val="0"/>
                <w:sz w:val="16"/>
                <w:szCs w:val="16"/>
                <w:u w:val="none"/>
                <w:lang w:val="en-US" w:eastAsia="zh-CN" w:bidi="ar"/>
              </w:rPr>
              <w:t xml:space="preserve">7 </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6"/>
                <w:szCs w:val="16"/>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16"/>
                <w:szCs w:val="16"/>
                <w:u w:val="none"/>
              </w:rPr>
            </w:pPr>
            <w:r>
              <w:rPr>
                <w:rFonts w:hint="eastAsia" w:ascii="微软雅黑" w:hAnsi="微软雅黑" w:eastAsia="微软雅黑" w:cs="微软雅黑"/>
                <w:b/>
                <w:bCs/>
                <w:i w:val="0"/>
                <w:iCs w:val="0"/>
                <w:color w:val="808080"/>
                <w:kern w:val="0"/>
                <w:sz w:val="16"/>
                <w:szCs w:val="16"/>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36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年初绩效目标</w:t>
            </w:r>
          </w:p>
        </w:tc>
        <w:tc>
          <w:tcPr>
            <w:tcW w:w="153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全年（调整）绩效目标</w:t>
            </w:r>
          </w:p>
        </w:tc>
        <w:tc>
          <w:tcPr>
            <w:tcW w:w="11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368"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1.免费向城乡居民提供基本公共卫生服务。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开展对重点疾病及危害因素监测，有效控制疾病流行，为制定相关政策提供科学依据。保持重点地方病防治措施全面落实。开展职业病监测，最大限度地保护放射工作人员、患者和公众的健康权益。同时推进妇幼卫生、健康素养促进、医养结合和老年健康服务、卫生应急、计划生育等方面工作。</w:t>
            </w:r>
          </w:p>
        </w:tc>
        <w:tc>
          <w:tcPr>
            <w:tcW w:w="1530"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1.免费向城乡居民提供基本公共卫生服务。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开展对重点疾病及危害因素监测，有效控制疾病流行，为制定相关政策提供科学依据。保持重点地方病防治措施全面落实。开展职业病监测，最大限度地保护放射工作人员、患者和公众的健康权益。同时推进妇幼卫生、健康素养促进、医养结合和老年健康服务、卫生应急、计划生育等方面工作。</w:t>
            </w:r>
          </w:p>
        </w:tc>
        <w:tc>
          <w:tcPr>
            <w:tcW w:w="1100"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适龄儿童免疫规范管理率完成89.9%，0-6岁儿童及孕产妇管理完成89.9%。2型糖尿病管理完成率89.9%,高血压管理率完成率89.9%，65岁以上老年人管理完成率完成89.9%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16"/>
                <w:szCs w:val="16"/>
                <w:u w:val="none"/>
              </w:rPr>
            </w:pPr>
            <w:r>
              <w:rPr>
                <w:rFonts w:hint="eastAsia" w:ascii="微软雅黑" w:hAnsi="微软雅黑" w:eastAsia="微软雅黑" w:cs="微软雅黑"/>
                <w:b/>
                <w:bCs/>
                <w:i w:val="0"/>
                <w:iCs w:val="0"/>
                <w:color w:val="808080"/>
                <w:kern w:val="0"/>
                <w:sz w:val="16"/>
                <w:szCs w:val="16"/>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指标名称</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计量单位</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指标性质</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指标值</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全年完成值</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偏离度（%）</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得分系数（%）</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指标权重</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指标得分</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是否核心指标</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7岁以下儿童健康管理率</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85</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适龄儿童免疫规划疫苗接种率</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城乡居民公共卫生差距</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定性</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不断缩小</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居民健康素养水平</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定性</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不断提高</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城乡居民对基本公共卫生服务满意度</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6"/>
                <w:szCs w:val="16"/>
                <w:u w:val="none"/>
              </w:rPr>
            </w:pPr>
          </w:p>
        </w:tc>
      </w:tr>
    </w:tbl>
    <w:p>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（二）部门绩效评价情况</w:t>
      </w:r>
    </w:p>
    <w:p>
      <w:pPr>
        <w:pStyle w:val="13"/>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color w:val="auto"/>
          <w:sz w:val="32"/>
          <w:szCs w:val="32"/>
          <w:highlight w:val="none"/>
          <w:shd w:val="clear" w:color="auto" w:fill="FFFFFF"/>
          <w:lang w:val="en-US" w:eastAsia="zh-CN" w:bidi="ar-SA"/>
        </w:rPr>
        <w:t>我单位未组织开展绩效评价。</w:t>
      </w:r>
    </w:p>
    <w:p>
      <w:pPr>
        <w:pStyle w:val="13"/>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3"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楷体" w:hAnsi="楷体" w:eastAsia="楷体" w:cs="楷体"/>
          <w:b/>
          <w:bCs/>
          <w:kern w:val="0"/>
          <w:sz w:val="32"/>
          <w:szCs w:val="32"/>
          <w:shd w:val="clear" w:fill="FFFFFF"/>
          <w:lang w:val="en-US" w:eastAsia="zh-CN" w:bidi="ar"/>
        </w:rPr>
        <w:t>（三）财政绩效评价情况</w:t>
      </w:r>
    </w:p>
    <w:p>
      <w:pPr>
        <w:pStyle w:val="10"/>
        <w:autoSpaceDE w:val="0"/>
        <w:ind w:firstLine="643"/>
        <w:rPr>
          <w:rFonts w:hint="eastAsia" w:ascii="方正仿宋_GBK" w:hAnsi="方正仿宋_GBK" w:eastAsia="方正仿宋_GBK" w:cs="方正仿宋_GBK"/>
          <w:color w:val="auto"/>
          <w:sz w:val="32"/>
          <w:szCs w:val="32"/>
          <w:shd w:val="clear" w:color="auto" w:fill="FFFFFF"/>
          <w:lang w:val="en-US" w:eastAsia="zh-CN" w:bidi="ar-SA"/>
        </w:rPr>
      </w:pPr>
      <w:r>
        <w:rPr>
          <w:rFonts w:hint="eastAsia" w:ascii="方正仿宋_GBK" w:hAnsi="方正仿宋_GBK" w:eastAsia="方正仿宋_GBK" w:cs="方正仿宋_GBK"/>
          <w:color w:val="auto"/>
          <w:sz w:val="32"/>
          <w:szCs w:val="32"/>
          <w:shd w:val="clear" w:color="auto" w:fill="FFFFFF"/>
          <w:lang w:val="en-US" w:eastAsia="zh-CN" w:bidi="ar-SA"/>
        </w:rPr>
        <w:t>县财政局未委托第三方对我单位开展绩效评价。</w:t>
      </w:r>
    </w:p>
    <w:p>
      <w:pPr>
        <w:pStyle w:val="11"/>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Style w:val="12"/>
          <w:rFonts w:hint="eastAsia" w:ascii="方正仿宋_GBK" w:hAnsi="方正仿宋_GBK" w:eastAsia="方正仿宋_GBK" w:cs="方正仿宋_GBK"/>
          <w:b/>
          <w:bCs/>
          <w:sz w:val="32"/>
          <w:szCs w:val="32"/>
          <w:shd w:val="clear" w:fill="FFFFFF"/>
        </w:rPr>
        <w:t xml:space="preserve"> </w:t>
      </w:r>
      <w:r>
        <w:rPr>
          <w:rStyle w:val="12"/>
          <w:rFonts w:hint="eastAsia" w:ascii="方正仿宋_GBK" w:hAnsi="方正仿宋_GBK" w:eastAsia="方正仿宋_GBK" w:cs="方正仿宋_GBK"/>
          <w:b/>
          <w:bCs/>
          <w:sz w:val="32"/>
          <w:szCs w:val="32"/>
          <w:shd w:val="clear" w:fill="FFFFFF"/>
          <w:lang w:val="en-US" w:eastAsia="zh-CN"/>
        </w:rPr>
        <w:t xml:space="preserve">  </w:t>
      </w:r>
      <w:r>
        <w:rPr>
          <w:rStyle w:val="9"/>
          <w:rFonts w:hint="eastAsia" w:ascii="黑体" w:hAnsi="黑体" w:eastAsia="黑体" w:cs="黑体"/>
          <w:sz w:val="32"/>
          <w:szCs w:val="32"/>
          <w:shd w:val="clear" w:color="auto" w:fill="FFFFFF"/>
          <w:lang w:val="en-US" w:eastAsia="zh-CN" w:bidi="ar-SA"/>
        </w:rPr>
        <w:t xml:space="preserve"> 六、专业名词解释</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黑体" w:hAnsi="黑体" w:eastAsia="黑体" w:cs="黑体"/>
          <w:sz w:val="32"/>
          <w:szCs w:val="32"/>
          <w:shd w:val="clear" w:color="auto" w:fill="FFFFFF"/>
          <w:lang w:val="en-US" w:eastAsia="zh-CN" w:bidi="ar-SA"/>
        </w:rPr>
        <w:t>七、决算公开联系方式及信息反馈渠道</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pPr>
        <w:pStyle w:val="10"/>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Fonts w:hint="eastAsia" w:ascii="方正仿宋_GBK" w:hAnsi="方正仿宋_GBK" w:eastAsia="方正仿宋_GBK" w:cs="方正仿宋_GBK"/>
          <w:color w:val="FF0000"/>
          <w:sz w:val="32"/>
          <w:szCs w:val="32"/>
          <w:shd w:val="clear" w:color="auto" w:fill="FFFFFF"/>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sz w:val="32"/>
          <w:szCs w:val="32"/>
          <w:shd w:val="clear" w:color="auto" w:fill="FFFFFF"/>
          <w:lang w:eastAsia="zh-CN"/>
        </w:rPr>
        <w:t>王辉</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023-51720226</w:t>
      </w:r>
    </w:p>
    <w:tbl>
      <w:tblPr>
        <w:tblStyle w:val="7"/>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巫溪县乌龙乡卫生院</w:t>
            </w: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190.37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53.25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0.04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38.15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186.47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243.66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243.62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243.66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243.66</w:t>
            </w:r>
          </w:p>
        </w:tc>
      </w:tr>
    </w:tbl>
    <w:p>
      <w:pPr>
        <w:pStyle w:val="10"/>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pPr>
        <w:pStyle w:val="10"/>
        <w:numPr>
          <w:ilvl w:val="0"/>
          <w:numId w:val="0"/>
        </w:numPr>
        <w:autoSpaceDE w:val="0"/>
        <w:rPr>
          <w:rFonts w:hint="eastAsia" w:ascii="宋体" w:hAnsi="宋体" w:eastAsia="宋体" w:cs="宋体"/>
          <w:sz w:val="21"/>
          <w:szCs w:val="21"/>
          <w:lang w:val="en-US" w:eastAsia="zh-CN"/>
        </w:rPr>
      </w:pPr>
    </w:p>
    <w:tbl>
      <w:tblPr>
        <w:tblStyle w:val="7"/>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巫溪县乌龙乡卫生院</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243.66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190.37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53.25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28.95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186.51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142.42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44.05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21003</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基层医疗卫生机构</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151.73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107.63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44.05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2100302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乡镇卫生院</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151.73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107.63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44.05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21004</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公共卫生</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2100408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基本公共卫生服务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7.91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7.91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7.91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7.91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2130152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对高校毕业生到基层任职补助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巫溪县乌龙乡卫生院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243.62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216.74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26.87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186.47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159.60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21003</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基层医疗卫生机构</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151.68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151.68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2100302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乡镇卫生院</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151.68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151.68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21004</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公共卫生</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2100408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基本公共卫生服务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7.91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7.91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7.91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7.91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2130152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对高校毕业生到基层任职补助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巫溪县乌龙乡卫生院</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190.37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28.95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28.95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142.42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142.42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9.50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9.50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9.50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9.50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190.37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190.37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190.37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190.37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190.37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190.37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巫溪县乌龙乡卫生院</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190.37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163.49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26.87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190.37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163.49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26.87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28.95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28.95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28.95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28.95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15.59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15.59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15.59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15.59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15.59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15.59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15.59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15.59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抚恤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13.37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13.37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13.37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13.37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2080801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死亡抚恤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13.37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13.37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13.37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13.37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142.42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115.55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26.87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142.42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115.55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26.87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21003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基层医疗卫生机构</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107.63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107.63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107.63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107.63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2100302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乡镇卫生院</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107.63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107.63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107.63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107.63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公共卫生</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26.87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26.87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26.87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26.87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2100408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基本公共卫生服务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26.87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26.87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26.87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26.87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7.91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7.91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7.91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7.91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7.91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7.91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7.91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7.91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9.50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9.50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9.50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9.50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农业农村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9.50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9.50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9.50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9.50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2130152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对高校毕业生到基层任职补助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9.50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9.50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9.50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9.50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9.50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9.50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9.50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9.50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9.50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9.50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9.50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9.50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9.50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9.50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9.50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9.50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巫溪县乌龙乡卫生院</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140.63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38.35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13.49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55.40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15.59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7.91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0.40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9.50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22.86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13.37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9.50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163.49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巫溪县乌龙乡卫生院</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ind w:firstLine="600" w:firstLineChars="300"/>
        <w:rPr>
          <w:rFonts w:hint="eastAsia" w:ascii="宋体" w:hAnsi="宋体" w:eastAsia="宋体" w:cs="宋体"/>
          <w:sz w:val="21"/>
          <w:szCs w:val="21"/>
        </w:rPr>
      </w:pPr>
      <w:r>
        <w:rPr>
          <w:rFonts w:hint="eastAsia" w:cs="宋体"/>
          <w:color w:val="auto"/>
          <w:sz w:val="20"/>
          <w:szCs w:val="20"/>
          <w:lang w:eastAsia="zh-CN"/>
        </w:rPr>
        <w:t>备注：</w:t>
      </w:r>
      <w:r>
        <w:rPr>
          <w:rFonts w:cs="宋体"/>
          <w:color w:val="auto"/>
          <w:sz w:val="20"/>
          <w:szCs w:val="20"/>
        </w:rPr>
        <w:t>本</w:t>
      </w:r>
      <w:r>
        <w:rPr>
          <w:rFonts w:hint="eastAsia" w:cs="宋体"/>
          <w:color w:val="auto"/>
          <w:sz w:val="20"/>
          <w:szCs w:val="20"/>
          <w:lang w:eastAsia="zh-CN"/>
        </w:rPr>
        <w:t>年</w:t>
      </w:r>
      <w:r>
        <w:rPr>
          <w:rFonts w:cs="宋体"/>
          <w:color w:val="auto"/>
          <w:sz w:val="20"/>
          <w:szCs w:val="20"/>
        </w:rPr>
        <w:t>无政府性基金收支，故本表无数据。</w:t>
      </w: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p>
      <w:pPr>
        <w:rPr>
          <w:rFonts w:hint="eastAsia" w:ascii="宋体" w:hAnsi="宋体" w:eastAsia="宋体" w:cs="宋体"/>
          <w:sz w:val="21"/>
          <w:szCs w:val="21"/>
        </w:rPr>
      </w:pPr>
    </w:p>
    <w:tbl>
      <w:tblPr>
        <w:tblStyle w:val="7"/>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巫溪县乌龙乡卫生院</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cs="宋体"/>
          <w:color w:val="auto"/>
          <w:sz w:val="20"/>
          <w:szCs w:val="20"/>
          <w:lang w:eastAsia="zh-CN"/>
        </w:rPr>
        <w:t>备注：</w:t>
      </w:r>
      <w:r>
        <w:rPr>
          <w:rFonts w:cs="宋体"/>
          <w:color w:val="auto"/>
          <w:sz w:val="20"/>
          <w:szCs w:val="20"/>
        </w:rPr>
        <w:t>本</w:t>
      </w:r>
      <w:r>
        <w:rPr>
          <w:rFonts w:hint="eastAsia" w:cs="宋体"/>
          <w:color w:val="auto"/>
          <w:sz w:val="20"/>
          <w:szCs w:val="20"/>
          <w:lang w:eastAsia="zh-CN"/>
        </w:rPr>
        <w:t>年</w:t>
      </w:r>
      <w:r>
        <w:rPr>
          <w:rFonts w:cs="宋体"/>
          <w:color w:val="auto"/>
          <w:sz w:val="20"/>
          <w:szCs w:val="20"/>
        </w:rPr>
        <w:t>无国有资本经营收支，故本表无数据。</w:t>
      </w:r>
    </w:p>
    <w:p>
      <w:pPr>
        <w:numPr>
          <w:ilvl w:val="0"/>
          <w:numId w:val="0"/>
        </w:numPr>
        <w:rPr>
          <w:rFonts w:hint="eastAsia" w:ascii="宋体" w:hAnsi="宋体" w:eastAsia="宋体" w:cs="宋体"/>
          <w:sz w:val="21"/>
          <w:szCs w:val="21"/>
        </w:rPr>
      </w:pPr>
    </w:p>
    <w:p>
      <w:pPr>
        <w:numPr>
          <w:ilvl w:val="0"/>
          <w:numId w:val="0"/>
        </w:numPr>
        <w:rPr>
          <w:rFonts w:hint="eastAsia" w:ascii="宋体" w:hAnsi="宋体" w:eastAsia="宋体" w:cs="宋体"/>
          <w:sz w:val="21"/>
          <w:szCs w:val="21"/>
        </w:rPr>
      </w:pPr>
    </w:p>
    <w:p>
      <w:pPr>
        <w:numPr>
          <w:ilvl w:val="0"/>
          <w:numId w:val="0"/>
        </w:numPr>
        <w:rPr>
          <w:rFonts w:hint="eastAsia" w:ascii="宋体" w:hAnsi="宋体" w:eastAsia="宋体" w:cs="宋体"/>
          <w:sz w:val="21"/>
          <w:szCs w:val="21"/>
        </w:rPr>
      </w:pPr>
    </w:p>
    <w:p>
      <w:pPr>
        <w:numPr>
          <w:ilvl w:val="0"/>
          <w:numId w:val="0"/>
        </w:numPr>
        <w:rPr>
          <w:rFonts w:hint="eastAsia" w:ascii="宋体" w:hAnsi="宋体" w:eastAsia="宋体" w:cs="宋体"/>
          <w:sz w:val="21"/>
          <w:szCs w:val="21"/>
        </w:rPr>
      </w:pPr>
    </w:p>
    <w:p>
      <w:pPr>
        <w:numPr>
          <w:ilvl w:val="0"/>
          <w:numId w:val="0"/>
        </w:numPr>
        <w:rPr>
          <w:rFonts w:hint="eastAsia" w:ascii="宋体" w:hAnsi="宋体" w:eastAsia="宋体" w:cs="宋体"/>
          <w:sz w:val="21"/>
          <w:szCs w:val="21"/>
        </w:rPr>
      </w:pPr>
    </w:p>
    <w:p>
      <w:pPr>
        <w:numPr>
          <w:ilvl w:val="0"/>
          <w:numId w:val="0"/>
        </w:numPr>
        <w:rPr>
          <w:rFonts w:hint="eastAsia" w:ascii="宋体" w:hAnsi="宋体" w:eastAsia="宋体" w:cs="宋体"/>
          <w:sz w:val="21"/>
          <w:szCs w:val="21"/>
        </w:rPr>
      </w:pPr>
    </w:p>
    <w:p>
      <w:pPr>
        <w:numPr>
          <w:ilvl w:val="0"/>
          <w:numId w:val="0"/>
        </w:numPr>
        <w:rPr>
          <w:rFonts w:hint="eastAsia" w:ascii="宋体" w:hAnsi="宋体" w:eastAsia="宋体" w:cs="宋体"/>
          <w:sz w:val="21"/>
          <w:szCs w:val="21"/>
        </w:rPr>
      </w:pPr>
    </w:p>
    <w:p>
      <w:pPr>
        <w:numPr>
          <w:ilvl w:val="0"/>
          <w:numId w:val="0"/>
        </w:numPr>
        <w:rPr>
          <w:rFonts w:hint="eastAsia" w:ascii="宋体" w:hAnsi="宋体" w:eastAsia="宋体" w:cs="宋体"/>
          <w:sz w:val="21"/>
          <w:szCs w:val="21"/>
        </w:rPr>
      </w:pPr>
    </w:p>
    <w:p>
      <w:pPr>
        <w:numPr>
          <w:ilvl w:val="0"/>
          <w:numId w:val="0"/>
        </w:numPr>
        <w:rPr>
          <w:rFonts w:hint="eastAsia" w:ascii="宋体" w:hAnsi="宋体" w:eastAsia="宋体" w:cs="宋体"/>
          <w:sz w:val="21"/>
          <w:szCs w:val="21"/>
        </w:rPr>
      </w:pPr>
    </w:p>
    <w:p>
      <w:pPr>
        <w:numPr>
          <w:ilvl w:val="0"/>
          <w:numId w:val="0"/>
        </w:numPr>
        <w:rPr>
          <w:rFonts w:hint="eastAsia" w:ascii="宋体" w:hAnsi="宋体" w:eastAsia="宋体" w:cs="宋体"/>
          <w:sz w:val="21"/>
          <w:szCs w:val="21"/>
        </w:rPr>
      </w:pPr>
    </w:p>
    <w:p>
      <w:pPr>
        <w:numPr>
          <w:ilvl w:val="0"/>
          <w:numId w:val="0"/>
        </w:numPr>
        <w:rPr>
          <w:rFonts w:hint="eastAsia" w:ascii="宋体" w:hAnsi="宋体" w:eastAsia="宋体" w:cs="宋体"/>
          <w:sz w:val="21"/>
          <w:szCs w:val="21"/>
        </w:rPr>
      </w:pPr>
    </w:p>
    <w:p>
      <w:pPr>
        <w:numPr>
          <w:ilvl w:val="0"/>
          <w:numId w:val="0"/>
        </w:numPr>
        <w:rPr>
          <w:rFonts w:hint="eastAsia" w:ascii="宋体" w:hAnsi="宋体" w:eastAsia="宋体" w:cs="宋体"/>
          <w:sz w:val="21"/>
          <w:szCs w:val="21"/>
        </w:rPr>
      </w:pPr>
    </w:p>
    <w:p>
      <w:pPr>
        <w:numPr>
          <w:ilvl w:val="0"/>
          <w:numId w:val="0"/>
        </w:numPr>
        <w:rPr>
          <w:rFonts w:hint="eastAsia" w:ascii="宋体" w:hAnsi="宋体" w:eastAsia="宋体" w:cs="宋体"/>
          <w:sz w:val="21"/>
          <w:szCs w:val="21"/>
        </w:rPr>
      </w:pPr>
    </w:p>
    <w:p>
      <w:pPr>
        <w:numPr>
          <w:ilvl w:val="0"/>
          <w:numId w:val="0"/>
        </w:numPr>
        <w:rPr>
          <w:rFonts w:hint="eastAsia" w:ascii="宋体" w:hAnsi="宋体" w:eastAsia="宋体" w:cs="宋体"/>
          <w:sz w:val="21"/>
          <w:szCs w:val="21"/>
        </w:rPr>
      </w:pPr>
    </w:p>
    <w:p>
      <w:pPr>
        <w:numPr>
          <w:ilvl w:val="0"/>
          <w:numId w:val="0"/>
        </w:numPr>
        <w:rPr>
          <w:rFonts w:hint="eastAsia" w:ascii="宋体" w:hAnsi="宋体" w:eastAsia="宋体" w:cs="宋体"/>
          <w:sz w:val="21"/>
          <w:szCs w:val="21"/>
        </w:rPr>
      </w:pPr>
    </w:p>
    <w:p>
      <w:pPr>
        <w:numPr>
          <w:ilvl w:val="0"/>
          <w:numId w:val="0"/>
        </w:numPr>
        <w:rPr>
          <w:rFonts w:hint="eastAsia" w:ascii="宋体" w:hAnsi="宋体" w:eastAsia="宋体" w:cs="宋体"/>
          <w:sz w:val="21"/>
          <w:szCs w:val="21"/>
        </w:rPr>
      </w:pPr>
    </w:p>
    <w:p>
      <w:pPr>
        <w:numPr>
          <w:ilvl w:val="0"/>
          <w:numId w:val="0"/>
        </w:numPr>
        <w:rPr>
          <w:rFonts w:hint="eastAsia" w:ascii="宋体" w:hAnsi="宋体" w:eastAsia="宋体" w:cs="宋体"/>
          <w:sz w:val="21"/>
          <w:szCs w:val="21"/>
        </w:rPr>
      </w:pPr>
    </w:p>
    <w:p>
      <w:pPr>
        <w:numPr>
          <w:ilvl w:val="0"/>
          <w:numId w:val="0"/>
        </w:numPr>
        <w:rPr>
          <w:rFonts w:hint="eastAsia" w:ascii="宋体" w:hAnsi="宋体" w:eastAsia="宋体" w:cs="宋体"/>
          <w:sz w:val="21"/>
          <w:szCs w:val="21"/>
        </w:rPr>
      </w:pPr>
    </w:p>
    <w:p>
      <w:pPr>
        <w:numPr>
          <w:ilvl w:val="0"/>
          <w:numId w:val="0"/>
        </w:numPr>
        <w:rPr>
          <w:rFonts w:hint="eastAsia" w:ascii="宋体" w:hAnsi="宋体" w:eastAsia="宋体" w:cs="宋体"/>
          <w:sz w:val="21"/>
          <w:szCs w:val="21"/>
        </w:rPr>
      </w:pPr>
    </w:p>
    <w:p>
      <w:pPr>
        <w:numPr>
          <w:ilvl w:val="0"/>
          <w:numId w:val="0"/>
        </w:numPr>
        <w:rPr>
          <w:rFonts w:hint="eastAsia" w:ascii="宋体" w:hAnsi="宋体" w:eastAsia="宋体" w:cs="宋体"/>
          <w:sz w:val="21"/>
          <w:szCs w:val="21"/>
        </w:rPr>
      </w:pPr>
    </w:p>
    <w:p>
      <w:pPr>
        <w:numPr>
          <w:ilvl w:val="0"/>
          <w:numId w:val="0"/>
        </w:numPr>
        <w:rPr>
          <w:rFonts w:hint="eastAsia" w:ascii="宋体" w:hAnsi="宋体" w:eastAsia="宋体" w:cs="宋体"/>
          <w:sz w:val="21"/>
          <w:szCs w:val="21"/>
        </w:rPr>
      </w:pPr>
    </w:p>
    <w:p>
      <w:pPr>
        <w:numPr>
          <w:ilvl w:val="0"/>
          <w:numId w:val="0"/>
        </w:numPr>
        <w:rPr>
          <w:rFonts w:hint="eastAsia" w:ascii="宋体" w:hAnsi="宋体" w:eastAsia="宋体" w:cs="宋体"/>
          <w:sz w:val="21"/>
          <w:szCs w:val="21"/>
        </w:rPr>
      </w:pPr>
    </w:p>
    <w:p>
      <w:pPr>
        <w:numPr>
          <w:ilvl w:val="0"/>
          <w:numId w:val="0"/>
        </w:numPr>
        <w:rPr>
          <w:rFonts w:hint="eastAsia" w:ascii="宋体" w:hAnsi="宋体" w:eastAsia="宋体" w:cs="宋体"/>
          <w:sz w:val="21"/>
          <w:szCs w:val="21"/>
        </w:rPr>
      </w:pPr>
    </w:p>
    <w:p>
      <w:pPr>
        <w:numPr>
          <w:ilvl w:val="0"/>
          <w:numId w:val="0"/>
        </w:numPr>
        <w:rPr>
          <w:rFonts w:hint="eastAsia" w:ascii="宋体" w:hAnsi="宋体" w:eastAsia="宋体" w:cs="宋体"/>
          <w:sz w:val="21"/>
          <w:szCs w:val="21"/>
        </w:rPr>
      </w:pPr>
    </w:p>
    <w:p>
      <w:pPr>
        <w:numPr>
          <w:ilvl w:val="0"/>
          <w:numId w:val="0"/>
        </w:numPr>
        <w:rPr>
          <w:rFonts w:hint="eastAsia" w:ascii="宋体" w:hAnsi="宋体" w:eastAsia="宋体" w:cs="宋体"/>
          <w:sz w:val="21"/>
          <w:szCs w:val="21"/>
        </w:rPr>
      </w:pPr>
    </w:p>
    <w:p>
      <w:pPr>
        <w:numPr>
          <w:ilvl w:val="0"/>
          <w:numId w:val="0"/>
        </w:numPr>
        <w:rPr>
          <w:rFonts w:hint="eastAsia" w:ascii="宋体" w:hAnsi="宋体" w:eastAsia="宋体" w:cs="宋体"/>
          <w:sz w:val="21"/>
          <w:szCs w:val="21"/>
        </w:rPr>
      </w:pPr>
    </w:p>
    <w:p>
      <w:pPr>
        <w:numPr>
          <w:ilvl w:val="0"/>
          <w:numId w:val="0"/>
        </w:numPr>
        <w:rPr>
          <w:rFonts w:hint="eastAsia" w:ascii="宋体" w:hAnsi="宋体" w:eastAsia="宋体" w:cs="宋体"/>
          <w:sz w:val="21"/>
          <w:szCs w:val="21"/>
        </w:rPr>
      </w:pPr>
    </w:p>
    <w:p>
      <w:pPr>
        <w:numPr>
          <w:ilvl w:val="0"/>
          <w:numId w:val="0"/>
        </w:numPr>
        <w:rPr>
          <w:rFonts w:hint="eastAsia" w:ascii="宋体" w:hAnsi="宋体" w:eastAsia="宋体" w:cs="宋体"/>
          <w:sz w:val="21"/>
          <w:szCs w:val="21"/>
        </w:rPr>
      </w:pPr>
    </w:p>
    <w:p>
      <w:pPr>
        <w:numPr>
          <w:ilvl w:val="0"/>
          <w:numId w:val="0"/>
        </w:numPr>
        <w:rPr>
          <w:rFonts w:hint="eastAsia" w:ascii="宋体" w:hAnsi="宋体" w:eastAsia="宋体" w:cs="宋体"/>
          <w:sz w:val="21"/>
          <w:szCs w:val="21"/>
        </w:rPr>
      </w:pPr>
    </w:p>
    <w:p>
      <w:pPr>
        <w:numPr>
          <w:ilvl w:val="0"/>
          <w:numId w:val="0"/>
        </w:numPr>
        <w:rPr>
          <w:rFonts w:hint="eastAsia" w:ascii="宋体" w:hAnsi="宋体" w:eastAsia="宋体" w:cs="宋体"/>
          <w:sz w:val="21"/>
          <w:szCs w:val="21"/>
        </w:rPr>
      </w:pPr>
    </w:p>
    <w:p>
      <w:pPr>
        <w:numPr>
          <w:ilvl w:val="0"/>
          <w:numId w:val="0"/>
        </w:numPr>
        <w:rPr>
          <w:rFonts w:hint="eastAsia" w:ascii="宋体" w:hAnsi="宋体" w:eastAsia="宋体" w:cs="宋体"/>
          <w:sz w:val="21"/>
          <w:szCs w:val="21"/>
        </w:rPr>
      </w:pPr>
    </w:p>
    <w:p>
      <w:pPr>
        <w:numPr>
          <w:ilvl w:val="0"/>
          <w:numId w:val="0"/>
        </w:numPr>
        <w:rPr>
          <w:rFonts w:hint="eastAsia" w:ascii="宋体" w:hAnsi="宋体" w:eastAsia="宋体" w:cs="宋体"/>
          <w:sz w:val="21"/>
          <w:szCs w:val="21"/>
        </w:rPr>
      </w:pPr>
    </w:p>
    <w:p>
      <w:pPr>
        <w:numPr>
          <w:ilvl w:val="0"/>
          <w:numId w:val="0"/>
        </w:numPr>
        <w:rPr>
          <w:rFonts w:hint="eastAsia" w:ascii="宋体" w:hAnsi="宋体" w:eastAsia="宋体" w:cs="宋体"/>
          <w:sz w:val="21"/>
          <w:szCs w:val="21"/>
        </w:rPr>
      </w:pPr>
    </w:p>
    <w:p>
      <w:pPr>
        <w:numPr>
          <w:ilvl w:val="0"/>
          <w:numId w:val="0"/>
        </w:numPr>
        <w:rPr>
          <w:rFonts w:hint="eastAsia" w:ascii="宋体" w:hAnsi="宋体" w:eastAsia="宋体" w:cs="宋体"/>
          <w:sz w:val="21"/>
          <w:szCs w:val="21"/>
        </w:rPr>
      </w:pPr>
    </w:p>
    <w:tbl>
      <w:tblPr>
        <w:tblStyle w:val="7"/>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巫溪县乌龙乡卫生院</w:t>
            </w: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pStyle w:val="10"/>
        <w:autoSpaceDE w:val="0"/>
        <w:ind w:firstLine="0" w:firstLineChars="0"/>
        <w:rPr>
          <w:rFonts w:hint="default" w:ascii="宋体" w:hAnsi="宋体" w:eastAsia="宋体" w:cs="宋体"/>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BE91D3"/>
    <w:multiLevelType w:val="singleLevel"/>
    <w:tmpl w:val="ADBE91D3"/>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jOWE3N2Q3ZDBkMGZlODg3OWVlOGRmYjViOTE1MzMifQ=="/>
  </w:docVars>
  <w:rsids>
    <w:rsidRoot w:val="00B03CCD"/>
    <w:rsid w:val="00550ABE"/>
    <w:rsid w:val="007B419D"/>
    <w:rsid w:val="009B67B8"/>
    <w:rsid w:val="00B03CCD"/>
    <w:rsid w:val="00FE7556"/>
    <w:rsid w:val="01474EBF"/>
    <w:rsid w:val="01F3521E"/>
    <w:rsid w:val="03E3214F"/>
    <w:rsid w:val="04446191"/>
    <w:rsid w:val="044C50BA"/>
    <w:rsid w:val="06A2550B"/>
    <w:rsid w:val="06DC54A9"/>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B92327"/>
    <w:rsid w:val="2533755C"/>
    <w:rsid w:val="26396DF4"/>
    <w:rsid w:val="270642A6"/>
    <w:rsid w:val="27167136"/>
    <w:rsid w:val="27B23302"/>
    <w:rsid w:val="280B2A12"/>
    <w:rsid w:val="28B74948"/>
    <w:rsid w:val="29310A5F"/>
    <w:rsid w:val="299947CC"/>
    <w:rsid w:val="29C37A35"/>
    <w:rsid w:val="29C95E09"/>
    <w:rsid w:val="2A076083"/>
    <w:rsid w:val="2A73162E"/>
    <w:rsid w:val="2B167953"/>
    <w:rsid w:val="2B200583"/>
    <w:rsid w:val="2B8209DE"/>
    <w:rsid w:val="2C161D32"/>
    <w:rsid w:val="2C2D3EC7"/>
    <w:rsid w:val="2C6762A3"/>
    <w:rsid w:val="2D8D2A49"/>
    <w:rsid w:val="2FE029D7"/>
    <w:rsid w:val="2FF06E00"/>
    <w:rsid w:val="301B756B"/>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7674801"/>
    <w:rsid w:val="48225EF7"/>
    <w:rsid w:val="495C1310"/>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374E8B"/>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944DD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A44BC2"/>
    <w:rsid w:val="72DB435C"/>
    <w:rsid w:val="750837F0"/>
    <w:rsid w:val="764F62AB"/>
    <w:rsid w:val="765C45EC"/>
    <w:rsid w:val="768A7619"/>
    <w:rsid w:val="76E14979"/>
    <w:rsid w:val="77EA362A"/>
    <w:rsid w:val="7875383E"/>
    <w:rsid w:val="796D60A4"/>
    <w:rsid w:val="79A031D5"/>
    <w:rsid w:val="7A1525F7"/>
    <w:rsid w:val="7A3E6CB6"/>
    <w:rsid w:val="7A680D2D"/>
    <w:rsid w:val="7B260559"/>
    <w:rsid w:val="7B420052"/>
    <w:rsid w:val="7BD06A28"/>
    <w:rsid w:val="7C1E4CD7"/>
    <w:rsid w:val="7C3A7C0B"/>
    <w:rsid w:val="7C5248E4"/>
    <w:rsid w:val="7C566698"/>
    <w:rsid w:val="7E4B67C3"/>
    <w:rsid w:val="7FA960B8"/>
    <w:rsid w:val="7FAE52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1"/>
    <w:pPr>
      <w:spacing w:before="0" w:beforeLines="0" w:beforeAutospacing="0" w:after="0" w:afterLines="0" w:afterAutospacing="0"/>
      <w:ind w:left="104" w:right="0"/>
      <w:jc w:val="left"/>
    </w:pPr>
    <w:rPr>
      <w:rFonts w:hint="eastAsia" w:ascii="方正仿宋_GBK" w:hAnsi="方正仿宋_GBK" w:eastAsia="方正仿宋_GBK" w:cs="宋体"/>
      <w:kern w:val="0"/>
      <w:sz w:val="32"/>
      <w:szCs w:val="32"/>
      <w:lang w:val="en-US" w:eastAsia="zh-CN" w:bidi="ar"/>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character" w:styleId="9">
    <w:name w:val="Strong"/>
    <w:qFormat/>
    <w:uiPriority w:val="0"/>
    <w:rPr>
      <w:b/>
    </w:rPr>
  </w:style>
  <w:style w:type="paragraph" w:customStyle="1" w:styleId="10">
    <w:name w:val="列出段落1"/>
    <w:basedOn w:val="1"/>
    <w:qFormat/>
    <w:uiPriority w:val="99"/>
    <w:pPr>
      <w:ind w:firstLine="420" w:firstLineChars="200"/>
    </w:pPr>
    <w:rPr>
      <w:rFonts w:hint="default"/>
    </w:rPr>
  </w:style>
  <w:style w:type="paragraph" w:customStyle="1" w:styleId="11">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2">
    <w:name w:val="21"/>
    <w:basedOn w:val="8"/>
    <w:qFormat/>
    <w:uiPriority w:val="0"/>
    <w:rPr>
      <w:rFonts w:hint="default" w:ascii="Wingdings" w:hAnsi="Wingdings" w:cs="Wingdings"/>
      <w:b/>
      <w:bCs/>
    </w:rPr>
  </w:style>
  <w:style w:type="paragraph" w:customStyle="1" w:styleId="13">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14">
    <w:name w:val="UserStyle_3"/>
    <w:basedOn w:val="1"/>
    <w:qFormat/>
    <w:uiPriority w:val="0"/>
    <w:pPr>
      <w:keepNext w:val="0"/>
      <w:keepLines w:val="0"/>
      <w:widowControl/>
      <w:suppressLineNumbers w:val="0"/>
      <w:spacing w:before="0" w:beforeAutospacing="0" w:after="0" w:afterAutospacing="0"/>
      <w:ind w:left="0" w:right="0" w:firstLine="420"/>
      <w:jc w:val="left"/>
    </w:pPr>
    <w:rPr>
      <w:rFonts w:hint="eastAsia" w:ascii="Calibri" w:hAnsi="Calibri" w:eastAsia="宋体" w:cs="宋体"/>
      <w:kern w:val="1"/>
      <w:sz w:val="24"/>
      <w:szCs w:val="24"/>
      <w:lang w:val="en-US" w:eastAsia="zh-CN" w:bidi="ar"/>
    </w:rPr>
  </w:style>
  <w:style w:type="character" w:customStyle="1" w:styleId="15">
    <w:name w:val="19"/>
    <w:basedOn w:val="8"/>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7711</Words>
  <Characters>21008</Characters>
  <Lines>161</Lines>
  <Paragraphs>45</Paragraphs>
  <TotalTime>0</TotalTime>
  <ScaleCrop>false</ScaleCrop>
  <LinksUpToDate>false</LinksUpToDate>
  <CharactersWithSpaces>21460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石美</cp:lastModifiedBy>
  <dcterms:modified xsi:type="dcterms:W3CDTF">2025-09-17T08:22:45Z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2C9603DC824C4AEB9BF2DDE2BBE20560_13</vt:lpwstr>
  </property>
</Properties>
</file>