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470F6">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巫溪县兰英乡卫生院</w:t>
      </w:r>
    </w:p>
    <w:p w14:paraId="6A5A897B">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Theme="majorEastAsia" w:hAnsiTheme="majorEastAsia" w:eastAsiaTheme="majorEastAsia" w:cstheme="majorEastAsia"/>
          <w:sz w:val="44"/>
          <w:szCs w:val="44"/>
          <w:shd w:val="clear" w:color="auto" w:fill="FFFFFF"/>
        </w:rPr>
      </w:pPr>
      <w:r>
        <w:rPr>
          <w:rFonts w:hint="eastAsia" w:asciiTheme="majorEastAsia" w:hAnsiTheme="majorEastAsia" w:eastAsiaTheme="majorEastAsia" w:cstheme="majorEastAsia"/>
          <w:b/>
          <w:bCs/>
          <w:sz w:val="44"/>
          <w:szCs w:val="44"/>
          <w:shd w:val="clear" w:color="auto" w:fill="FFFFFF"/>
        </w:rPr>
        <w:t>2024年度决算公开说明</w:t>
      </w:r>
    </w:p>
    <w:p w14:paraId="39CBD9CE">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lang w:val="en-US" w:eastAsia="zh-CN"/>
        </w:rPr>
      </w:pPr>
      <w:r>
        <w:rPr>
          <w:rStyle w:val="9"/>
          <w:rFonts w:hint="eastAsia" w:ascii="楷体" w:hAnsi="楷体" w:eastAsia="楷体" w:cs="楷体"/>
          <w:sz w:val="32"/>
          <w:szCs w:val="32"/>
          <w:shd w:val="clear" w:color="auto" w:fill="FFFFFF"/>
          <w:lang w:eastAsia="zh-CN"/>
        </w:rPr>
        <w:t>单位</w:t>
      </w:r>
      <w:r>
        <w:rPr>
          <w:rStyle w:val="9"/>
          <w:rFonts w:hint="eastAsia" w:ascii="楷体" w:hAnsi="楷体" w:eastAsia="楷体" w:cs="楷体"/>
          <w:sz w:val="32"/>
          <w:szCs w:val="32"/>
          <w:shd w:val="clear" w:color="auto" w:fill="FFFFFF"/>
        </w:rPr>
        <w:t>基本情况</w:t>
      </w:r>
    </w:p>
    <w:p w14:paraId="1C6F8389">
      <w:pPr>
        <w:numPr>
          <w:ilvl w:val="0"/>
          <w:numId w:val="2"/>
        </w:numPr>
        <w:spacing w:line="560" w:lineRule="atLeast"/>
        <w:ind w:firstLine="643" w:firstLineChars="200"/>
        <w:rPr>
          <w:rStyle w:val="9"/>
          <w:rFonts w:ascii="楷体" w:hAnsi="楷体" w:eastAsia="楷体" w:cs="楷体"/>
          <w:sz w:val="32"/>
          <w:szCs w:val="32"/>
          <w:shd w:val="clear" w:color="auto" w:fill="FFFFFF"/>
        </w:rPr>
      </w:pPr>
      <w:r>
        <w:rPr>
          <w:rStyle w:val="9"/>
          <w:rFonts w:ascii="楷体" w:hAnsi="楷体" w:eastAsia="楷体" w:cs="楷体"/>
          <w:sz w:val="32"/>
          <w:szCs w:val="32"/>
          <w:shd w:val="clear" w:color="auto" w:fill="FFFFFF"/>
        </w:rPr>
        <w:t>职能职责</w:t>
      </w:r>
    </w:p>
    <w:p w14:paraId="33752D98">
      <w:pPr>
        <w:pStyle w:val="2"/>
        <w:keepNext w:val="0"/>
        <w:keepLines w:val="0"/>
        <w:pageBreakBefore w:val="0"/>
        <w:widowControl/>
        <w:numPr>
          <w:ilvl w:val="0"/>
          <w:numId w:val="0"/>
        </w:numPr>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巫溪县兰英乡卫生院是由政府举办，不以营利为目的，具有公共卫生性质的公益性事业单位，其核心职责是提供基本医疗服务和基本公共卫生服务。具体工作职责如下：</w:t>
      </w:r>
    </w:p>
    <w:p w14:paraId="05EC4B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1、提供公共卫生服务</w:t>
      </w:r>
    </w:p>
    <w:p w14:paraId="44BD9F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（1）承担本乡居民健康档案规范建档指导、管理及服务。</w:t>
      </w:r>
    </w:p>
    <w:p w14:paraId="228F3D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（2）普及卫生保健常识，在重点人群和重点场所开展健康教育，帮助居民形成有利于维护和增进健康的行为方式；指导开展爱国卫生工作。</w:t>
      </w:r>
    </w:p>
    <w:p w14:paraId="6E5BE0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（3）提供并组织实施本乡预防接种服务，落实国家免疫规划。</w:t>
      </w:r>
    </w:p>
    <w:p w14:paraId="4BCB37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（4）及时发现、登记并报告本乡内发现的传染病病例和疑似病例，参与现场疫情管理。</w:t>
      </w:r>
    </w:p>
    <w:p w14:paraId="41B352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（5）开展新生儿访视及儿童保健系统管理，进行体格检查和</w:t>
      </w:r>
      <w:r>
        <w:rPr>
          <w:rFonts w:hint="eastAsia" w:ascii="仿宋" w:hAnsi="仿宋" w:eastAsia="仿宋" w:cs="仿宋"/>
          <w:i w:val="0"/>
          <w:iCs w:val="0"/>
          <w:caps w:val="0"/>
          <w:color w:val="000000"/>
          <w:spacing w:val="0"/>
          <w:sz w:val="32"/>
          <w:szCs w:val="32"/>
          <w:shd w:val="clear" w:fill="FFFFFF"/>
          <w:lang w:eastAsia="zh-CN"/>
        </w:rPr>
        <w:t>生长发育</w:t>
      </w:r>
      <w:r>
        <w:rPr>
          <w:rFonts w:hint="eastAsia" w:ascii="仿宋" w:hAnsi="仿宋" w:eastAsia="仿宋" w:cs="仿宋"/>
          <w:i w:val="0"/>
          <w:iCs w:val="0"/>
          <w:caps w:val="0"/>
          <w:color w:val="000000"/>
          <w:spacing w:val="0"/>
          <w:sz w:val="32"/>
          <w:szCs w:val="32"/>
          <w:shd w:val="clear" w:fill="FFFFFF"/>
        </w:rPr>
        <w:t>监测及评价，开展健康指导。</w:t>
      </w:r>
    </w:p>
    <w:p w14:paraId="5AACA5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（6）开展孕产妇保健系统管理和产后访视，进行一般体格检查及孕期营养，心理等健康指导。</w:t>
      </w:r>
    </w:p>
    <w:p w14:paraId="04A28E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（7）对本乡65岁及以上老年人进行登记管理，进行健康危险因素调查和一般体格检查，开展健康指导。</w:t>
      </w:r>
    </w:p>
    <w:p w14:paraId="485604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（8）对高血压、糖尿病等慢性病高危人群进行指导，对确诊高血压、糖尿病等慢性疾病进行登记管理，定期随访和健康指导。</w:t>
      </w:r>
    </w:p>
    <w:p w14:paraId="1D9030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（9）对本乡重性精神疾病患者进行登记管理、治疗随访和康复指导。</w:t>
      </w:r>
    </w:p>
    <w:p w14:paraId="0BC277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（10）负责本乡内突发公共卫生事件的报告并协助处理。</w:t>
      </w:r>
    </w:p>
    <w:p w14:paraId="3B1D73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（11）做好卫生行政部门规定的其他公共卫生服务。</w:t>
      </w:r>
    </w:p>
    <w:p w14:paraId="712E95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2、提供基本医疗服务</w:t>
      </w:r>
    </w:p>
    <w:p w14:paraId="6C18EB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（1）使用农村适宜医疗技术和中医药技术，正确处理常见病、多发病，对疑难重症进行恰当的处理并转诊。承担乡村现场应急救护、转诊服务和康复服务。</w:t>
      </w:r>
    </w:p>
    <w:p w14:paraId="274D1C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（2）我院能完成外科的止血、缝合、包扎、骨折固定等处置，能开展阑尾、疝气等常见下腹部手术。</w:t>
      </w:r>
    </w:p>
    <w:p w14:paraId="1D22F1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（3）健全消毒、隔离制度，遵守无菌操作规程，加强医疗质量管理。做好医疗废物处理和污水、污物无害化处理。</w:t>
      </w:r>
    </w:p>
    <w:p w14:paraId="6896A6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（4）执行国家基本药物制度药品集中采购、零差率销售等政策，为实施一体化管理的村卫生室统一代购药品。</w:t>
      </w:r>
    </w:p>
    <w:p w14:paraId="069936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（5）提供政府卫生行政部门批准的其他适宜的医疗服务。</w:t>
      </w:r>
    </w:p>
    <w:p w14:paraId="4360B3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3、承担公共卫生管理</w:t>
      </w:r>
    </w:p>
    <w:p w14:paraId="2E3863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（1）对本乡内传染病防治、学校卫生、食品卫生、饮水卫生、职业卫生，以及村级预防保健工作进行指导、培训、考核与监督。</w:t>
      </w:r>
    </w:p>
    <w:p w14:paraId="1D94F4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（2）严格执行新型农村合作医疗政策规定，履行定点医疗机构职责，做好有关的政策宣传、监督及服务工作。</w:t>
      </w:r>
    </w:p>
    <w:p w14:paraId="3752A4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（3）深入推进乡村卫生服务一体化管理，对村卫生室实行以行政、人员、业务、药品、财产为基本内容的“五统一”规范管理；负责村卫生室的技术指导和乡村医生培训等工作。</w:t>
      </w:r>
    </w:p>
    <w:p w14:paraId="0BFF0F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4、卫生行政管理</w:t>
      </w:r>
    </w:p>
    <w:p w14:paraId="26787E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（1）在当地政府和上级卫生行政部门领导下，依据当地社会经济发展规划，协助制定和实施社区的初级卫生规划。</w:t>
      </w:r>
    </w:p>
    <w:p w14:paraId="787F5A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（2）配合有关部门动员组织群众开展爱国卫生活动，逐步改善本乡卫生状况。</w:t>
      </w:r>
    </w:p>
    <w:p w14:paraId="3FA0E0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（3）贯彻执行国家各种卫生法规，对本乡内有关行业实行监督管理。</w:t>
      </w:r>
    </w:p>
    <w:p w14:paraId="738945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（4）负责本乡内村级卫生服务站的管理和培训工作。</w:t>
      </w:r>
    </w:p>
    <w:p w14:paraId="0BC18650"/>
    <w:p w14:paraId="2D14BA19">
      <w:pPr>
        <w:pStyle w:val="3"/>
        <w:ind w:left="0" w:leftChars="0" w:firstLine="0" w:firstLineChars="0"/>
        <w:rPr>
          <w:rFonts w:hint="default"/>
          <w:lang w:val="en-US" w:eastAsia="zh-CN"/>
        </w:rPr>
      </w:pPr>
    </w:p>
    <w:p w14:paraId="108089E2">
      <w:pPr>
        <w:pStyle w:val="6"/>
        <w:shd w:val="clear" w:color="auto" w:fill="FFFFFF"/>
        <w:ind w:firstLine="420"/>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14:paraId="0FD1EF5E">
      <w:pPr>
        <w:numPr>
          <w:ilvl w:val="0"/>
          <w:numId w:val="0"/>
        </w:numPr>
        <w:spacing w:line="560"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巫溪县兰英乡卫生院为一级预算单位，本年度无下级预算单位纳入部门决算。我院</w:t>
      </w:r>
      <w:r>
        <w:rPr>
          <w:rFonts w:hint="eastAsia" w:ascii="仿宋" w:hAnsi="仿宋" w:eastAsia="仿宋" w:cs="仿宋"/>
          <w:color w:val="000000"/>
          <w:sz w:val="32"/>
          <w:szCs w:val="32"/>
        </w:rPr>
        <w:t>下设2个村卫生室，均达到了规范化建设，配备乡村医生2名。开设有内科、外科、骨科、妇科、儿科、预防接种科、中医康复理疗科、医技科(B超室、心电图室、检验室)，公共卫生等科室。配备B超、全自动血球分析仪、全自动生化分析仪、全自动洗胃机、心电图机、尿液分析仪等医疗设备。设有床位5张，配有120救护车和应急办公室，有专业的驾驶技术人员24小时待命。</w:t>
      </w:r>
    </w:p>
    <w:p w14:paraId="253BD30D">
      <w:pPr>
        <w:pStyle w:val="2"/>
        <w:rPr>
          <w:rFonts w:hint="eastAsia"/>
        </w:rPr>
      </w:pPr>
    </w:p>
    <w:p w14:paraId="2F71A97E">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left="0" w:leftChars="0" w:firstLine="643" w:firstLineChars="200"/>
        <w:textAlignment w:val="auto"/>
        <w:rPr>
          <w:rStyle w:val="9"/>
          <w:rFonts w:hint="eastAsia" w:ascii="楷体" w:hAnsi="楷体" w:eastAsia="楷体" w:cs="楷体"/>
          <w:sz w:val="32"/>
          <w:szCs w:val="32"/>
          <w:shd w:val="clear" w:color="auto" w:fill="FFFFFF"/>
        </w:rPr>
      </w:pPr>
      <w:r>
        <w:rPr>
          <w:rStyle w:val="9"/>
          <w:rFonts w:hint="eastAsia" w:ascii="楷体" w:hAnsi="楷体" w:eastAsia="楷体" w:cs="楷体"/>
          <w:sz w:val="32"/>
          <w:szCs w:val="32"/>
          <w:shd w:val="clear" w:color="auto" w:fill="FFFFFF"/>
          <w:lang w:eastAsia="zh-CN"/>
        </w:rPr>
        <w:t>单位</w:t>
      </w:r>
      <w:r>
        <w:rPr>
          <w:rStyle w:val="9"/>
          <w:rFonts w:hint="eastAsia" w:ascii="楷体" w:hAnsi="楷体" w:eastAsia="楷体" w:cs="楷体"/>
          <w:sz w:val="32"/>
          <w:szCs w:val="32"/>
          <w:shd w:val="clear" w:color="auto" w:fill="FFFFFF"/>
        </w:rPr>
        <w:t>决算</w:t>
      </w:r>
      <w:r>
        <w:rPr>
          <w:rStyle w:val="9"/>
          <w:rFonts w:hint="eastAsia" w:ascii="楷体" w:hAnsi="楷体" w:eastAsia="楷体" w:cs="楷体"/>
          <w:sz w:val="32"/>
          <w:szCs w:val="32"/>
          <w:shd w:val="clear" w:color="auto" w:fill="FFFFFF"/>
          <w:lang w:eastAsia="zh-CN"/>
        </w:rPr>
        <w:t>收支</w:t>
      </w:r>
      <w:r>
        <w:rPr>
          <w:rStyle w:val="9"/>
          <w:rFonts w:hint="eastAsia" w:ascii="楷体" w:hAnsi="楷体" w:eastAsia="楷体" w:cs="楷体"/>
          <w:sz w:val="32"/>
          <w:szCs w:val="32"/>
          <w:shd w:val="clear" w:color="auto" w:fill="FFFFFF"/>
        </w:rPr>
        <w:t>情况说明</w:t>
      </w:r>
    </w:p>
    <w:p w14:paraId="58F82FC1">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leftChars="200"/>
        <w:textAlignment w:val="auto"/>
        <w:rPr>
          <w:rStyle w:val="9"/>
          <w:rFonts w:hint="default" w:ascii="黑体" w:hAnsi="黑体" w:eastAsia="黑体" w:cs="黑体"/>
          <w:sz w:val="32"/>
          <w:szCs w:val="32"/>
          <w:shd w:val="clear" w:color="auto" w:fill="FFFFFF"/>
        </w:rPr>
      </w:pPr>
    </w:p>
    <w:p w14:paraId="38AEBAB7">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503AC2A">
      <w:pPr>
        <w:pStyle w:val="6"/>
        <w:shd w:val="clear" w:color="auto" w:fill="FFFFFF"/>
        <w:ind w:firstLine="643" w:firstLineChars="200"/>
        <w:rPr>
          <w:rFonts w:hint="default" w:ascii="方正仿宋_GBK" w:hAnsi="方正仿宋_GBK" w:eastAsia="仿宋" w:cs="方正仿宋_GBK"/>
          <w:sz w:val="32"/>
          <w:szCs w:val="32"/>
          <w:lang w:val="en-US" w:eastAsia="zh-CN"/>
        </w:rPr>
      </w:pPr>
      <w:r>
        <w:rPr>
          <w:rStyle w:val="9"/>
          <w:rFonts w:hint="eastAsia" w:ascii="仿宋" w:hAnsi="仿宋" w:eastAsia="仿宋" w:cs="仿宋"/>
          <w:sz w:val="32"/>
          <w:szCs w:val="32"/>
          <w:shd w:val="clear" w:color="auto" w:fill="FFFFFF"/>
        </w:rPr>
        <w:t>1.总体情况。</w:t>
      </w:r>
      <w:r>
        <w:rPr>
          <w:rFonts w:hint="eastAsia" w:ascii="仿宋" w:hAnsi="仿宋" w:eastAsia="仿宋" w:cs="仿宋"/>
          <w:sz w:val="32"/>
          <w:szCs w:val="32"/>
          <w:shd w:val="clear" w:color="auto" w:fill="FFFFFF"/>
          <w:lang w:eastAsia="zh-CN"/>
        </w:rPr>
        <w:t>2024年</w:t>
      </w:r>
      <w:r>
        <w:rPr>
          <w:rFonts w:hint="eastAsia" w:ascii="仿宋" w:hAnsi="仿宋" w:eastAsia="仿宋" w:cs="仿宋"/>
          <w:sz w:val="32"/>
          <w:szCs w:val="32"/>
          <w:shd w:val="clear" w:color="auto" w:fill="FFFFFF"/>
        </w:rPr>
        <w:t>度收入总计152.53万元，支出总计</w:t>
      </w:r>
      <w:r>
        <w:rPr>
          <w:rFonts w:hint="eastAsia" w:ascii="仿宋" w:hAnsi="仿宋" w:eastAsia="仿宋" w:cs="仿宋"/>
          <w:sz w:val="32"/>
          <w:szCs w:val="32"/>
        </w:rPr>
        <w:t>152.53</w:t>
      </w:r>
      <w:r>
        <w:rPr>
          <w:rFonts w:hint="eastAsia" w:ascii="仿宋" w:hAnsi="仿宋" w:eastAsia="仿宋" w:cs="仿宋"/>
          <w:sz w:val="32"/>
          <w:szCs w:val="32"/>
          <w:shd w:val="clear" w:color="auto" w:fill="FFFFFF"/>
        </w:rPr>
        <w:t>万元。收、支与2023年度相比，减少13.98万元，下降8.4%，</w:t>
      </w:r>
      <w:r>
        <w:rPr>
          <w:rFonts w:hint="eastAsia" w:ascii="仿宋" w:hAnsi="仿宋" w:eastAsia="仿宋" w:cs="仿宋"/>
          <w:sz w:val="32"/>
          <w:szCs w:val="32"/>
          <w:shd w:val="clear" w:color="auto" w:fill="FFFFFF"/>
          <w:lang w:val="en-US" w:eastAsia="zh-CN"/>
        </w:rPr>
        <w:t>主要原因是三支一扶经费减少、基本公共卫生服务拨款减少、导致收入支出同步减少。</w:t>
      </w:r>
    </w:p>
    <w:p w14:paraId="3C51DE50">
      <w:pPr>
        <w:pStyle w:val="6"/>
        <w:snapToGrid w:val="0"/>
        <w:spacing w:before="0" w:beforeAutospacing="0" w:after="0" w:afterAutospacing="0" w:line="600" w:lineRule="exact"/>
        <w:ind w:firstLine="643" w:firstLineChars="200"/>
        <w:jc w:val="both"/>
        <w:rPr>
          <w:rFonts w:hint="eastAsia" w:ascii="仿宋" w:hAnsi="仿宋" w:eastAsia="仿宋" w:cs="仿宋"/>
          <w:sz w:val="32"/>
          <w:szCs w:val="32"/>
          <w:shd w:val="clear" w:color="auto" w:fill="FFFFFF"/>
        </w:rPr>
      </w:pPr>
      <w:r>
        <w:rPr>
          <w:rStyle w:val="9"/>
          <w:rFonts w:hint="eastAsia" w:ascii="仿宋" w:hAnsi="仿宋" w:eastAsia="仿宋" w:cs="仿宋"/>
          <w:sz w:val="32"/>
          <w:szCs w:val="32"/>
          <w:shd w:val="clear" w:color="auto" w:fill="FFFFFF"/>
        </w:rPr>
        <w:t>2.收入情况。</w:t>
      </w:r>
      <w:r>
        <w:rPr>
          <w:rFonts w:hint="eastAsia" w:ascii="仿宋" w:hAnsi="仿宋" w:eastAsia="仿宋" w:cs="仿宋"/>
          <w:sz w:val="32"/>
          <w:szCs w:val="32"/>
          <w:shd w:val="clear" w:color="auto" w:fill="FFFFFF"/>
          <w:lang w:eastAsia="zh-CN"/>
        </w:rPr>
        <w:t>2024年</w:t>
      </w:r>
      <w:r>
        <w:rPr>
          <w:rFonts w:hint="eastAsia" w:ascii="仿宋" w:hAnsi="仿宋" w:eastAsia="仿宋" w:cs="仿宋"/>
          <w:sz w:val="32"/>
          <w:szCs w:val="32"/>
          <w:shd w:val="clear" w:color="auto" w:fill="FFFFFF"/>
        </w:rPr>
        <w:t>度收入合计152.53万元，与2023年度相比，减少13.98万元，下降8.4%，主要原因是</w:t>
      </w:r>
      <w:r>
        <w:rPr>
          <w:rFonts w:hint="eastAsia" w:ascii="仿宋" w:hAnsi="仿宋" w:eastAsia="仿宋" w:cs="仿宋"/>
          <w:sz w:val="32"/>
          <w:szCs w:val="32"/>
          <w:shd w:val="clear" w:color="auto" w:fill="FFFFFF"/>
          <w:lang w:val="en-US" w:eastAsia="zh-CN"/>
        </w:rPr>
        <w:t>三支一扶经费减少、基本公共卫生服务拨款减少，导致收入同步减少。</w:t>
      </w:r>
      <w:r>
        <w:rPr>
          <w:rFonts w:hint="eastAsia" w:ascii="仿宋" w:hAnsi="仿宋" w:eastAsia="仿宋" w:cs="仿宋"/>
          <w:sz w:val="32"/>
          <w:szCs w:val="32"/>
          <w:shd w:val="clear" w:color="auto" w:fill="FFFFFF"/>
        </w:rPr>
        <w:t>其中：财政拨款收入</w:t>
      </w:r>
      <w:r>
        <w:rPr>
          <w:rFonts w:hint="eastAsia" w:ascii="仿宋" w:hAnsi="仿宋" w:eastAsia="仿宋" w:cs="仿宋"/>
          <w:sz w:val="32"/>
          <w:szCs w:val="32"/>
        </w:rPr>
        <w:t>102.55</w:t>
      </w:r>
      <w:r>
        <w:rPr>
          <w:rFonts w:hint="eastAsia" w:ascii="仿宋" w:hAnsi="仿宋" w:eastAsia="仿宋" w:cs="仿宋"/>
          <w:sz w:val="32"/>
          <w:szCs w:val="32"/>
          <w:shd w:val="clear" w:color="auto" w:fill="FFFFFF"/>
        </w:rPr>
        <w:t>万元，占</w:t>
      </w:r>
      <w:r>
        <w:rPr>
          <w:rFonts w:hint="eastAsia" w:ascii="仿宋" w:hAnsi="仿宋" w:eastAsia="仿宋" w:cs="仿宋"/>
          <w:sz w:val="32"/>
          <w:szCs w:val="32"/>
        </w:rPr>
        <w:t>67.23</w:t>
      </w:r>
      <w:r>
        <w:rPr>
          <w:rFonts w:hint="eastAsia" w:ascii="仿宋" w:hAnsi="仿宋" w:eastAsia="仿宋" w:cs="仿宋"/>
          <w:sz w:val="32"/>
          <w:szCs w:val="32"/>
          <w:shd w:val="clear" w:color="auto" w:fill="FFFFFF"/>
        </w:rPr>
        <w:t>%；事业收入</w:t>
      </w:r>
      <w:r>
        <w:rPr>
          <w:rFonts w:hint="eastAsia" w:ascii="仿宋" w:hAnsi="仿宋" w:eastAsia="仿宋" w:cs="仿宋"/>
          <w:sz w:val="32"/>
          <w:szCs w:val="32"/>
        </w:rPr>
        <w:t>49.96</w:t>
      </w:r>
      <w:r>
        <w:rPr>
          <w:rFonts w:hint="eastAsia" w:ascii="仿宋" w:hAnsi="仿宋" w:eastAsia="仿宋" w:cs="仿宋"/>
          <w:sz w:val="32"/>
          <w:szCs w:val="32"/>
          <w:shd w:val="clear" w:color="auto" w:fill="FFFFFF"/>
        </w:rPr>
        <w:t>万元，占32.75%；经营收入</w:t>
      </w:r>
      <w:r>
        <w:rPr>
          <w:rFonts w:hint="eastAsia" w:ascii="仿宋" w:hAnsi="仿宋" w:eastAsia="仿宋" w:cs="仿宋"/>
          <w:sz w:val="32"/>
          <w:szCs w:val="32"/>
        </w:rPr>
        <w:t>0.00</w:t>
      </w:r>
      <w:r>
        <w:rPr>
          <w:rFonts w:hint="eastAsia" w:ascii="仿宋" w:hAnsi="仿宋" w:eastAsia="仿宋" w:cs="仿宋"/>
          <w:sz w:val="32"/>
          <w:szCs w:val="32"/>
          <w:shd w:val="clear" w:color="auto" w:fill="FFFFFF"/>
        </w:rPr>
        <w:t>万元，占0.00%；其他收入</w:t>
      </w:r>
      <w:r>
        <w:rPr>
          <w:rFonts w:hint="eastAsia" w:ascii="仿宋" w:hAnsi="仿宋" w:eastAsia="仿宋" w:cs="仿宋"/>
          <w:sz w:val="32"/>
          <w:szCs w:val="32"/>
        </w:rPr>
        <w:t>0.02</w:t>
      </w:r>
      <w:r>
        <w:rPr>
          <w:rFonts w:hint="eastAsia" w:ascii="仿宋" w:hAnsi="仿宋" w:eastAsia="仿宋" w:cs="仿宋"/>
          <w:sz w:val="32"/>
          <w:szCs w:val="32"/>
          <w:shd w:val="clear" w:color="auto" w:fill="FFFFFF"/>
        </w:rPr>
        <w:t>万元，占0.01%。此外，使用非财政拨款结余和专用结余</w:t>
      </w:r>
      <w:r>
        <w:rPr>
          <w:rFonts w:hint="eastAsia" w:ascii="仿宋" w:hAnsi="仿宋" w:eastAsia="仿宋" w:cs="仿宋"/>
          <w:sz w:val="32"/>
          <w:szCs w:val="32"/>
        </w:rPr>
        <w:t>0.00</w:t>
      </w:r>
      <w:r>
        <w:rPr>
          <w:rFonts w:hint="eastAsia" w:ascii="仿宋" w:hAnsi="仿宋" w:eastAsia="仿宋" w:cs="仿宋"/>
          <w:sz w:val="32"/>
          <w:szCs w:val="32"/>
          <w:shd w:val="clear" w:color="auto" w:fill="FFFFFF"/>
        </w:rPr>
        <w:t>万元，年初结转和结余</w:t>
      </w:r>
      <w:r>
        <w:rPr>
          <w:rFonts w:hint="eastAsia" w:ascii="仿宋" w:hAnsi="仿宋" w:eastAsia="仿宋" w:cs="仿宋"/>
          <w:sz w:val="32"/>
          <w:szCs w:val="32"/>
        </w:rPr>
        <w:t>0.00</w:t>
      </w:r>
      <w:r>
        <w:rPr>
          <w:rFonts w:hint="eastAsia" w:ascii="仿宋" w:hAnsi="仿宋" w:eastAsia="仿宋" w:cs="仿宋"/>
          <w:sz w:val="32"/>
          <w:szCs w:val="32"/>
          <w:shd w:val="clear" w:color="auto" w:fill="FFFFFF"/>
        </w:rPr>
        <w:t>万元。</w:t>
      </w:r>
    </w:p>
    <w:p w14:paraId="759DA7AD">
      <w:pPr>
        <w:pStyle w:val="6"/>
        <w:snapToGrid w:val="0"/>
        <w:spacing w:before="0" w:beforeAutospacing="0" w:after="0" w:afterAutospacing="0" w:line="600" w:lineRule="exact"/>
        <w:ind w:firstLine="643" w:firstLineChars="200"/>
        <w:jc w:val="both"/>
        <w:rPr>
          <w:rFonts w:hint="eastAsia" w:ascii="仿宋" w:hAnsi="仿宋" w:eastAsia="仿宋" w:cs="仿宋"/>
          <w:sz w:val="32"/>
          <w:szCs w:val="32"/>
          <w:shd w:val="clear" w:color="auto" w:fill="FFFFFF"/>
        </w:rPr>
      </w:pPr>
      <w:r>
        <w:rPr>
          <w:rStyle w:val="9"/>
          <w:rFonts w:hint="eastAsia" w:ascii="楷体" w:hAnsi="楷体" w:eastAsia="楷体" w:cs="楷体"/>
          <w:sz w:val="32"/>
          <w:szCs w:val="32"/>
          <w:shd w:val="clear" w:color="auto" w:fill="FFFFFF"/>
        </w:rPr>
        <w:t>3.支出情况。</w:t>
      </w:r>
      <w:r>
        <w:rPr>
          <w:rFonts w:hint="eastAsia" w:ascii="仿宋" w:hAnsi="仿宋" w:eastAsia="仿宋" w:cs="仿宋"/>
          <w:sz w:val="32"/>
          <w:szCs w:val="32"/>
          <w:shd w:val="clear" w:color="auto" w:fill="FFFFFF"/>
          <w:lang w:eastAsia="zh-CN"/>
        </w:rPr>
        <w:t>2024年</w:t>
      </w:r>
      <w:r>
        <w:rPr>
          <w:rFonts w:hint="eastAsia" w:ascii="仿宋" w:hAnsi="仿宋" w:eastAsia="仿宋" w:cs="仿宋"/>
          <w:sz w:val="32"/>
          <w:szCs w:val="32"/>
          <w:shd w:val="clear" w:color="auto" w:fill="FFFFFF"/>
        </w:rPr>
        <w:t>度支出合计</w:t>
      </w:r>
      <w:r>
        <w:rPr>
          <w:rFonts w:hint="eastAsia" w:ascii="仿宋" w:hAnsi="仿宋" w:eastAsia="仿宋" w:cs="仿宋"/>
          <w:sz w:val="32"/>
          <w:szCs w:val="32"/>
        </w:rPr>
        <w:t>151.27</w:t>
      </w:r>
      <w:r>
        <w:rPr>
          <w:rFonts w:hint="eastAsia" w:ascii="仿宋" w:hAnsi="仿宋" w:eastAsia="仿宋" w:cs="仿宋"/>
          <w:sz w:val="32"/>
          <w:szCs w:val="32"/>
          <w:shd w:val="clear" w:color="auto" w:fill="FFFFFF"/>
        </w:rPr>
        <w:t>万元，与2023年度相比，减少14.46万元，下降8.7%，主要原因是</w:t>
      </w:r>
      <w:r>
        <w:rPr>
          <w:rFonts w:hint="eastAsia" w:ascii="仿宋" w:hAnsi="仿宋" w:eastAsia="仿宋" w:cs="仿宋"/>
          <w:sz w:val="32"/>
          <w:szCs w:val="32"/>
          <w:shd w:val="clear" w:color="auto" w:fill="FFFFFF"/>
          <w:lang w:val="en-US" w:eastAsia="zh-CN"/>
        </w:rPr>
        <w:t>三支一扶经费减少、基本公共卫生服务拨款减少、采购基本公共卫生服务物资和设备减少。</w:t>
      </w:r>
      <w:r>
        <w:rPr>
          <w:rFonts w:hint="eastAsia" w:ascii="仿宋" w:hAnsi="仿宋" w:eastAsia="仿宋" w:cs="仿宋"/>
          <w:sz w:val="32"/>
          <w:szCs w:val="32"/>
          <w:shd w:val="clear" w:color="auto" w:fill="FFFFFF"/>
        </w:rPr>
        <w:t>其中：基本支出</w:t>
      </w:r>
      <w:r>
        <w:rPr>
          <w:rFonts w:hint="eastAsia" w:ascii="仿宋" w:hAnsi="仿宋" w:eastAsia="仿宋" w:cs="仿宋"/>
          <w:sz w:val="32"/>
          <w:szCs w:val="32"/>
        </w:rPr>
        <w:t>132.25</w:t>
      </w:r>
      <w:r>
        <w:rPr>
          <w:rFonts w:hint="eastAsia" w:ascii="仿宋" w:hAnsi="仿宋" w:eastAsia="仿宋" w:cs="仿宋"/>
          <w:sz w:val="32"/>
          <w:szCs w:val="32"/>
          <w:shd w:val="clear" w:color="auto" w:fill="FFFFFF"/>
        </w:rPr>
        <w:t>万元，占87.43%；项目支出</w:t>
      </w:r>
      <w:r>
        <w:rPr>
          <w:rFonts w:hint="eastAsia" w:ascii="仿宋" w:hAnsi="仿宋" w:eastAsia="仿宋" w:cs="仿宋"/>
          <w:sz w:val="32"/>
          <w:szCs w:val="32"/>
        </w:rPr>
        <w:t>19.01</w:t>
      </w:r>
      <w:r>
        <w:rPr>
          <w:rFonts w:hint="eastAsia" w:ascii="仿宋" w:hAnsi="仿宋" w:eastAsia="仿宋" w:cs="仿宋"/>
          <w:sz w:val="32"/>
          <w:szCs w:val="32"/>
          <w:shd w:val="clear" w:color="auto" w:fill="FFFFFF"/>
        </w:rPr>
        <w:t>万元，占12.57%；经营支出</w:t>
      </w:r>
      <w:r>
        <w:rPr>
          <w:rFonts w:hint="eastAsia" w:ascii="仿宋" w:hAnsi="仿宋" w:eastAsia="仿宋" w:cs="仿宋"/>
          <w:sz w:val="32"/>
          <w:szCs w:val="32"/>
        </w:rPr>
        <w:t>0.00</w:t>
      </w:r>
      <w:r>
        <w:rPr>
          <w:rFonts w:hint="eastAsia" w:ascii="仿宋" w:hAnsi="仿宋" w:eastAsia="仿宋" w:cs="仿宋"/>
          <w:sz w:val="32"/>
          <w:szCs w:val="32"/>
          <w:shd w:val="clear" w:color="auto" w:fill="FFFFFF"/>
        </w:rPr>
        <w:t>万元，占0.00%。此外，结余分配</w:t>
      </w:r>
      <w:r>
        <w:rPr>
          <w:rFonts w:hint="eastAsia" w:ascii="仿宋" w:hAnsi="仿宋" w:eastAsia="仿宋" w:cs="仿宋"/>
          <w:sz w:val="32"/>
          <w:szCs w:val="32"/>
        </w:rPr>
        <w:t>1.26</w:t>
      </w:r>
      <w:r>
        <w:rPr>
          <w:rFonts w:hint="eastAsia" w:ascii="仿宋" w:hAnsi="仿宋" w:eastAsia="仿宋" w:cs="仿宋"/>
          <w:sz w:val="32"/>
          <w:szCs w:val="32"/>
          <w:shd w:val="clear" w:color="auto" w:fill="FFFFFF"/>
        </w:rPr>
        <w:t>万元。</w:t>
      </w:r>
    </w:p>
    <w:p w14:paraId="489B4C61">
      <w:pPr>
        <w:pStyle w:val="6"/>
        <w:snapToGrid w:val="0"/>
        <w:spacing w:before="0" w:beforeAutospacing="0" w:after="0" w:afterAutospacing="0" w:line="600" w:lineRule="exact"/>
        <w:ind w:firstLine="643" w:firstLineChars="200"/>
        <w:jc w:val="both"/>
        <w:rPr>
          <w:rFonts w:hint="default" w:ascii="仿宋" w:hAnsi="仿宋" w:eastAsia="仿宋" w:cs="仿宋"/>
          <w:sz w:val="32"/>
          <w:szCs w:val="32"/>
          <w:lang w:val="en-US" w:eastAsia="zh-CN"/>
        </w:rPr>
      </w:pPr>
      <w:r>
        <w:rPr>
          <w:rStyle w:val="9"/>
          <w:rFonts w:hint="eastAsia" w:ascii="楷体" w:hAnsi="楷体" w:eastAsia="楷体" w:cs="楷体"/>
          <w:sz w:val="32"/>
          <w:szCs w:val="32"/>
          <w:shd w:val="clear" w:color="auto" w:fill="FFFFFF"/>
        </w:rPr>
        <w:t>4.结转结余情况。</w:t>
      </w:r>
      <w:r>
        <w:rPr>
          <w:rFonts w:hint="eastAsia" w:ascii="仿宋" w:hAnsi="仿宋" w:eastAsia="仿宋" w:cs="仿宋"/>
          <w:sz w:val="32"/>
          <w:szCs w:val="32"/>
          <w:shd w:val="clear" w:color="auto" w:fill="FFFFFF"/>
          <w:lang w:eastAsia="zh-CN"/>
        </w:rPr>
        <w:t>2024年</w:t>
      </w:r>
      <w:r>
        <w:rPr>
          <w:rFonts w:hint="eastAsia" w:ascii="仿宋" w:hAnsi="仿宋" w:eastAsia="仿宋" w:cs="仿宋"/>
          <w:sz w:val="32"/>
          <w:szCs w:val="32"/>
          <w:shd w:val="clear" w:color="auto" w:fill="FFFFFF"/>
        </w:rPr>
        <w:t>度年末结转和结余</w:t>
      </w:r>
      <w:r>
        <w:rPr>
          <w:rFonts w:hint="eastAsia" w:ascii="仿宋" w:hAnsi="仿宋" w:eastAsia="仿宋" w:cs="仿宋"/>
          <w:sz w:val="32"/>
          <w:szCs w:val="32"/>
        </w:rPr>
        <w:t>0.00</w:t>
      </w:r>
      <w:r>
        <w:rPr>
          <w:rFonts w:hint="eastAsia" w:ascii="仿宋" w:hAnsi="仿宋" w:eastAsia="仿宋" w:cs="仿宋"/>
          <w:sz w:val="32"/>
          <w:szCs w:val="32"/>
          <w:shd w:val="clear" w:color="auto" w:fill="FFFFFF"/>
        </w:rPr>
        <w:t>万元，与2023年度相比，无增减</w:t>
      </w:r>
      <w:r>
        <w:rPr>
          <w:rFonts w:hint="eastAsia" w:ascii="仿宋" w:hAnsi="仿宋" w:eastAsia="仿宋" w:cs="仿宋"/>
          <w:sz w:val="32"/>
          <w:szCs w:val="32"/>
          <w:shd w:val="clear" w:color="auto" w:fill="FFFFFF"/>
          <w:lang w:val="en-US" w:eastAsia="zh-CN"/>
        </w:rPr>
        <w:t>。</w:t>
      </w:r>
    </w:p>
    <w:p w14:paraId="7F647BC5">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83EF269">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shd w:val="clear" w:color="auto" w:fill="FFFFFF"/>
          <w:lang w:eastAsia="zh-CN"/>
        </w:rPr>
        <w:t>2024年</w:t>
      </w:r>
      <w:r>
        <w:rPr>
          <w:rFonts w:hint="eastAsia" w:ascii="仿宋" w:hAnsi="仿宋" w:eastAsia="仿宋" w:cs="仿宋"/>
          <w:sz w:val="32"/>
          <w:szCs w:val="32"/>
          <w:shd w:val="clear" w:color="auto" w:fill="FFFFFF"/>
        </w:rPr>
        <w:t>度财政拨款收、支总计102.55万元。与202</w:t>
      </w:r>
      <w:r>
        <w:rPr>
          <w:rFonts w:hint="eastAsia" w:ascii="仿宋" w:hAnsi="仿宋" w:eastAsia="仿宋" w:cs="仿宋"/>
          <w:sz w:val="32"/>
          <w:szCs w:val="32"/>
          <w:shd w:val="clear" w:color="auto" w:fill="FFFFFF"/>
          <w:lang w:val="en-US" w:eastAsia="zh-CN"/>
        </w:rPr>
        <w:t>3</w:t>
      </w:r>
      <w:r>
        <w:rPr>
          <w:rFonts w:hint="eastAsia" w:ascii="仿宋" w:hAnsi="仿宋" w:eastAsia="仿宋" w:cs="仿宋"/>
          <w:sz w:val="32"/>
          <w:szCs w:val="32"/>
          <w:shd w:val="clear" w:color="auto" w:fill="FFFFFF"/>
        </w:rPr>
        <w:t>年相比，财政拨款收、支总计各减少24.17万元，下降19.1%。主要原因是</w:t>
      </w:r>
      <w:r>
        <w:rPr>
          <w:rFonts w:hint="eastAsia" w:ascii="仿宋" w:hAnsi="仿宋" w:eastAsia="仿宋" w:cs="仿宋"/>
          <w:sz w:val="32"/>
          <w:szCs w:val="32"/>
          <w:shd w:val="clear" w:color="auto" w:fill="FFFFFF"/>
          <w:lang w:val="en-US" w:eastAsia="zh-CN"/>
        </w:rPr>
        <w:t>人员减少，三支一扶经费减少</w:t>
      </w:r>
      <w:bookmarkStart w:id="0" w:name="_GoBack"/>
      <w:bookmarkEnd w:id="0"/>
      <w:r>
        <w:rPr>
          <w:rFonts w:hint="eastAsia" w:ascii="仿宋" w:hAnsi="仿宋" w:eastAsia="仿宋" w:cs="仿宋"/>
          <w:sz w:val="32"/>
          <w:szCs w:val="32"/>
          <w:shd w:val="clear" w:color="auto" w:fill="FFFFFF"/>
          <w:lang w:val="en-US" w:eastAsia="zh-CN"/>
        </w:rPr>
        <w:t>、基本公共卫生服务拨款减少。</w:t>
      </w:r>
    </w:p>
    <w:p w14:paraId="62B5D9B6">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0583728">
      <w:pPr>
        <w:pStyle w:val="6"/>
        <w:snapToGrid w:val="0"/>
        <w:spacing w:before="0" w:beforeAutospacing="0" w:after="0" w:afterAutospacing="0" w:line="600" w:lineRule="exact"/>
        <w:ind w:firstLine="643" w:firstLineChars="200"/>
        <w:jc w:val="both"/>
        <w:rPr>
          <w:rFonts w:hint="eastAsia" w:ascii="仿宋" w:hAnsi="仿宋" w:eastAsia="仿宋" w:cs="仿宋"/>
          <w:sz w:val="32"/>
          <w:szCs w:val="32"/>
        </w:rPr>
      </w:pPr>
      <w:r>
        <w:rPr>
          <w:rStyle w:val="9"/>
          <w:rFonts w:hint="eastAsia" w:ascii="楷体" w:hAnsi="楷体" w:eastAsia="楷体" w:cs="楷体"/>
          <w:sz w:val="32"/>
          <w:szCs w:val="32"/>
          <w:shd w:val="clear" w:color="auto" w:fill="FFFFFF"/>
        </w:rPr>
        <w:t>1.收入情况。</w:t>
      </w:r>
      <w:r>
        <w:rPr>
          <w:rFonts w:hint="eastAsia" w:ascii="仿宋" w:hAnsi="仿宋" w:eastAsia="仿宋" w:cs="仿宋"/>
          <w:sz w:val="32"/>
          <w:szCs w:val="32"/>
          <w:shd w:val="clear" w:color="auto" w:fill="FFFFFF"/>
          <w:lang w:eastAsia="zh-CN"/>
        </w:rPr>
        <w:t>2024年</w:t>
      </w:r>
      <w:r>
        <w:rPr>
          <w:rFonts w:hint="eastAsia" w:ascii="仿宋" w:hAnsi="仿宋" w:eastAsia="仿宋" w:cs="仿宋"/>
          <w:sz w:val="32"/>
          <w:szCs w:val="32"/>
          <w:shd w:val="clear" w:color="auto" w:fill="FFFFFF"/>
        </w:rPr>
        <w:t>度一般公共预算财政拨款收入</w:t>
      </w:r>
      <w:r>
        <w:rPr>
          <w:rFonts w:hint="eastAsia" w:ascii="仿宋" w:hAnsi="仿宋" w:eastAsia="仿宋" w:cs="仿宋"/>
          <w:sz w:val="32"/>
          <w:szCs w:val="32"/>
        </w:rPr>
        <w:t>102.55</w:t>
      </w:r>
      <w:r>
        <w:rPr>
          <w:rFonts w:hint="eastAsia" w:ascii="仿宋" w:hAnsi="仿宋" w:eastAsia="仿宋" w:cs="仿宋"/>
          <w:sz w:val="32"/>
          <w:szCs w:val="32"/>
          <w:shd w:val="clear" w:color="auto" w:fill="FFFFFF"/>
        </w:rPr>
        <w:t>万元，与2023年度相比，减少24.17万元，下降19.1%。主要原因是</w:t>
      </w:r>
      <w:r>
        <w:rPr>
          <w:rFonts w:hint="eastAsia" w:ascii="仿宋" w:hAnsi="仿宋" w:eastAsia="仿宋" w:cs="仿宋"/>
          <w:sz w:val="32"/>
          <w:szCs w:val="32"/>
          <w:shd w:val="clear" w:color="auto" w:fill="FFFFFF"/>
          <w:lang w:val="en-US" w:eastAsia="zh-CN"/>
        </w:rPr>
        <w:t>人员减少，“三支一扶”经费减少、基本公共卫生服务拨款减少。</w:t>
      </w:r>
      <w:r>
        <w:rPr>
          <w:rFonts w:hint="eastAsia" w:ascii="仿宋" w:hAnsi="仿宋" w:eastAsia="仿宋" w:cs="仿宋"/>
          <w:sz w:val="32"/>
          <w:szCs w:val="32"/>
          <w:shd w:val="clear" w:color="auto" w:fill="FFFFFF"/>
        </w:rPr>
        <w:t>较年初预算数增加24.81万元，增长31.9%。主要原因是</w:t>
      </w:r>
      <w:r>
        <w:rPr>
          <w:rFonts w:hint="eastAsia" w:ascii="仿宋" w:hAnsi="仿宋" w:eastAsia="仿宋" w:cs="仿宋"/>
          <w:sz w:val="32"/>
          <w:szCs w:val="32"/>
          <w:shd w:val="clear" w:color="auto" w:fill="FFFFFF"/>
          <w:lang w:val="en-US" w:eastAsia="zh-CN"/>
        </w:rPr>
        <w:t>年初预算仅预算基本支出人员经费，没有预算基本公共卫生服务经费预算，项目经费预算由卫健委统一编报。</w:t>
      </w:r>
      <w:r>
        <w:rPr>
          <w:rFonts w:hint="eastAsia" w:ascii="仿宋" w:hAnsi="仿宋" w:eastAsia="仿宋" w:cs="仿宋"/>
          <w:sz w:val="32"/>
          <w:szCs w:val="32"/>
          <w:shd w:val="clear" w:color="auto" w:fill="FFFFFF"/>
        </w:rPr>
        <w:t>此外，年初财政拨款结转和结余</w:t>
      </w:r>
      <w:r>
        <w:rPr>
          <w:rFonts w:hint="eastAsia" w:ascii="仿宋" w:hAnsi="仿宋" w:eastAsia="仿宋" w:cs="仿宋"/>
          <w:sz w:val="32"/>
          <w:szCs w:val="32"/>
        </w:rPr>
        <w:t>0.00</w:t>
      </w:r>
      <w:r>
        <w:rPr>
          <w:rFonts w:hint="eastAsia" w:ascii="仿宋" w:hAnsi="仿宋" w:eastAsia="仿宋" w:cs="仿宋"/>
          <w:sz w:val="32"/>
          <w:szCs w:val="32"/>
          <w:shd w:val="clear" w:color="auto" w:fill="FFFFFF"/>
        </w:rPr>
        <w:t>万元。</w:t>
      </w:r>
    </w:p>
    <w:p w14:paraId="48F654EE">
      <w:pPr>
        <w:pStyle w:val="6"/>
        <w:snapToGrid w:val="0"/>
        <w:spacing w:before="0" w:beforeAutospacing="0" w:after="0" w:afterAutospacing="0" w:line="600" w:lineRule="exact"/>
        <w:ind w:firstLine="643" w:firstLineChars="200"/>
        <w:jc w:val="both"/>
        <w:rPr>
          <w:rFonts w:hint="default" w:ascii="仿宋" w:hAnsi="仿宋" w:eastAsia="仿宋" w:cs="仿宋"/>
          <w:sz w:val="32"/>
          <w:szCs w:val="32"/>
          <w:lang w:val="en-US" w:eastAsia="zh-CN"/>
        </w:rPr>
      </w:pPr>
      <w:r>
        <w:rPr>
          <w:rStyle w:val="9"/>
          <w:rFonts w:hint="eastAsia" w:ascii="楷体" w:hAnsi="楷体" w:eastAsia="楷体" w:cs="楷体"/>
          <w:sz w:val="32"/>
          <w:szCs w:val="32"/>
          <w:shd w:val="clear" w:color="auto" w:fill="FFFFFF"/>
        </w:rPr>
        <w:t>2.支出情况。</w:t>
      </w:r>
      <w:r>
        <w:rPr>
          <w:rFonts w:hint="eastAsia" w:ascii="仿宋" w:hAnsi="仿宋" w:eastAsia="仿宋" w:cs="仿宋"/>
          <w:sz w:val="32"/>
          <w:szCs w:val="32"/>
          <w:shd w:val="clear" w:color="auto" w:fill="FFFFFF"/>
          <w:lang w:eastAsia="zh-CN"/>
        </w:rPr>
        <w:t>2024年</w:t>
      </w:r>
      <w:r>
        <w:rPr>
          <w:rFonts w:hint="eastAsia" w:ascii="仿宋" w:hAnsi="仿宋" w:eastAsia="仿宋" w:cs="仿宋"/>
          <w:sz w:val="32"/>
          <w:szCs w:val="32"/>
          <w:shd w:val="clear" w:color="auto" w:fill="FFFFFF"/>
        </w:rPr>
        <w:t>度一般公共预算财政拨款支出</w:t>
      </w:r>
      <w:r>
        <w:rPr>
          <w:rFonts w:hint="eastAsia" w:ascii="仿宋" w:hAnsi="仿宋" w:eastAsia="仿宋" w:cs="仿宋"/>
          <w:sz w:val="32"/>
          <w:szCs w:val="32"/>
        </w:rPr>
        <w:t>102.55</w:t>
      </w:r>
      <w:r>
        <w:rPr>
          <w:rFonts w:hint="eastAsia" w:ascii="仿宋" w:hAnsi="仿宋" w:eastAsia="仿宋" w:cs="仿宋"/>
          <w:sz w:val="32"/>
          <w:szCs w:val="32"/>
          <w:shd w:val="clear" w:color="auto" w:fill="FFFFFF"/>
        </w:rPr>
        <w:t>万元，与2023年度相比，减少24.17万元，下降19.1%。主要原因</w:t>
      </w:r>
      <w:r>
        <w:rPr>
          <w:rFonts w:hint="eastAsia" w:ascii="仿宋" w:hAnsi="仿宋" w:eastAsia="仿宋" w:cs="仿宋"/>
          <w:sz w:val="32"/>
          <w:szCs w:val="32"/>
          <w:shd w:val="clear" w:color="auto" w:fill="FFFFFF"/>
          <w:lang w:val="en-US" w:eastAsia="zh-CN"/>
        </w:rPr>
        <w:t>是人员减少，“三支一扶”经费减少、基本公共卫生服务拨款减少。</w:t>
      </w:r>
      <w:r>
        <w:rPr>
          <w:rFonts w:hint="eastAsia" w:ascii="仿宋" w:hAnsi="仿宋" w:eastAsia="仿宋" w:cs="仿宋"/>
          <w:sz w:val="32"/>
          <w:szCs w:val="32"/>
          <w:shd w:val="clear" w:color="auto" w:fill="FFFFFF"/>
        </w:rPr>
        <w:t>较年初预算数增加24.81万元，增长31.9%。主要原因是</w:t>
      </w:r>
      <w:r>
        <w:rPr>
          <w:rFonts w:hint="eastAsia" w:ascii="仿宋" w:hAnsi="仿宋" w:eastAsia="仿宋" w:cs="仿宋"/>
          <w:sz w:val="32"/>
          <w:szCs w:val="32"/>
          <w:shd w:val="clear" w:color="auto" w:fill="FFFFFF"/>
          <w:lang w:val="en-US" w:eastAsia="zh-CN"/>
        </w:rPr>
        <w:t>采购基本公共卫生服务物资及设备。</w:t>
      </w:r>
    </w:p>
    <w:p w14:paraId="21CCE09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3.结转结余情况。</w:t>
      </w:r>
      <w:r>
        <w:rPr>
          <w:rFonts w:hint="eastAsia" w:ascii="仿宋" w:hAnsi="仿宋" w:eastAsia="仿宋" w:cs="仿宋"/>
          <w:sz w:val="32"/>
          <w:szCs w:val="32"/>
          <w:shd w:val="clear" w:color="auto" w:fill="FFFFFF"/>
          <w:lang w:eastAsia="zh-CN"/>
        </w:rPr>
        <w:t>2024年</w:t>
      </w:r>
      <w:r>
        <w:rPr>
          <w:rFonts w:hint="eastAsia" w:ascii="仿宋" w:hAnsi="仿宋" w:eastAsia="仿宋" w:cs="仿宋"/>
          <w:sz w:val="32"/>
          <w:szCs w:val="32"/>
          <w:shd w:val="clear" w:color="auto" w:fill="FFFFFF"/>
        </w:rPr>
        <w:t>度年末一般公共预算财政拨款结转和结余</w:t>
      </w:r>
      <w:r>
        <w:rPr>
          <w:rFonts w:hint="eastAsia" w:ascii="仿宋" w:hAnsi="仿宋" w:eastAsia="仿宋" w:cs="仿宋"/>
          <w:sz w:val="32"/>
          <w:szCs w:val="32"/>
        </w:rPr>
        <w:t>0.00</w:t>
      </w:r>
      <w:r>
        <w:rPr>
          <w:rFonts w:hint="eastAsia" w:ascii="仿宋" w:hAnsi="仿宋" w:eastAsia="仿宋" w:cs="仿宋"/>
          <w:sz w:val="32"/>
          <w:szCs w:val="32"/>
          <w:shd w:val="clear" w:color="auto" w:fill="FFFFFF"/>
        </w:rPr>
        <w:t>万元，与2023年度相比，无增减</w:t>
      </w:r>
      <w:r>
        <w:rPr>
          <w:rFonts w:hint="eastAsia" w:ascii="仿宋" w:hAnsi="仿宋" w:eastAsia="仿宋" w:cs="仿宋"/>
          <w:sz w:val="32"/>
          <w:szCs w:val="32"/>
          <w:shd w:val="clear" w:color="auto" w:fill="FFFFFF"/>
          <w:lang w:val="en-US" w:eastAsia="zh-CN"/>
        </w:rPr>
        <w:t>。</w:t>
      </w:r>
    </w:p>
    <w:p w14:paraId="64E6A98A">
      <w:pPr>
        <w:pStyle w:val="6"/>
        <w:snapToGrid w:val="0"/>
        <w:spacing w:before="0" w:beforeAutospacing="0" w:after="0" w:afterAutospacing="0" w:line="600" w:lineRule="exact"/>
        <w:ind w:firstLine="643" w:firstLineChars="200"/>
        <w:jc w:val="both"/>
        <w:rPr>
          <w:rFonts w:hint="eastAsia" w:ascii="仿宋" w:hAnsi="仿宋" w:eastAsia="仿宋" w:cs="仿宋"/>
          <w:color w:val="FF0000"/>
          <w:sz w:val="32"/>
          <w:szCs w:val="32"/>
          <w:highlight w:val="cyan"/>
          <w:shd w:val="clear" w:color="auto" w:fill="FFFFFF"/>
          <w:lang w:eastAsia="zh-CN"/>
        </w:rPr>
      </w:pPr>
      <w:r>
        <w:rPr>
          <w:rStyle w:val="9"/>
          <w:rFonts w:hint="eastAsia" w:ascii="楷体" w:hAnsi="楷体" w:eastAsia="楷体" w:cs="楷体"/>
          <w:sz w:val="32"/>
          <w:szCs w:val="32"/>
          <w:shd w:val="clear" w:color="auto" w:fill="FFFFFF"/>
        </w:rPr>
        <w:t xml:space="preserve"> 4.比较情况。</w:t>
      </w:r>
      <w:r>
        <w:rPr>
          <w:rFonts w:hint="eastAsia" w:ascii="仿宋" w:hAnsi="仿宋" w:eastAsia="仿宋" w:cs="仿宋"/>
          <w:sz w:val="32"/>
          <w:szCs w:val="32"/>
          <w:shd w:val="clear" w:color="auto" w:fill="FFFFFF"/>
        </w:rPr>
        <w:t>本单位</w:t>
      </w:r>
      <w:r>
        <w:rPr>
          <w:rFonts w:hint="eastAsia" w:ascii="仿宋" w:hAnsi="仿宋" w:eastAsia="仿宋" w:cs="仿宋"/>
          <w:sz w:val="32"/>
          <w:szCs w:val="32"/>
          <w:shd w:val="clear" w:color="auto" w:fill="FFFFFF"/>
          <w:lang w:eastAsia="zh-CN"/>
        </w:rPr>
        <w:t>2024年</w:t>
      </w:r>
      <w:r>
        <w:rPr>
          <w:rFonts w:hint="eastAsia" w:ascii="仿宋" w:hAnsi="仿宋" w:eastAsia="仿宋" w:cs="仿宋"/>
          <w:sz w:val="32"/>
          <w:szCs w:val="32"/>
          <w:shd w:val="clear" w:color="auto" w:fill="FFFFFF"/>
        </w:rPr>
        <w:t>度一般公共预算财政拨款支出主要用于以下几个方面</w:t>
      </w:r>
      <w:r>
        <w:rPr>
          <w:rFonts w:hint="eastAsia" w:ascii="仿宋" w:hAnsi="仿宋" w:eastAsia="仿宋" w:cs="仿宋"/>
          <w:sz w:val="32"/>
          <w:szCs w:val="32"/>
          <w:shd w:val="clear" w:color="auto" w:fill="FFFFFF"/>
          <w:lang w:eastAsia="zh-CN"/>
        </w:rPr>
        <w:t>：</w:t>
      </w:r>
    </w:p>
    <w:p w14:paraId="41119EA8">
      <w:pPr>
        <w:pStyle w:val="6"/>
        <w:snapToGrid w:val="0"/>
        <w:spacing w:before="0" w:beforeAutospacing="0" w:after="0" w:afterAutospacing="0" w:line="600" w:lineRule="exact"/>
        <w:ind w:firstLine="640" w:firstLineChars="200"/>
        <w:jc w:val="both"/>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1</w:t>
      </w:r>
      <w:r>
        <w:rPr>
          <w:rFonts w:hint="eastAsia" w:ascii="仿宋" w:hAnsi="仿宋" w:eastAsia="仿宋" w:cs="仿宋"/>
          <w:sz w:val="32"/>
          <w:szCs w:val="32"/>
          <w:shd w:val="clear" w:color="auto" w:fill="FFFFFF"/>
        </w:rPr>
        <w:t>）社会保障与就业支出</w:t>
      </w:r>
      <w:r>
        <w:rPr>
          <w:rFonts w:hint="eastAsia" w:ascii="仿宋" w:hAnsi="仿宋" w:eastAsia="仿宋" w:cs="仿宋"/>
          <w:sz w:val="32"/>
          <w:szCs w:val="32"/>
        </w:rPr>
        <w:t>8.27</w:t>
      </w:r>
      <w:r>
        <w:rPr>
          <w:rFonts w:hint="eastAsia" w:ascii="仿宋" w:hAnsi="仿宋" w:eastAsia="仿宋" w:cs="仿宋"/>
          <w:sz w:val="32"/>
          <w:szCs w:val="32"/>
          <w:shd w:val="clear" w:color="auto" w:fill="FFFFFF"/>
        </w:rPr>
        <w:t>万元，占</w:t>
      </w:r>
      <w:r>
        <w:rPr>
          <w:rFonts w:hint="eastAsia" w:ascii="仿宋" w:hAnsi="仿宋" w:eastAsia="仿宋" w:cs="仿宋"/>
          <w:sz w:val="32"/>
          <w:szCs w:val="32"/>
        </w:rPr>
        <w:t>8.07</w:t>
      </w:r>
      <w:r>
        <w:rPr>
          <w:rFonts w:hint="eastAsia" w:ascii="仿宋" w:hAnsi="仿宋" w:eastAsia="仿宋" w:cs="仿宋"/>
          <w:sz w:val="32"/>
          <w:szCs w:val="32"/>
          <w:shd w:val="clear" w:color="auto" w:fill="FFFFFF"/>
        </w:rPr>
        <w:t>%，较年初预算数增加1.55万元，增长23.1%，主要原因是</w:t>
      </w:r>
      <w:r>
        <w:rPr>
          <w:rFonts w:hint="eastAsia" w:ascii="方正仿宋_GBK" w:hAnsi="方正仿宋_GBK" w:eastAsia="方正仿宋_GBK" w:cs="方正仿宋_GBK"/>
          <w:sz w:val="32"/>
          <w:szCs w:val="32"/>
          <w:highlight w:val="none"/>
          <w:shd w:val="clear" w:color="auto" w:fill="FFFFFF"/>
          <w:lang w:eastAsia="zh-CN"/>
        </w:rPr>
        <w:t>超额绩效纳入养老保险缴费基数。</w:t>
      </w:r>
    </w:p>
    <w:p w14:paraId="43FE14A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kern w:val="0"/>
          <w:sz w:val="32"/>
          <w:szCs w:val="32"/>
          <w:shd w:val="clear" w:fill="FFFFFF"/>
          <w:lang w:eastAsia="zh-CN"/>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）卫生健康支出</w:t>
      </w:r>
      <w:r>
        <w:rPr>
          <w:rFonts w:hint="eastAsia" w:ascii="仿宋" w:hAnsi="仿宋" w:eastAsia="仿宋" w:cs="仿宋"/>
          <w:sz w:val="32"/>
          <w:szCs w:val="32"/>
        </w:rPr>
        <w:t>79.79</w:t>
      </w:r>
      <w:r>
        <w:rPr>
          <w:rFonts w:hint="eastAsia" w:ascii="仿宋" w:hAnsi="仿宋" w:eastAsia="仿宋" w:cs="仿宋"/>
          <w:sz w:val="32"/>
          <w:szCs w:val="32"/>
          <w:shd w:val="clear" w:color="auto" w:fill="FFFFFF"/>
        </w:rPr>
        <w:t>万元，占</w:t>
      </w:r>
      <w:r>
        <w:rPr>
          <w:rFonts w:hint="eastAsia" w:ascii="仿宋" w:hAnsi="仿宋" w:eastAsia="仿宋" w:cs="仿宋"/>
          <w:sz w:val="32"/>
          <w:szCs w:val="32"/>
        </w:rPr>
        <w:t>77.80</w:t>
      </w:r>
      <w:r>
        <w:rPr>
          <w:rFonts w:hint="eastAsia" w:ascii="仿宋" w:hAnsi="仿宋" w:eastAsia="仿宋" w:cs="仿宋"/>
          <w:sz w:val="32"/>
          <w:szCs w:val="32"/>
          <w:shd w:val="clear" w:color="auto" w:fill="FFFFFF"/>
        </w:rPr>
        <w:t>%，较年初预算数增加23.25万元，增长41.1%，主要原因是</w:t>
      </w:r>
      <w:r>
        <w:rPr>
          <w:rFonts w:hint="eastAsia" w:ascii="方正仿宋_GBK" w:hAnsi="方正仿宋_GBK" w:eastAsia="方正仿宋_GBK" w:cs="方正仿宋_GBK"/>
          <w:kern w:val="0"/>
          <w:sz w:val="32"/>
          <w:szCs w:val="32"/>
          <w:shd w:val="clear" w:fill="FFFFFF"/>
        </w:rPr>
        <w:t>年初预算仅预算基本支出人员经费没有预算公共卫生项目经费预算，项目经费预算由卫健委统一编报</w:t>
      </w:r>
      <w:r>
        <w:rPr>
          <w:rFonts w:hint="eastAsia" w:ascii="方正仿宋_GBK" w:hAnsi="方正仿宋_GBK" w:eastAsia="方正仿宋_GBK" w:cs="方正仿宋_GBK"/>
          <w:kern w:val="0"/>
          <w:sz w:val="32"/>
          <w:szCs w:val="32"/>
          <w:shd w:val="clear" w:fill="FFFFFF"/>
          <w:lang w:eastAsia="zh-CN"/>
        </w:rPr>
        <w:t>后</w:t>
      </w:r>
      <w:r>
        <w:rPr>
          <w:rFonts w:hint="eastAsia" w:ascii="方正仿宋_GBK" w:hAnsi="方正仿宋_GBK" w:eastAsia="方正仿宋_GBK" w:cs="方正仿宋_GBK"/>
          <w:kern w:val="0"/>
          <w:sz w:val="32"/>
          <w:szCs w:val="32"/>
          <w:shd w:val="clear" w:fill="FFFFFF"/>
        </w:rPr>
        <w:t>调剂给本单位</w:t>
      </w:r>
      <w:r>
        <w:rPr>
          <w:rFonts w:hint="eastAsia" w:ascii="方正仿宋_GBK" w:hAnsi="方正仿宋_GBK" w:eastAsia="方正仿宋_GBK" w:cs="方正仿宋_GBK"/>
          <w:kern w:val="0"/>
          <w:sz w:val="32"/>
          <w:szCs w:val="32"/>
          <w:shd w:val="clear" w:fill="FFFFFF"/>
          <w:lang w:eastAsia="zh-CN"/>
        </w:rPr>
        <w:t>。</w:t>
      </w:r>
    </w:p>
    <w:p w14:paraId="0C5E6C1D">
      <w:pPr>
        <w:pStyle w:val="6"/>
        <w:snapToGrid w:val="0"/>
        <w:spacing w:before="0" w:beforeAutospacing="0" w:after="0" w:afterAutospacing="0" w:line="600" w:lineRule="exact"/>
        <w:ind w:firstLine="640" w:firstLineChars="200"/>
        <w:jc w:val="both"/>
        <w:rPr>
          <w:rFonts w:hint="default" w:ascii="仿宋" w:hAnsi="仿宋" w:eastAsia="仿宋" w:cs="仿宋"/>
          <w:color w:val="FF0000"/>
          <w:sz w:val="32"/>
          <w:szCs w:val="32"/>
          <w:shd w:val="clear" w:color="auto" w:fill="FFFFFF"/>
          <w:lang w:val="en-US" w:eastAsia="zh-CN"/>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3</w:t>
      </w:r>
      <w:r>
        <w:rPr>
          <w:rFonts w:hint="eastAsia" w:ascii="仿宋" w:hAnsi="仿宋" w:eastAsia="仿宋" w:cs="仿宋"/>
          <w:sz w:val="32"/>
          <w:szCs w:val="32"/>
          <w:shd w:val="clear" w:color="auto" w:fill="FFFFFF"/>
        </w:rPr>
        <w:t>）农林水支出</w:t>
      </w:r>
      <w:r>
        <w:rPr>
          <w:rFonts w:hint="eastAsia" w:ascii="仿宋" w:hAnsi="仿宋" w:eastAsia="仿宋" w:cs="仿宋"/>
          <w:sz w:val="32"/>
          <w:szCs w:val="32"/>
        </w:rPr>
        <w:t>9.45</w:t>
      </w:r>
      <w:r>
        <w:rPr>
          <w:rFonts w:hint="eastAsia" w:ascii="仿宋" w:hAnsi="仿宋" w:eastAsia="仿宋" w:cs="仿宋"/>
          <w:sz w:val="32"/>
          <w:szCs w:val="32"/>
          <w:shd w:val="clear" w:color="auto" w:fill="FFFFFF"/>
        </w:rPr>
        <w:t>万元，占</w:t>
      </w:r>
      <w:r>
        <w:rPr>
          <w:rFonts w:hint="eastAsia" w:ascii="仿宋" w:hAnsi="仿宋" w:eastAsia="仿宋" w:cs="仿宋"/>
          <w:sz w:val="32"/>
          <w:szCs w:val="32"/>
        </w:rPr>
        <w:t>9.22</w:t>
      </w:r>
      <w:r>
        <w:rPr>
          <w:rFonts w:hint="eastAsia" w:ascii="仿宋" w:hAnsi="仿宋" w:eastAsia="仿宋" w:cs="仿宋"/>
          <w:sz w:val="32"/>
          <w:szCs w:val="32"/>
          <w:shd w:val="clear" w:color="auto" w:fill="FFFFFF"/>
        </w:rPr>
        <w:t>%，较年初预算数无增减</w:t>
      </w:r>
      <w:r>
        <w:rPr>
          <w:rFonts w:hint="eastAsia" w:ascii="仿宋" w:hAnsi="仿宋" w:eastAsia="仿宋" w:cs="仿宋"/>
          <w:sz w:val="32"/>
          <w:szCs w:val="32"/>
          <w:shd w:val="clear" w:color="auto" w:fill="FFFFFF"/>
          <w:lang w:val="en-US" w:eastAsia="zh-CN"/>
        </w:rPr>
        <w:t>。</w:t>
      </w:r>
    </w:p>
    <w:p w14:paraId="7A4DE8B2">
      <w:pPr>
        <w:ind w:firstLine="640" w:firstLineChars="200"/>
        <w:rPr>
          <w:rFonts w:hint="eastAsia" w:ascii="仿宋" w:hAnsi="仿宋" w:eastAsia="仿宋" w:cs="仿宋"/>
          <w:color w:val="FF0000"/>
          <w:sz w:val="32"/>
          <w:szCs w:val="32"/>
          <w:shd w:val="clear" w:color="auto" w:fill="FFFFFF"/>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4</w:t>
      </w:r>
      <w:r>
        <w:rPr>
          <w:rFonts w:hint="eastAsia" w:ascii="仿宋" w:hAnsi="仿宋" w:eastAsia="仿宋" w:cs="仿宋"/>
          <w:sz w:val="32"/>
          <w:szCs w:val="32"/>
          <w:shd w:val="clear" w:color="auto" w:fill="FFFFFF"/>
        </w:rPr>
        <w:t>）</w:t>
      </w:r>
      <w:r>
        <w:rPr>
          <w:rFonts w:hint="eastAsia" w:ascii="仿宋" w:hAnsi="仿宋" w:eastAsia="仿宋" w:cs="仿宋"/>
          <w:sz w:val="32"/>
          <w:szCs w:val="32"/>
        </w:rPr>
        <w:t>住房保障支出5.04</w:t>
      </w:r>
      <w:r>
        <w:rPr>
          <w:rFonts w:hint="eastAsia" w:ascii="仿宋" w:hAnsi="仿宋" w:eastAsia="仿宋" w:cs="仿宋"/>
          <w:sz w:val="32"/>
          <w:szCs w:val="32"/>
          <w:shd w:val="clear" w:color="auto" w:fill="FFFFFF"/>
        </w:rPr>
        <w:t>万元，占</w:t>
      </w:r>
      <w:r>
        <w:rPr>
          <w:rFonts w:hint="eastAsia" w:ascii="仿宋" w:hAnsi="仿宋" w:eastAsia="仿宋" w:cs="仿宋"/>
          <w:sz w:val="32"/>
          <w:szCs w:val="32"/>
        </w:rPr>
        <w:t>4.91</w:t>
      </w:r>
      <w:r>
        <w:rPr>
          <w:rFonts w:hint="eastAsia" w:ascii="仿宋" w:hAnsi="仿宋" w:eastAsia="仿宋" w:cs="仿宋"/>
          <w:sz w:val="32"/>
          <w:szCs w:val="32"/>
          <w:shd w:val="clear" w:color="auto" w:fill="FFFFFF"/>
        </w:rPr>
        <w:t>%，较年初预算数无增减</w:t>
      </w:r>
      <w:r>
        <w:rPr>
          <w:rFonts w:hint="eastAsia" w:ascii="仿宋" w:hAnsi="仿宋" w:eastAsia="仿宋" w:cs="仿宋"/>
          <w:sz w:val="32"/>
          <w:szCs w:val="32"/>
          <w:shd w:val="clear" w:color="auto" w:fill="FFFFFF"/>
          <w:lang w:val="en-US" w:eastAsia="zh-CN"/>
        </w:rPr>
        <w:t>。</w:t>
      </w:r>
    </w:p>
    <w:p w14:paraId="7A0368F3">
      <w:pPr>
        <w:pStyle w:val="10"/>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0981B8D">
      <w:pPr>
        <w:pStyle w:val="6"/>
        <w:snapToGrid w:val="0"/>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shd w:val="clear" w:color="auto" w:fill="FFFFFF"/>
        </w:rPr>
        <w:t> </w:t>
      </w:r>
      <w:r>
        <w:rPr>
          <w:rFonts w:hint="eastAsia" w:ascii="仿宋" w:hAnsi="仿宋" w:eastAsia="仿宋" w:cs="仿宋"/>
          <w:sz w:val="32"/>
          <w:szCs w:val="32"/>
          <w:shd w:val="clear" w:color="auto" w:fill="FFFFFF"/>
          <w:lang w:eastAsia="zh-CN"/>
        </w:rPr>
        <w:t>2024年</w:t>
      </w:r>
      <w:r>
        <w:rPr>
          <w:rFonts w:hint="eastAsia" w:ascii="仿宋" w:hAnsi="仿宋" w:eastAsia="仿宋" w:cs="仿宋"/>
          <w:sz w:val="32"/>
          <w:szCs w:val="32"/>
          <w:shd w:val="clear" w:color="auto" w:fill="FFFFFF"/>
        </w:rPr>
        <w:t>度一般公共财政拨款基本支出</w:t>
      </w:r>
      <w:r>
        <w:rPr>
          <w:rFonts w:hint="eastAsia" w:ascii="仿宋" w:hAnsi="仿宋" w:eastAsia="仿宋" w:cs="仿宋"/>
          <w:sz w:val="32"/>
          <w:szCs w:val="32"/>
        </w:rPr>
        <w:t>83.54</w:t>
      </w:r>
      <w:r>
        <w:rPr>
          <w:rFonts w:hint="eastAsia" w:ascii="仿宋" w:hAnsi="仿宋" w:eastAsia="仿宋" w:cs="仿宋"/>
          <w:sz w:val="32"/>
          <w:szCs w:val="32"/>
          <w:shd w:val="clear" w:color="auto" w:fill="FFFFFF"/>
        </w:rPr>
        <w:t>万元。其中：人员经费</w:t>
      </w:r>
      <w:r>
        <w:rPr>
          <w:rFonts w:hint="eastAsia" w:ascii="仿宋" w:hAnsi="仿宋" w:eastAsia="仿宋" w:cs="仿宋"/>
          <w:sz w:val="32"/>
          <w:szCs w:val="32"/>
        </w:rPr>
        <w:t>83.54</w:t>
      </w:r>
      <w:r>
        <w:rPr>
          <w:rFonts w:hint="eastAsia" w:ascii="仿宋" w:hAnsi="仿宋" w:eastAsia="仿宋" w:cs="仿宋"/>
          <w:sz w:val="32"/>
          <w:szCs w:val="32"/>
          <w:shd w:val="clear" w:color="auto" w:fill="FFFFFF"/>
        </w:rPr>
        <w:t>万元，与2023年度相比，增加10.57万元，增长14.5%，主要原因是</w:t>
      </w:r>
      <w:r>
        <w:rPr>
          <w:rFonts w:hint="eastAsia" w:ascii="仿宋" w:hAnsi="仿宋" w:eastAsia="仿宋" w:cs="仿宋"/>
          <w:sz w:val="32"/>
          <w:szCs w:val="32"/>
          <w:shd w:val="clear" w:color="auto" w:fill="FFFFFF"/>
          <w:lang w:val="en-US" w:eastAsia="zh-CN"/>
        </w:rPr>
        <w:t>2023年“三支一扶”经费纳入项目支出，2024年纳入基本支出。</w:t>
      </w:r>
      <w:r>
        <w:rPr>
          <w:rFonts w:hint="eastAsia" w:ascii="仿宋" w:hAnsi="仿宋" w:eastAsia="仿宋" w:cs="仿宋"/>
          <w:sz w:val="32"/>
          <w:szCs w:val="32"/>
          <w:shd w:val="clear" w:color="auto" w:fill="FFFFFF"/>
        </w:rPr>
        <w:t>人员经费用途主要包括</w:t>
      </w:r>
      <w:r>
        <w:rPr>
          <w:rFonts w:hint="eastAsia" w:ascii="仿宋" w:hAnsi="仿宋" w:eastAsia="仿宋" w:cs="仿宋"/>
          <w:sz w:val="32"/>
          <w:szCs w:val="32"/>
          <w:shd w:val="clear" w:color="auto" w:fill="FFFFFF"/>
          <w:lang w:val="en-US" w:eastAsia="zh-CN"/>
        </w:rPr>
        <w:t>人员工资、社会保险缴费、住房公积金等。</w:t>
      </w:r>
      <w:r>
        <w:rPr>
          <w:rFonts w:hint="eastAsia" w:ascii="仿宋" w:hAnsi="仿宋" w:eastAsia="仿宋" w:cs="仿宋"/>
          <w:sz w:val="32"/>
          <w:szCs w:val="32"/>
          <w:shd w:val="clear" w:color="auto" w:fill="FFFFFF"/>
        </w:rPr>
        <w:t>公用经费</w:t>
      </w:r>
      <w:r>
        <w:rPr>
          <w:rFonts w:hint="eastAsia" w:ascii="仿宋" w:hAnsi="仿宋" w:eastAsia="仿宋" w:cs="仿宋"/>
          <w:sz w:val="32"/>
          <w:szCs w:val="32"/>
        </w:rPr>
        <w:t>0.00</w:t>
      </w:r>
      <w:r>
        <w:rPr>
          <w:rFonts w:hint="eastAsia" w:ascii="仿宋" w:hAnsi="仿宋" w:eastAsia="仿宋" w:cs="仿宋"/>
          <w:sz w:val="32"/>
          <w:szCs w:val="32"/>
          <w:shd w:val="clear" w:color="auto" w:fill="FFFFFF"/>
        </w:rPr>
        <w:t>万元，与2023年度相比，无增减，主要原因是</w:t>
      </w:r>
      <w:r>
        <w:rPr>
          <w:rFonts w:hint="eastAsia" w:ascii="仿宋" w:hAnsi="仿宋" w:eastAsia="仿宋" w:cs="仿宋"/>
          <w:sz w:val="32"/>
          <w:szCs w:val="32"/>
          <w:shd w:val="clear" w:color="auto" w:fill="FFFFFF"/>
          <w:lang w:val="en-US" w:eastAsia="zh-CN"/>
        </w:rPr>
        <w:t>我单位属于差额拨款事业单位，无公用经费拨</w:t>
      </w:r>
      <w:r>
        <w:rPr>
          <w:rFonts w:hint="eastAsia" w:ascii="仿宋" w:hAnsi="仿宋" w:eastAsia="仿宋" w:cs="仿宋"/>
          <w:sz w:val="32"/>
          <w:szCs w:val="32"/>
          <w:shd w:val="clear" w:color="auto" w:fill="FFFFFF"/>
          <w:lang w:val="en-US" w:eastAsia="zh-CN"/>
        </w:rPr>
        <w:t>款。</w:t>
      </w:r>
    </w:p>
    <w:p w14:paraId="4B9F9EF2">
      <w:pPr>
        <w:pStyle w:val="10"/>
        <w:numPr>
          <w:ilvl w:val="0"/>
          <w:numId w:val="3"/>
        </w:numP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政府性基金预算收支决算情况说明</w:t>
      </w:r>
    </w:p>
    <w:p w14:paraId="19F37496">
      <w:pPr>
        <w:pStyle w:val="10"/>
        <w:numPr>
          <w:ilvl w:val="0"/>
          <w:numId w:val="0"/>
        </w:numPr>
        <w:autoSpaceDE w:val="0"/>
        <w:ind w:firstLine="640" w:firstLineChars="200"/>
        <w:rPr>
          <w:rFonts w:hint="default" w:ascii="楷体" w:hAnsi="楷体" w:eastAsia="楷体" w:cs="楷体"/>
          <w:b/>
          <w:bCs/>
          <w:sz w:val="32"/>
          <w:szCs w:val="32"/>
          <w:shd w:val="clear" w:color="auto" w:fill="FFFFFF"/>
          <w:lang w:val="en-US" w:eastAsia="zh-CN"/>
        </w:rPr>
      </w:pPr>
      <w:r>
        <w:rPr>
          <w:rFonts w:hint="eastAsia" w:ascii="仿宋" w:hAnsi="仿宋" w:eastAsia="仿宋" w:cs="仿宋"/>
          <w:b w:val="0"/>
          <w:bCs w:val="0"/>
          <w:sz w:val="32"/>
          <w:szCs w:val="32"/>
          <w:shd w:val="clear" w:color="auto" w:fill="FFFFFF"/>
          <w:lang w:val="en-US" w:eastAsia="zh-CN"/>
        </w:rPr>
        <w:t>本单位2024年度无政府性基金预算财政拨款收支。</w:t>
      </w:r>
    </w:p>
    <w:p w14:paraId="3A89707A">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0BBE3A9">
      <w:pPr>
        <w:pStyle w:val="10"/>
        <w:numPr>
          <w:ilvl w:val="0"/>
          <w:numId w:val="0"/>
        </w:numPr>
        <w:autoSpaceDE w:val="0"/>
        <w:ind w:firstLine="640" w:firstLineChars="200"/>
        <w:rPr>
          <w:rFonts w:hint="eastAsia" w:ascii="仿宋" w:hAnsi="仿宋" w:eastAsia="仿宋" w:cs="仿宋"/>
          <w:sz w:val="32"/>
          <w:szCs w:val="32"/>
        </w:rPr>
      </w:pPr>
      <w:r>
        <w:rPr>
          <w:rFonts w:hint="eastAsia" w:ascii="仿宋" w:hAnsi="仿宋" w:eastAsia="仿宋" w:cs="仿宋"/>
          <w:b w:val="0"/>
          <w:bCs w:val="0"/>
          <w:sz w:val="32"/>
          <w:szCs w:val="32"/>
          <w:shd w:val="clear" w:color="auto" w:fill="FFFFFF"/>
          <w:lang w:val="en-US" w:eastAsia="zh-CN"/>
        </w:rPr>
        <w:t>本单位2024年度无国有资本经营预算财政拨款收支。</w:t>
      </w:r>
    </w:p>
    <w:p w14:paraId="32FE5B9B">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left="0" w:leftChars="0" w:firstLine="643" w:firstLineChars="200"/>
        <w:textAlignment w:val="auto"/>
        <w:rPr>
          <w:rStyle w:val="9"/>
          <w:rFonts w:hint="eastAsia" w:ascii="楷体" w:hAnsi="楷体" w:eastAsia="楷体" w:cs="楷体"/>
          <w:sz w:val="32"/>
          <w:szCs w:val="32"/>
          <w:shd w:val="clear" w:color="auto" w:fill="FFFFFF"/>
        </w:rPr>
      </w:pPr>
      <w:r>
        <w:rPr>
          <w:rStyle w:val="9"/>
          <w:rFonts w:hint="eastAsia" w:ascii="楷体" w:hAnsi="楷体" w:eastAsia="楷体" w:cs="楷体"/>
          <w:sz w:val="32"/>
          <w:szCs w:val="32"/>
          <w:shd w:val="clear" w:color="auto" w:fill="FFFFFF"/>
          <w:lang w:eastAsia="zh-CN"/>
        </w:rPr>
        <w:t>财政拨款</w:t>
      </w:r>
      <w:r>
        <w:rPr>
          <w:rStyle w:val="9"/>
          <w:rFonts w:hint="eastAsia" w:ascii="楷体" w:hAnsi="楷体" w:eastAsia="楷体" w:cs="楷体"/>
          <w:sz w:val="32"/>
          <w:szCs w:val="32"/>
          <w:shd w:val="clear" w:color="auto" w:fill="FFFFFF"/>
        </w:rPr>
        <w:t>“三公”经费情况说明</w:t>
      </w:r>
    </w:p>
    <w:p w14:paraId="3BE91E58">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63C6983">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leftChars="200"/>
        <w:textAlignment w:val="auto"/>
        <w:rPr>
          <w:rFonts w:hint="default" w:ascii="方正仿宋_GBK" w:hAnsi="方正仿宋_GBK" w:eastAsia="方正仿宋_GBK" w:cs="方正仿宋_GBK"/>
          <w:sz w:val="32"/>
          <w:szCs w:val="32"/>
        </w:rPr>
      </w:pPr>
      <w:r>
        <w:rPr>
          <w:rStyle w:val="9"/>
          <w:rFonts w:hint="eastAsia" w:ascii="仿宋" w:hAnsi="仿宋" w:eastAsia="仿宋" w:cs="仿宋"/>
          <w:b w:val="0"/>
          <w:bCs/>
          <w:sz w:val="32"/>
          <w:szCs w:val="32"/>
          <w:shd w:val="clear" w:color="auto" w:fill="FFFFFF"/>
          <w:lang w:val="en-US" w:eastAsia="zh-CN"/>
        </w:rPr>
        <w:t>我单位属于差额拨款，财政未保障我单位“三公”经费。</w:t>
      </w:r>
    </w:p>
    <w:p w14:paraId="55BAAD8D">
      <w:pPr>
        <w:pStyle w:val="10"/>
        <w:numPr>
          <w:ilvl w:val="0"/>
          <w:numId w:val="2"/>
        </w:numPr>
        <w:autoSpaceDE w:val="0"/>
        <w:ind w:left="0" w:leftChars="0"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“三公”经费分项支出情况</w:t>
      </w:r>
    </w:p>
    <w:p w14:paraId="6332F63F">
      <w:pPr>
        <w:pStyle w:val="10"/>
        <w:numPr>
          <w:ilvl w:val="0"/>
          <w:numId w:val="0"/>
        </w:numPr>
        <w:autoSpaceDE w:val="0"/>
        <w:ind w:leftChars="200" w:firstLine="640" w:firstLineChars="200"/>
        <w:rPr>
          <w:rFonts w:hint="eastAsia" w:ascii="仿宋" w:hAnsi="仿宋" w:eastAsia="仿宋" w:cs="仿宋"/>
          <w:b w:val="0"/>
          <w:bCs w:val="0"/>
          <w:sz w:val="32"/>
          <w:szCs w:val="32"/>
          <w:shd w:val="clear" w:color="auto" w:fill="FFFFFF"/>
          <w:lang w:val="en-US" w:eastAsia="zh-CN"/>
        </w:rPr>
      </w:pPr>
      <w:r>
        <w:rPr>
          <w:rFonts w:hint="eastAsia" w:ascii="仿宋" w:hAnsi="仿宋" w:eastAsia="仿宋" w:cs="仿宋"/>
          <w:b w:val="0"/>
          <w:bCs w:val="0"/>
          <w:sz w:val="32"/>
          <w:szCs w:val="32"/>
          <w:shd w:val="clear" w:color="auto" w:fill="FFFFFF"/>
          <w:lang w:val="en-US" w:eastAsia="zh-CN"/>
        </w:rPr>
        <w:t>2024年度本单位无因公出国（境）费用。</w:t>
      </w:r>
    </w:p>
    <w:p w14:paraId="0ED56311">
      <w:pPr>
        <w:pStyle w:val="10"/>
        <w:numPr>
          <w:ilvl w:val="0"/>
          <w:numId w:val="0"/>
        </w:numPr>
        <w:autoSpaceDE w:val="0"/>
        <w:ind w:leftChars="200" w:firstLine="640" w:firstLineChars="200"/>
        <w:rPr>
          <w:rFonts w:hint="eastAsia" w:ascii="仿宋" w:hAnsi="仿宋" w:eastAsia="仿宋" w:cs="仿宋"/>
          <w:b w:val="0"/>
          <w:bCs w:val="0"/>
          <w:sz w:val="32"/>
          <w:szCs w:val="32"/>
          <w:shd w:val="clear" w:color="auto" w:fill="FFFFFF"/>
          <w:lang w:val="en-US" w:eastAsia="zh-CN"/>
        </w:rPr>
      </w:pPr>
      <w:r>
        <w:rPr>
          <w:rFonts w:hint="eastAsia" w:ascii="仿宋" w:hAnsi="仿宋" w:eastAsia="仿宋" w:cs="仿宋"/>
          <w:b w:val="0"/>
          <w:bCs w:val="0"/>
          <w:sz w:val="32"/>
          <w:szCs w:val="32"/>
          <w:shd w:val="clear" w:color="auto" w:fill="FFFFFF"/>
          <w:lang w:val="en-US" w:eastAsia="zh-CN"/>
        </w:rPr>
        <w:t>2024年度本单位无公务车购置费。</w:t>
      </w:r>
    </w:p>
    <w:p w14:paraId="5D05D4E1">
      <w:pPr>
        <w:pStyle w:val="10"/>
        <w:numPr>
          <w:ilvl w:val="0"/>
          <w:numId w:val="0"/>
        </w:numPr>
        <w:autoSpaceDE w:val="0"/>
        <w:ind w:leftChars="200" w:firstLine="640" w:firstLineChars="200"/>
        <w:rPr>
          <w:rFonts w:hint="eastAsia" w:ascii="仿宋" w:hAnsi="仿宋" w:eastAsia="仿宋" w:cs="仿宋"/>
          <w:b w:val="0"/>
          <w:bCs w:val="0"/>
          <w:sz w:val="32"/>
          <w:szCs w:val="32"/>
          <w:shd w:val="clear" w:color="auto" w:fill="FFFFFF"/>
          <w:lang w:val="en-US" w:eastAsia="zh-CN"/>
        </w:rPr>
      </w:pPr>
      <w:r>
        <w:rPr>
          <w:rFonts w:hint="eastAsia" w:ascii="仿宋" w:hAnsi="仿宋" w:eastAsia="仿宋" w:cs="仿宋"/>
          <w:b w:val="0"/>
          <w:bCs w:val="0"/>
          <w:sz w:val="32"/>
          <w:szCs w:val="32"/>
          <w:shd w:val="clear" w:color="auto" w:fill="FFFFFF"/>
          <w:lang w:val="en-US" w:eastAsia="zh-CN"/>
        </w:rPr>
        <w:t>2024年度本单位无公务车运行维护费。</w:t>
      </w:r>
    </w:p>
    <w:p w14:paraId="71200434">
      <w:pPr>
        <w:pStyle w:val="10"/>
        <w:numPr>
          <w:ilvl w:val="0"/>
          <w:numId w:val="0"/>
        </w:numPr>
        <w:autoSpaceDE w:val="0"/>
        <w:ind w:leftChars="200" w:firstLine="640" w:firstLineChars="200"/>
        <w:rPr>
          <w:rFonts w:hint="default" w:ascii="仿宋" w:hAnsi="仿宋" w:eastAsia="仿宋" w:cs="仿宋"/>
          <w:b w:val="0"/>
          <w:bCs w:val="0"/>
          <w:sz w:val="32"/>
          <w:szCs w:val="32"/>
          <w:shd w:val="clear" w:color="auto" w:fill="FFFFFF"/>
          <w:lang w:val="en-US" w:eastAsia="zh-CN"/>
        </w:rPr>
      </w:pPr>
      <w:r>
        <w:rPr>
          <w:rFonts w:hint="eastAsia" w:ascii="仿宋" w:hAnsi="仿宋" w:eastAsia="仿宋" w:cs="仿宋"/>
          <w:b w:val="0"/>
          <w:bCs w:val="0"/>
          <w:sz w:val="32"/>
          <w:szCs w:val="32"/>
          <w:shd w:val="clear" w:color="auto" w:fill="FFFFFF"/>
          <w:lang w:val="en-US" w:eastAsia="zh-CN"/>
        </w:rPr>
        <w:t>2024年度本单位无公务接待费。</w:t>
      </w:r>
    </w:p>
    <w:p w14:paraId="7118BA4E">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B48E544">
      <w:pPr>
        <w:pStyle w:val="6"/>
        <w:snapToGrid w:val="0"/>
        <w:spacing w:before="0" w:beforeAutospacing="0" w:after="0" w:afterAutospacing="0" w:line="600" w:lineRule="exact"/>
        <w:ind w:firstLine="640" w:firstLineChars="200"/>
        <w:jc w:val="both"/>
        <w:rPr>
          <w:rFonts w:hint="eastAsia" w:ascii="仿宋" w:hAnsi="仿宋" w:eastAsia="仿宋" w:cs="仿宋"/>
          <w:sz w:val="32"/>
          <w:szCs w:val="32"/>
        </w:rPr>
      </w:pPr>
      <w:r>
        <w:rPr>
          <w:rFonts w:ascii="方正仿宋_GBK" w:hAnsi="方正仿宋_GBK" w:eastAsia="方正仿宋_GBK" w:cs="方正仿宋_GBK"/>
          <w:sz w:val="32"/>
          <w:szCs w:val="32"/>
          <w:shd w:val="clear" w:color="auto" w:fill="FFFFFF"/>
        </w:rPr>
        <w:t xml:space="preserve">  </w:t>
      </w:r>
      <w:r>
        <w:rPr>
          <w:rFonts w:hint="eastAsia" w:ascii="仿宋" w:hAnsi="仿宋" w:eastAsia="仿宋" w:cs="仿宋"/>
          <w:sz w:val="32"/>
          <w:szCs w:val="32"/>
          <w:shd w:val="clear" w:color="auto" w:fill="FFFFFF"/>
          <w:lang w:eastAsia="zh-CN"/>
        </w:rPr>
        <w:t>2024年</w:t>
      </w:r>
      <w:r>
        <w:rPr>
          <w:rFonts w:hint="eastAsia" w:ascii="仿宋" w:hAnsi="仿宋" w:eastAsia="仿宋" w:cs="仿宋"/>
          <w:sz w:val="32"/>
          <w:szCs w:val="32"/>
          <w:shd w:val="clear" w:color="auto" w:fill="FFFFFF"/>
        </w:rPr>
        <w:t>度本单位因公出国（境）共计</w:t>
      </w:r>
      <w:r>
        <w:rPr>
          <w:rFonts w:hint="eastAsia" w:ascii="仿宋" w:hAnsi="仿宋" w:eastAsia="仿宋" w:cs="仿宋"/>
          <w:sz w:val="32"/>
          <w:szCs w:val="32"/>
        </w:rPr>
        <w:t>0</w:t>
      </w:r>
      <w:r>
        <w:rPr>
          <w:rFonts w:hint="eastAsia" w:ascii="仿宋" w:hAnsi="仿宋" w:eastAsia="仿宋" w:cs="仿宋"/>
          <w:sz w:val="32"/>
          <w:szCs w:val="32"/>
          <w:shd w:val="clear" w:color="auto" w:fill="FFFFFF"/>
        </w:rPr>
        <w:t>个团组，</w:t>
      </w:r>
      <w:r>
        <w:rPr>
          <w:rFonts w:hint="eastAsia" w:ascii="仿宋" w:hAnsi="仿宋" w:eastAsia="仿宋" w:cs="仿宋"/>
          <w:sz w:val="32"/>
          <w:szCs w:val="32"/>
        </w:rPr>
        <w:t>0</w:t>
      </w:r>
      <w:r>
        <w:rPr>
          <w:rFonts w:hint="eastAsia" w:ascii="仿宋" w:hAnsi="仿宋" w:eastAsia="仿宋" w:cs="仿宋"/>
          <w:sz w:val="32"/>
          <w:szCs w:val="32"/>
          <w:shd w:val="clear" w:color="auto" w:fill="FFFFFF"/>
        </w:rPr>
        <w:t>人；公务用车购置</w:t>
      </w:r>
      <w:r>
        <w:rPr>
          <w:rFonts w:hint="eastAsia" w:ascii="仿宋" w:hAnsi="仿宋" w:eastAsia="仿宋" w:cs="仿宋"/>
          <w:sz w:val="32"/>
          <w:szCs w:val="32"/>
        </w:rPr>
        <w:t>0</w:t>
      </w:r>
      <w:r>
        <w:rPr>
          <w:rFonts w:hint="eastAsia" w:ascii="仿宋" w:hAnsi="仿宋" w:eastAsia="仿宋" w:cs="仿宋"/>
          <w:sz w:val="32"/>
          <w:szCs w:val="32"/>
          <w:shd w:val="clear" w:color="auto" w:fill="FFFFFF"/>
        </w:rPr>
        <w:t>辆，公务车保有量为</w:t>
      </w:r>
      <w:r>
        <w:rPr>
          <w:rFonts w:hint="eastAsia" w:ascii="仿宋" w:hAnsi="仿宋" w:eastAsia="仿宋" w:cs="仿宋"/>
          <w:sz w:val="32"/>
          <w:szCs w:val="32"/>
        </w:rPr>
        <w:t>0</w:t>
      </w:r>
      <w:r>
        <w:rPr>
          <w:rFonts w:hint="eastAsia" w:ascii="仿宋" w:hAnsi="仿宋" w:eastAsia="仿宋" w:cs="仿宋"/>
          <w:sz w:val="32"/>
          <w:szCs w:val="32"/>
          <w:shd w:val="clear" w:color="auto" w:fill="FFFFFF"/>
        </w:rPr>
        <w:t>辆；国内公务接待</w:t>
      </w:r>
      <w:r>
        <w:rPr>
          <w:rFonts w:hint="eastAsia" w:ascii="仿宋" w:hAnsi="仿宋" w:eastAsia="仿宋" w:cs="仿宋"/>
          <w:sz w:val="32"/>
          <w:szCs w:val="32"/>
        </w:rPr>
        <w:t>0</w:t>
      </w:r>
      <w:r>
        <w:rPr>
          <w:rFonts w:hint="eastAsia" w:ascii="仿宋" w:hAnsi="仿宋" w:eastAsia="仿宋" w:cs="仿宋"/>
          <w:sz w:val="32"/>
          <w:szCs w:val="32"/>
          <w:shd w:val="clear" w:color="auto" w:fill="FFFFFF"/>
        </w:rPr>
        <w:t>批次</w:t>
      </w:r>
      <w:r>
        <w:rPr>
          <w:rFonts w:hint="eastAsia" w:ascii="仿宋" w:hAnsi="仿宋" w:eastAsia="仿宋" w:cs="仿宋"/>
          <w:sz w:val="32"/>
          <w:szCs w:val="32"/>
        </w:rPr>
        <w:t>0</w:t>
      </w:r>
      <w:r>
        <w:rPr>
          <w:rFonts w:hint="eastAsia" w:ascii="仿宋" w:hAnsi="仿宋" w:eastAsia="仿宋" w:cs="仿宋"/>
          <w:sz w:val="32"/>
          <w:szCs w:val="32"/>
          <w:shd w:val="clear" w:color="auto" w:fill="FFFFFF"/>
        </w:rPr>
        <w:t>人，其中：国内外事接待</w:t>
      </w:r>
      <w:r>
        <w:rPr>
          <w:rFonts w:hint="eastAsia" w:ascii="仿宋" w:hAnsi="仿宋" w:eastAsia="仿宋" w:cs="仿宋"/>
          <w:sz w:val="32"/>
          <w:szCs w:val="32"/>
        </w:rPr>
        <w:t>0</w:t>
      </w:r>
      <w:r>
        <w:rPr>
          <w:rFonts w:hint="eastAsia" w:ascii="仿宋" w:hAnsi="仿宋" w:eastAsia="仿宋" w:cs="仿宋"/>
          <w:sz w:val="32"/>
          <w:szCs w:val="32"/>
          <w:shd w:val="clear" w:color="auto" w:fill="FFFFFF"/>
        </w:rPr>
        <w:t>批次，</w:t>
      </w:r>
      <w:r>
        <w:rPr>
          <w:rFonts w:hint="eastAsia" w:ascii="仿宋" w:hAnsi="仿宋" w:eastAsia="仿宋" w:cs="仿宋"/>
          <w:sz w:val="32"/>
          <w:szCs w:val="32"/>
        </w:rPr>
        <w:t>0</w:t>
      </w:r>
      <w:r>
        <w:rPr>
          <w:rFonts w:hint="eastAsia" w:ascii="仿宋" w:hAnsi="仿宋" w:eastAsia="仿宋" w:cs="仿宋"/>
          <w:sz w:val="32"/>
          <w:szCs w:val="32"/>
          <w:shd w:val="clear" w:color="auto" w:fill="FFFFFF"/>
        </w:rPr>
        <w:t>人；国（境）外公务接待</w:t>
      </w:r>
      <w:r>
        <w:rPr>
          <w:rFonts w:hint="eastAsia" w:ascii="仿宋" w:hAnsi="仿宋" w:eastAsia="仿宋" w:cs="仿宋"/>
          <w:sz w:val="32"/>
          <w:szCs w:val="32"/>
        </w:rPr>
        <w:t>0</w:t>
      </w:r>
      <w:r>
        <w:rPr>
          <w:rFonts w:hint="eastAsia" w:ascii="仿宋" w:hAnsi="仿宋" w:eastAsia="仿宋" w:cs="仿宋"/>
          <w:sz w:val="32"/>
          <w:szCs w:val="32"/>
          <w:shd w:val="clear" w:color="auto" w:fill="FFFFFF"/>
        </w:rPr>
        <w:t>批次，</w:t>
      </w:r>
      <w:r>
        <w:rPr>
          <w:rFonts w:hint="eastAsia" w:ascii="仿宋" w:hAnsi="仿宋" w:eastAsia="仿宋" w:cs="仿宋"/>
          <w:sz w:val="32"/>
          <w:szCs w:val="32"/>
        </w:rPr>
        <w:t>0</w:t>
      </w:r>
      <w:r>
        <w:rPr>
          <w:rFonts w:hint="eastAsia" w:ascii="仿宋" w:hAnsi="仿宋" w:eastAsia="仿宋" w:cs="仿宋"/>
          <w:sz w:val="32"/>
          <w:szCs w:val="32"/>
          <w:shd w:val="clear" w:color="auto" w:fill="FFFFFF"/>
        </w:rPr>
        <w:t>人。</w:t>
      </w:r>
      <w:r>
        <w:rPr>
          <w:rFonts w:hint="eastAsia" w:ascii="仿宋" w:hAnsi="仿宋" w:eastAsia="仿宋" w:cs="仿宋"/>
          <w:sz w:val="32"/>
          <w:szCs w:val="32"/>
          <w:shd w:val="clear" w:color="auto" w:fill="FFFFFF"/>
          <w:lang w:eastAsia="zh-CN"/>
        </w:rPr>
        <w:t>2024年</w:t>
      </w:r>
      <w:r>
        <w:rPr>
          <w:rFonts w:hint="eastAsia" w:ascii="仿宋" w:hAnsi="仿宋" w:eastAsia="仿宋" w:cs="仿宋"/>
          <w:sz w:val="32"/>
          <w:szCs w:val="32"/>
          <w:shd w:val="clear" w:color="auto" w:fill="FFFFFF"/>
        </w:rPr>
        <w:t>本单位人均接待费</w:t>
      </w:r>
      <w:r>
        <w:rPr>
          <w:rFonts w:hint="eastAsia" w:ascii="仿宋" w:hAnsi="仿宋" w:eastAsia="仿宋" w:cs="仿宋"/>
          <w:sz w:val="32"/>
          <w:szCs w:val="32"/>
        </w:rPr>
        <w:t>0</w:t>
      </w:r>
      <w:r>
        <w:rPr>
          <w:rFonts w:hint="eastAsia" w:ascii="仿宋" w:hAnsi="仿宋" w:eastAsia="仿宋" w:cs="仿宋"/>
          <w:sz w:val="32"/>
          <w:szCs w:val="32"/>
          <w:shd w:val="clear" w:color="auto" w:fill="FFFFFF"/>
        </w:rPr>
        <w:t>元，车均购置费</w:t>
      </w:r>
      <w:r>
        <w:rPr>
          <w:rFonts w:hint="eastAsia" w:ascii="仿宋" w:hAnsi="仿宋" w:eastAsia="仿宋" w:cs="仿宋"/>
          <w:sz w:val="32"/>
          <w:szCs w:val="32"/>
        </w:rPr>
        <w:t>0</w:t>
      </w:r>
      <w:r>
        <w:rPr>
          <w:rFonts w:hint="eastAsia" w:ascii="仿宋" w:hAnsi="仿宋" w:eastAsia="仿宋" w:cs="仿宋"/>
          <w:sz w:val="32"/>
          <w:szCs w:val="32"/>
          <w:shd w:val="clear" w:color="auto" w:fill="FFFFFF"/>
        </w:rPr>
        <w:t>万元，车均维护费</w:t>
      </w:r>
      <w:r>
        <w:rPr>
          <w:rFonts w:hint="eastAsia" w:ascii="仿宋" w:hAnsi="仿宋" w:eastAsia="仿宋" w:cs="仿宋"/>
          <w:sz w:val="32"/>
          <w:szCs w:val="32"/>
        </w:rPr>
        <w:t>0</w:t>
      </w:r>
      <w:r>
        <w:rPr>
          <w:rFonts w:hint="eastAsia" w:ascii="仿宋" w:hAnsi="仿宋" w:eastAsia="仿宋" w:cs="仿宋"/>
          <w:sz w:val="32"/>
          <w:szCs w:val="32"/>
          <w:shd w:val="clear" w:color="auto" w:fill="FFFFFF"/>
        </w:rPr>
        <w:t>万元。</w:t>
      </w:r>
    </w:p>
    <w:p w14:paraId="31D7524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14:paraId="294CC696">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72A5C8A6">
      <w:pPr>
        <w:pStyle w:val="6"/>
        <w:snapToGrid w:val="0"/>
        <w:spacing w:before="0" w:beforeAutospacing="0" w:after="0" w:afterAutospacing="0" w:line="60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我单位属于差额拨款事业单位，财政未保障我单位会议费和培训费。</w:t>
      </w:r>
    </w:p>
    <w:p w14:paraId="7C11093E">
      <w:pPr>
        <w:pStyle w:val="10"/>
        <w:numPr>
          <w:ilvl w:val="0"/>
          <w:numId w:val="0"/>
        </w:numPr>
        <w:autoSpaceDE w:val="0"/>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lang w:val="en-US" w:eastAsia="zh-CN"/>
        </w:rPr>
        <w:t>二）</w:t>
      </w:r>
      <w:r>
        <w:rPr>
          <w:rFonts w:hint="eastAsia" w:ascii="楷体" w:hAnsi="楷体" w:eastAsia="楷体" w:cs="楷体"/>
          <w:b/>
          <w:bCs/>
          <w:sz w:val="32"/>
          <w:szCs w:val="32"/>
          <w:shd w:val="clear" w:color="auto" w:fill="FFFFFF"/>
        </w:rPr>
        <w:t>机关运行经费情况说明</w:t>
      </w:r>
    </w:p>
    <w:p w14:paraId="6CF4AE81">
      <w:pPr>
        <w:pStyle w:val="11"/>
        <w:autoSpaceDE w:val="0"/>
        <w:spacing w:before="0" w:beforeAutospacing="0" w:after="0" w:afterAutospacing="0" w:line="600" w:lineRule="exact"/>
        <w:ind w:firstLine="640" w:firstLineChars="200"/>
        <w:jc w:val="both"/>
        <w:rPr>
          <w:rFonts w:cs="宋体"/>
          <w:color w:val="auto"/>
          <w:sz w:val="32"/>
          <w:szCs w:val="32"/>
          <w:highlight w:val="none"/>
        </w:rPr>
      </w:pPr>
      <w:r>
        <w:rPr>
          <w:rFonts w:hint="eastAsia" w:ascii="方正仿宋_GBK" w:hAnsi="方正仿宋_GBK" w:eastAsia="方正仿宋_GBK" w:cs="方正仿宋_GBK"/>
          <w:kern w:val="2"/>
          <w:sz w:val="32"/>
          <w:szCs w:val="32"/>
        </w:rPr>
        <w:t>按照部门决算列报口径，我单位不在机关运行经费统计范围之内。</w:t>
      </w:r>
    </w:p>
    <w:p w14:paraId="3EE6A34D">
      <w:pPr>
        <w:pStyle w:val="10"/>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8EEE1F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eastAsia" w:ascii="仿宋" w:hAnsi="仿宋" w:eastAsia="仿宋" w:cs="仿宋"/>
          <w:sz w:val="32"/>
          <w:szCs w:val="32"/>
          <w:shd w:val="clear" w:color="auto" w:fill="FFFFFF"/>
        </w:rPr>
        <w:t>截至</w:t>
      </w:r>
      <w:r>
        <w:rPr>
          <w:rFonts w:hint="eastAsia" w:ascii="仿宋" w:hAnsi="仿宋" w:eastAsia="仿宋" w:cs="仿宋"/>
          <w:sz w:val="32"/>
          <w:szCs w:val="32"/>
          <w:shd w:val="clear" w:color="auto" w:fill="FFFFFF"/>
          <w:lang w:eastAsia="zh-CN"/>
        </w:rPr>
        <w:t>2024年</w:t>
      </w:r>
      <w:r>
        <w:rPr>
          <w:rFonts w:hint="eastAsia" w:ascii="仿宋" w:hAnsi="仿宋" w:eastAsia="仿宋" w:cs="仿宋"/>
          <w:sz w:val="32"/>
          <w:szCs w:val="32"/>
          <w:shd w:val="clear" w:color="auto" w:fill="FFFFFF"/>
        </w:rPr>
        <w:t>12月31日，本单位共有车辆</w:t>
      </w:r>
      <w:r>
        <w:rPr>
          <w:rFonts w:hint="eastAsia" w:ascii="仿宋" w:hAnsi="仿宋" w:eastAsia="仿宋" w:cs="仿宋"/>
          <w:sz w:val="32"/>
          <w:szCs w:val="32"/>
        </w:rPr>
        <w:t>1</w:t>
      </w:r>
      <w:r>
        <w:rPr>
          <w:rFonts w:hint="eastAsia" w:ascii="仿宋" w:hAnsi="仿宋" w:eastAsia="仿宋" w:cs="仿宋"/>
          <w:sz w:val="32"/>
          <w:szCs w:val="32"/>
          <w:shd w:val="clear" w:color="auto" w:fill="FFFFFF"/>
        </w:rPr>
        <w:t>辆，其中，副部（省）级及以上领导用车</w:t>
      </w:r>
      <w:r>
        <w:rPr>
          <w:rFonts w:hint="eastAsia" w:ascii="仿宋" w:hAnsi="仿宋" w:eastAsia="仿宋" w:cs="仿宋"/>
          <w:sz w:val="32"/>
          <w:szCs w:val="32"/>
        </w:rPr>
        <w:t>0</w:t>
      </w:r>
      <w:r>
        <w:rPr>
          <w:rFonts w:hint="eastAsia" w:ascii="仿宋" w:hAnsi="仿宋" w:eastAsia="仿宋" w:cs="仿宋"/>
          <w:sz w:val="32"/>
          <w:szCs w:val="32"/>
          <w:shd w:val="clear" w:color="auto" w:fill="FFFFFF"/>
        </w:rPr>
        <w:t>辆、主要负责人用车</w:t>
      </w:r>
      <w:r>
        <w:rPr>
          <w:rFonts w:hint="eastAsia" w:ascii="仿宋" w:hAnsi="仿宋" w:eastAsia="仿宋" w:cs="仿宋"/>
          <w:sz w:val="32"/>
          <w:szCs w:val="32"/>
        </w:rPr>
        <w:t>0</w:t>
      </w:r>
      <w:r>
        <w:rPr>
          <w:rFonts w:hint="eastAsia" w:ascii="仿宋" w:hAnsi="仿宋" w:eastAsia="仿宋" w:cs="仿宋"/>
          <w:sz w:val="32"/>
          <w:szCs w:val="32"/>
          <w:shd w:val="clear" w:color="auto" w:fill="FFFFFF"/>
        </w:rPr>
        <w:t>辆、机要通信用车</w:t>
      </w:r>
      <w:r>
        <w:rPr>
          <w:rFonts w:hint="eastAsia" w:ascii="仿宋" w:hAnsi="仿宋" w:eastAsia="仿宋" w:cs="仿宋"/>
          <w:sz w:val="32"/>
          <w:szCs w:val="32"/>
        </w:rPr>
        <w:t>0</w:t>
      </w:r>
      <w:r>
        <w:rPr>
          <w:rFonts w:hint="eastAsia" w:ascii="仿宋" w:hAnsi="仿宋" w:eastAsia="仿宋" w:cs="仿宋"/>
          <w:sz w:val="32"/>
          <w:szCs w:val="32"/>
          <w:shd w:val="clear" w:color="auto" w:fill="FFFFFF"/>
        </w:rPr>
        <w:t>辆、应急保障用车</w:t>
      </w:r>
      <w:r>
        <w:rPr>
          <w:rFonts w:hint="eastAsia" w:ascii="仿宋" w:hAnsi="仿宋" w:eastAsia="仿宋" w:cs="仿宋"/>
          <w:sz w:val="32"/>
          <w:szCs w:val="32"/>
        </w:rPr>
        <w:t>1</w:t>
      </w:r>
      <w:r>
        <w:rPr>
          <w:rFonts w:hint="eastAsia" w:ascii="仿宋" w:hAnsi="仿宋" w:eastAsia="仿宋" w:cs="仿宋"/>
          <w:sz w:val="32"/>
          <w:szCs w:val="32"/>
          <w:shd w:val="clear" w:color="auto" w:fill="FFFFFF"/>
        </w:rPr>
        <w:t>辆、执法执勤用车</w:t>
      </w:r>
      <w:r>
        <w:rPr>
          <w:rFonts w:hint="eastAsia" w:ascii="仿宋" w:hAnsi="仿宋" w:eastAsia="仿宋" w:cs="仿宋"/>
          <w:sz w:val="32"/>
          <w:szCs w:val="32"/>
        </w:rPr>
        <w:t>0</w:t>
      </w:r>
      <w:r>
        <w:rPr>
          <w:rFonts w:hint="eastAsia" w:ascii="仿宋" w:hAnsi="仿宋" w:eastAsia="仿宋" w:cs="仿宋"/>
          <w:sz w:val="32"/>
          <w:szCs w:val="32"/>
          <w:shd w:val="clear" w:color="auto" w:fill="FFFFFF"/>
        </w:rPr>
        <w:t>辆，特种专业技术用车</w:t>
      </w:r>
      <w:r>
        <w:rPr>
          <w:rFonts w:hint="eastAsia" w:ascii="仿宋" w:hAnsi="仿宋" w:eastAsia="仿宋" w:cs="仿宋"/>
          <w:sz w:val="32"/>
          <w:szCs w:val="32"/>
        </w:rPr>
        <w:t>0</w:t>
      </w:r>
      <w:r>
        <w:rPr>
          <w:rFonts w:hint="eastAsia" w:ascii="仿宋" w:hAnsi="仿宋" w:eastAsia="仿宋" w:cs="仿宋"/>
          <w:sz w:val="32"/>
          <w:szCs w:val="32"/>
          <w:shd w:val="clear" w:color="auto" w:fill="FFFFFF"/>
        </w:rPr>
        <w:t>辆，离退休干部用车</w:t>
      </w:r>
      <w:r>
        <w:rPr>
          <w:rFonts w:hint="eastAsia" w:ascii="仿宋" w:hAnsi="仿宋" w:eastAsia="仿宋" w:cs="仿宋"/>
          <w:sz w:val="32"/>
          <w:szCs w:val="32"/>
        </w:rPr>
        <w:t>0</w:t>
      </w:r>
      <w:r>
        <w:rPr>
          <w:rFonts w:hint="eastAsia" w:ascii="仿宋" w:hAnsi="仿宋" w:eastAsia="仿宋" w:cs="仿宋"/>
          <w:sz w:val="32"/>
          <w:szCs w:val="32"/>
          <w:shd w:val="clear" w:color="auto" w:fill="FFFFFF"/>
        </w:rPr>
        <w:t>辆。单价100万元（含）以上专用设备</w:t>
      </w:r>
      <w:r>
        <w:rPr>
          <w:rFonts w:hint="eastAsia" w:ascii="仿宋" w:hAnsi="仿宋" w:eastAsia="仿宋" w:cs="仿宋"/>
          <w:sz w:val="32"/>
          <w:szCs w:val="32"/>
        </w:rPr>
        <w:t>0</w:t>
      </w:r>
      <w:r>
        <w:rPr>
          <w:rFonts w:hint="eastAsia" w:ascii="仿宋" w:hAnsi="仿宋" w:eastAsia="仿宋" w:cs="仿宋"/>
          <w:sz w:val="32"/>
          <w:szCs w:val="32"/>
          <w:shd w:val="clear" w:color="auto" w:fill="FFFFFF"/>
        </w:rPr>
        <w:t>台（套）。</w:t>
      </w:r>
    </w:p>
    <w:p w14:paraId="3BA4F3C7">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1ECDC21">
      <w:pPr>
        <w:pStyle w:val="6"/>
        <w:snapToGrid w:val="0"/>
        <w:spacing w:before="0" w:beforeAutospacing="0" w:after="0" w:afterAutospacing="0" w:line="600" w:lineRule="exact"/>
        <w:ind w:firstLine="640" w:firstLineChars="200"/>
        <w:jc w:val="both"/>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2024年</w:t>
      </w:r>
      <w:r>
        <w:rPr>
          <w:rFonts w:hint="eastAsia" w:ascii="仿宋" w:hAnsi="仿宋" w:eastAsia="仿宋" w:cs="仿宋"/>
          <w:color w:val="000000" w:themeColor="text1"/>
          <w:sz w:val="32"/>
          <w:szCs w:val="32"/>
          <w:shd w:val="clear" w:color="auto" w:fill="FFFFFF"/>
          <w14:textFill>
            <w14:solidFill>
              <w14:schemeClr w14:val="tx1"/>
            </w14:solidFill>
          </w14:textFill>
        </w:rPr>
        <w:t>度我单位未发生政府采购事项，无相关经费支出。</w:t>
      </w:r>
    </w:p>
    <w:p w14:paraId="54C175E9">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eastAsia" w:ascii="黑体" w:hAnsi="黑体" w:eastAsia="黑体" w:cs="黑体"/>
          <w:sz w:val="32"/>
          <w:szCs w:val="32"/>
          <w:shd w:val="clear" w:color="auto" w:fill="FFFFFF"/>
          <w:lang w:val="en-US" w:eastAsia="zh-CN" w:bidi="ar-SA"/>
        </w:rPr>
      </w:pPr>
      <w:r>
        <w:rPr>
          <w:rStyle w:val="9"/>
          <w:rFonts w:hint="eastAsia" w:ascii="黑体" w:hAnsi="黑体" w:eastAsia="黑体" w:cs="黑体"/>
          <w:sz w:val="32"/>
          <w:szCs w:val="32"/>
          <w:shd w:val="clear" w:color="auto" w:fill="FFFFFF"/>
          <w:lang w:val="en-US" w:eastAsia="zh-CN" w:bidi="ar-SA"/>
        </w:rPr>
        <w:t>五、2024年度预算绩效管理情况说明</w:t>
      </w:r>
    </w:p>
    <w:p w14:paraId="0A5402AA">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35BC7AFC">
      <w:pPr>
        <w:pStyle w:val="14"/>
        <w:keepNext w:val="0"/>
        <w:keepLines w:val="0"/>
        <w:widowControl/>
        <w:suppressLineNumbers w:val="0"/>
        <w:autoSpaceDE w:val="0"/>
        <w:autoSpaceDN/>
        <w:spacing w:before="0" w:beforeAutospacing="0" w:line="600" w:lineRule="exact"/>
        <w:ind w:left="0" w:firstLine="640" w:firstLineChars="200"/>
        <w:jc w:val="left"/>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根据预算绩效管理要求，我单位属于卫健委下属事业单位</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部门整体绩效评价由卫健委统一进行自评。</w:t>
      </w:r>
    </w:p>
    <w:p w14:paraId="675B37E9">
      <w:pPr>
        <w:pStyle w:val="14"/>
        <w:keepNext w:val="0"/>
        <w:keepLines w:val="0"/>
        <w:widowControl/>
        <w:suppressLineNumbers w:val="0"/>
        <w:autoSpaceDE w:val="0"/>
        <w:autoSpaceDN/>
        <w:spacing w:before="0" w:beforeAutospacing="0" w:line="600" w:lineRule="exact"/>
        <w:ind w:left="0" w:firstLine="640" w:firstLineChars="200"/>
        <w:jc w:val="left"/>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我单位</w:t>
      </w:r>
      <w:r>
        <w:rPr>
          <w:rFonts w:hint="eastAsia" w:ascii="方正仿宋_GBK" w:hAnsi="方正仿宋_GBK" w:eastAsia="方正仿宋_GBK" w:cs="方正仿宋_GBK"/>
          <w:kern w:val="0"/>
          <w:sz w:val="32"/>
          <w:szCs w:val="32"/>
          <w:shd w:val="clear" w:fill="FFFFFF"/>
          <w:lang w:eastAsia="zh-CN"/>
        </w:rPr>
        <w:t>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个二级项目开展了绩效自评，涉及财政拨款项目支出</w:t>
      </w:r>
      <w:r>
        <w:rPr>
          <w:rFonts w:hint="eastAsia" w:ascii="方正仿宋_GBK" w:hAnsi="方正仿宋_GBK" w:eastAsia="方正仿宋_GBK" w:cs="方正仿宋_GBK"/>
          <w:kern w:val="0"/>
          <w:sz w:val="32"/>
          <w:szCs w:val="32"/>
          <w:shd w:val="clear" w:fill="FFFFFF"/>
          <w:lang w:val="en-US" w:eastAsia="zh-CN"/>
        </w:rPr>
        <w:t>19.01</w:t>
      </w:r>
      <w:r>
        <w:rPr>
          <w:rFonts w:hint="eastAsia" w:ascii="方正仿宋_GBK" w:hAnsi="方正仿宋_GBK" w:eastAsia="方正仿宋_GBK" w:cs="方正仿宋_GBK"/>
          <w:kern w:val="0"/>
          <w:sz w:val="32"/>
          <w:szCs w:val="32"/>
          <w:shd w:val="clear" w:fill="FFFFFF"/>
        </w:rPr>
        <w:t>万元。</w:t>
      </w: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40" w:type="dxa"/>
          <w:left w:w="64" w:type="dxa"/>
          <w:bottom w:w="40" w:type="dxa"/>
          <w:right w:w="64" w:type="dxa"/>
        </w:tblCellMar>
      </w:tblPr>
      <w:tblGrid>
        <w:gridCol w:w="1570"/>
        <w:gridCol w:w="910"/>
        <w:gridCol w:w="912"/>
        <w:gridCol w:w="756"/>
        <w:gridCol w:w="599"/>
        <w:gridCol w:w="642"/>
        <w:gridCol w:w="524"/>
        <w:gridCol w:w="759"/>
        <w:gridCol w:w="485"/>
        <w:gridCol w:w="664"/>
        <w:gridCol w:w="622"/>
      </w:tblGrid>
      <w:tr w14:paraId="6059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5AC2F005">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bdr w:val="none" w:color="auto" w:sz="0" w:space="0"/>
                <w:lang w:val="en-US" w:eastAsia="zh-CN" w:bidi="ar"/>
              </w:rPr>
              <w:t>2024年度二级项目绩效自评表</w:t>
            </w:r>
          </w:p>
        </w:tc>
      </w:tr>
      <w:tr w14:paraId="39A19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15C9620F">
            <w:pPr>
              <w:keepNext w:val="0"/>
              <w:keepLines w:val="0"/>
              <w:widowControl/>
              <w:suppressLineNumbers w:val="0"/>
              <w:snapToGrid w:val="0"/>
              <w:jc w:val="both"/>
              <w:textAlignment w:val="center"/>
              <w:rPr>
                <w:rFonts w:hint="default" w:ascii="宋体" w:hAnsi="宋体" w:eastAsia="宋体" w:cs="宋体"/>
                <w:b/>
                <w:bCs/>
                <w:i w:val="0"/>
                <w:iCs w:val="0"/>
                <w:color w:val="000000" w:themeColor="text1"/>
                <w:sz w:val="20"/>
                <w:szCs w:val="20"/>
                <w:u w:val="none"/>
                <w:lang w:val="en-US"/>
                <w14:textFill>
                  <w14:solidFill>
                    <w14:schemeClr w14:val="tx1"/>
                  </w14:solidFill>
                </w14:textFill>
              </w:rPr>
            </w:pPr>
            <w:r>
              <w:rPr>
                <w:rFonts w:hint="eastAsia" w:ascii="宋体" w:hAnsi="宋体" w:eastAsia="宋体" w:cs="宋体"/>
                <w:b/>
                <w:bCs/>
                <w:i w:val="0"/>
                <w:iCs w:val="0"/>
                <w:color w:val="000000" w:themeColor="text1"/>
                <w:kern w:val="0"/>
                <w:sz w:val="20"/>
                <w:szCs w:val="20"/>
                <w:u w:val="none"/>
                <w:bdr w:val="none" w:color="auto" w:sz="0" w:space="0"/>
                <w:lang w:val="en-US" w:eastAsia="zh-CN" w:bidi="ar"/>
                <w14:textFill>
                  <w14:solidFill>
                    <w14:schemeClr w14:val="tx1"/>
                  </w14:solidFill>
                </w14:textFill>
              </w:rPr>
              <w:t>状态：业务审核已审</w:t>
            </w:r>
            <w:r>
              <w:rPr>
                <w:rFonts w:hint="eastAsia" w:cs="宋体"/>
                <w:b/>
                <w:bCs/>
                <w:i w:val="0"/>
                <w:iCs w:val="0"/>
                <w:color w:val="000000" w:themeColor="text1"/>
                <w:kern w:val="0"/>
                <w:sz w:val="20"/>
                <w:szCs w:val="20"/>
                <w:u w:val="none"/>
                <w:bdr w:val="none" w:color="auto" w:sz="0" w:space="0"/>
                <w:lang w:val="en-US" w:eastAsia="zh-CN" w:bidi="ar"/>
                <w14:textFill>
                  <w14:solidFill>
                    <w14:schemeClr w14:val="tx1"/>
                  </w14:solidFill>
                </w14:textFill>
              </w:rPr>
              <w:t xml:space="preserve">                                                       单位：万元</w:t>
            </w:r>
          </w:p>
        </w:tc>
      </w:tr>
      <w:tr w14:paraId="1CC4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9" w:type="pct"/>
            <w:tcBorders>
              <w:top w:val="single" w:color="000000" w:sz="4" w:space="0"/>
              <w:left w:val="single" w:color="000000" w:sz="4" w:space="0"/>
              <w:bottom w:val="single" w:color="000000" w:sz="4" w:space="0"/>
              <w:right w:val="single" w:color="000000" w:sz="4" w:space="0"/>
            </w:tcBorders>
            <w:shd w:val="clear"/>
            <w:noWrap/>
            <w:vAlign w:val="center"/>
          </w:tcPr>
          <w:p w14:paraId="71E52468">
            <w:pPr>
              <w:keepNext w:val="0"/>
              <w:keepLines w:val="0"/>
              <w:widowControl/>
              <w:suppressLineNumbers w:val="0"/>
              <w:snapToGrid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项目名称：</w:t>
            </w:r>
          </w:p>
        </w:tc>
        <w:tc>
          <w:tcPr>
            <w:tcW w:w="107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3B79D7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基本公共卫生服务中央和市级补助资金</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0EB5F0EC">
            <w:pPr>
              <w:keepNext w:val="0"/>
              <w:keepLines w:val="0"/>
              <w:widowControl/>
              <w:suppressLineNumbers w:val="0"/>
              <w:snapToGrid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项目编码：</w:t>
            </w:r>
          </w:p>
        </w:tc>
        <w:tc>
          <w:tcPr>
            <w:tcW w:w="73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2AF10A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50023822T000002456449</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61C0388F">
            <w:pPr>
              <w:keepNext w:val="0"/>
              <w:keepLines w:val="0"/>
              <w:widowControl/>
              <w:suppressLineNumbers w:val="0"/>
              <w:snapToGrid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自评总分：</w:t>
            </w:r>
          </w:p>
        </w:tc>
        <w:tc>
          <w:tcPr>
            <w:tcW w:w="7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B24E25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3898433F">
            <w:pPr>
              <w:snapToGrid w:val="0"/>
              <w:jc w:val="right"/>
              <w:rPr>
                <w:rFonts w:hint="eastAsia" w:ascii="宋体" w:hAnsi="宋体" w:eastAsia="宋体" w:cs="宋体"/>
                <w:b/>
                <w:bCs/>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2816922E">
            <w:pPr>
              <w:snapToGrid w:val="0"/>
              <w:rPr>
                <w:rFonts w:hint="eastAsia" w:ascii="宋体" w:hAnsi="宋体" w:eastAsia="宋体" w:cs="宋体"/>
                <w:i w:val="0"/>
                <w:iCs w:val="0"/>
                <w:color w:val="000000"/>
                <w:sz w:val="20"/>
                <w:szCs w:val="20"/>
                <w:u w:val="none"/>
              </w:rPr>
            </w:pPr>
          </w:p>
        </w:tc>
      </w:tr>
      <w:tr w14:paraId="6A38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9" w:type="pct"/>
            <w:tcBorders>
              <w:top w:val="single" w:color="000000" w:sz="4" w:space="0"/>
              <w:left w:val="single" w:color="000000" w:sz="4" w:space="0"/>
              <w:bottom w:val="single" w:color="000000" w:sz="4" w:space="0"/>
              <w:right w:val="single" w:color="000000" w:sz="4" w:space="0"/>
            </w:tcBorders>
            <w:shd w:val="clear"/>
            <w:noWrap/>
            <w:vAlign w:val="center"/>
          </w:tcPr>
          <w:p w14:paraId="23D8CFD2">
            <w:pPr>
              <w:keepNext w:val="0"/>
              <w:keepLines w:val="0"/>
              <w:widowControl/>
              <w:suppressLineNumbers w:val="0"/>
              <w:snapToGrid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项目主管部门：</w:t>
            </w:r>
          </w:p>
        </w:tc>
        <w:tc>
          <w:tcPr>
            <w:tcW w:w="107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C15DB0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067-巫溪县卫生健康委员会</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7D39A25E">
            <w:pPr>
              <w:keepNext w:val="0"/>
              <w:keepLines w:val="0"/>
              <w:widowControl/>
              <w:suppressLineNumbers w:val="0"/>
              <w:snapToGrid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财政归口处室：</w:t>
            </w:r>
          </w:p>
        </w:tc>
        <w:tc>
          <w:tcPr>
            <w:tcW w:w="73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05DB59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006-社保科</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200053C3">
            <w:pPr>
              <w:keepNext w:val="0"/>
              <w:keepLines w:val="0"/>
              <w:widowControl/>
              <w:suppressLineNumbers w:val="0"/>
              <w:snapToGrid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部门联系人：</w:t>
            </w:r>
          </w:p>
        </w:tc>
        <w:tc>
          <w:tcPr>
            <w:tcW w:w="7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371A6C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徐佳</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1010B5B2">
            <w:pPr>
              <w:keepNext w:val="0"/>
              <w:keepLines w:val="0"/>
              <w:widowControl/>
              <w:suppressLineNumbers w:val="0"/>
              <w:snapToGrid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联系电话：</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79019BD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18716780341</w:t>
            </w:r>
          </w:p>
        </w:tc>
      </w:tr>
      <w:tr w14:paraId="425D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171CEF7C">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bdr w:val="none" w:color="auto" w:sz="0" w:space="0"/>
                <w:lang w:val="en-US" w:eastAsia="zh-CN" w:bidi="ar"/>
              </w:rPr>
              <w:t>资金情况</w:t>
            </w:r>
          </w:p>
        </w:tc>
      </w:tr>
      <w:tr w14:paraId="729B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6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D02C6C9">
            <w:pPr>
              <w:snapToGrid w:val="0"/>
              <w:jc w:val="center"/>
              <w:rPr>
                <w:rFonts w:hint="eastAsia" w:ascii="宋体" w:hAnsi="宋体" w:eastAsia="宋体" w:cs="宋体"/>
                <w:i w:val="0"/>
                <w:iCs w:val="0"/>
                <w:color w:val="000000"/>
                <w:sz w:val="20"/>
                <w:szCs w:val="20"/>
                <w:u w:val="none"/>
              </w:rPr>
            </w:pPr>
          </w:p>
        </w:tc>
        <w:tc>
          <w:tcPr>
            <w:tcW w:w="98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9479BC8">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年初预算数</w:t>
            </w:r>
          </w:p>
        </w:tc>
        <w:tc>
          <w:tcPr>
            <w:tcW w:w="73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636E324">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全年（调整）预算数</w:t>
            </w:r>
          </w:p>
        </w:tc>
        <w:tc>
          <w:tcPr>
            <w:tcW w:w="75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86EFBCE">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全年执行数</w:t>
            </w:r>
          </w:p>
        </w:tc>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6A85639D">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执行率</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65DCFE95">
            <w:pPr>
              <w:keepNext w:val="0"/>
              <w:keepLines w:val="0"/>
              <w:widowControl/>
              <w:suppressLineNumbers w:val="0"/>
              <w:snapToGrid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执行率权重</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4EF3900E">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执行率得分</w:t>
            </w:r>
          </w:p>
        </w:tc>
      </w:tr>
      <w:tr w14:paraId="6ED04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9" w:type="pct"/>
            <w:tcBorders>
              <w:top w:val="single" w:color="000000" w:sz="4" w:space="0"/>
              <w:left w:val="single" w:color="000000" w:sz="4" w:space="0"/>
              <w:bottom w:val="single" w:color="000000" w:sz="4" w:space="0"/>
              <w:right w:val="nil"/>
            </w:tcBorders>
            <w:shd w:val="clear"/>
            <w:vAlign w:val="center"/>
          </w:tcPr>
          <w:p w14:paraId="2BD7167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年度总金额</w:t>
            </w:r>
          </w:p>
        </w:tc>
        <w:tc>
          <w:tcPr>
            <w:tcW w:w="538" w:type="pct"/>
            <w:tcBorders>
              <w:top w:val="single" w:color="000000" w:sz="4" w:space="0"/>
              <w:left w:val="nil"/>
              <w:bottom w:val="single" w:color="000000" w:sz="4" w:space="0"/>
              <w:right w:val="single" w:color="000000" w:sz="4" w:space="0"/>
            </w:tcBorders>
            <w:shd w:val="clear"/>
            <w:noWrap/>
            <w:vAlign w:val="center"/>
          </w:tcPr>
          <w:p w14:paraId="37AB4D00">
            <w:pPr>
              <w:snapToGrid w:val="0"/>
              <w:rPr>
                <w:rFonts w:hint="eastAsia" w:ascii="宋体" w:hAnsi="宋体" w:eastAsia="宋体" w:cs="宋体"/>
                <w:i w:val="0"/>
                <w:iCs w:val="0"/>
                <w:color w:val="000000"/>
                <w:sz w:val="20"/>
                <w:szCs w:val="20"/>
                <w:u w:val="none"/>
              </w:rPr>
            </w:pPr>
          </w:p>
        </w:tc>
        <w:tc>
          <w:tcPr>
            <w:tcW w:w="540" w:type="pct"/>
            <w:tcBorders>
              <w:top w:val="single" w:color="000000" w:sz="4" w:space="0"/>
              <w:left w:val="single" w:color="000000" w:sz="4" w:space="0"/>
              <w:bottom w:val="single" w:color="000000" w:sz="4" w:space="0"/>
              <w:right w:val="nil"/>
            </w:tcBorders>
            <w:shd w:val="clear"/>
            <w:noWrap/>
            <w:vAlign w:val="center"/>
          </w:tcPr>
          <w:p w14:paraId="0EC01952">
            <w:pPr>
              <w:snapToGrid w:val="0"/>
              <w:rPr>
                <w:rFonts w:hint="eastAsia" w:ascii="宋体" w:hAnsi="宋体" w:eastAsia="宋体" w:cs="宋体"/>
                <w:i w:val="0"/>
                <w:iCs w:val="0"/>
                <w:color w:val="000000"/>
                <w:sz w:val="20"/>
                <w:szCs w:val="20"/>
                <w:u w:val="none"/>
              </w:rPr>
            </w:pPr>
          </w:p>
        </w:tc>
        <w:tc>
          <w:tcPr>
            <w:tcW w:w="447" w:type="pct"/>
            <w:tcBorders>
              <w:top w:val="single" w:color="000000" w:sz="4" w:space="0"/>
              <w:left w:val="nil"/>
              <w:bottom w:val="single" w:color="000000" w:sz="4" w:space="0"/>
              <w:right w:val="single" w:color="000000" w:sz="4" w:space="0"/>
            </w:tcBorders>
            <w:shd w:val="clear"/>
            <w:noWrap/>
            <w:vAlign w:val="center"/>
          </w:tcPr>
          <w:p w14:paraId="5A1A65F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0.00 </w:t>
            </w:r>
          </w:p>
        </w:tc>
        <w:tc>
          <w:tcPr>
            <w:tcW w:w="354" w:type="pct"/>
            <w:tcBorders>
              <w:top w:val="single" w:color="000000" w:sz="4" w:space="0"/>
              <w:left w:val="single" w:color="000000" w:sz="4" w:space="0"/>
              <w:bottom w:val="single" w:color="000000" w:sz="4" w:space="0"/>
              <w:right w:val="nil"/>
            </w:tcBorders>
            <w:shd w:val="clear"/>
            <w:noWrap/>
            <w:vAlign w:val="center"/>
          </w:tcPr>
          <w:p w14:paraId="365AACC7">
            <w:pPr>
              <w:snapToGrid w:val="0"/>
              <w:rPr>
                <w:rFonts w:hint="eastAsia" w:ascii="宋体" w:hAnsi="宋体" w:eastAsia="宋体" w:cs="宋体"/>
                <w:i w:val="0"/>
                <w:iCs w:val="0"/>
                <w:color w:val="000000"/>
                <w:sz w:val="20"/>
                <w:szCs w:val="20"/>
                <w:u w:val="none"/>
              </w:rPr>
            </w:pPr>
          </w:p>
        </w:tc>
        <w:tc>
          <w:tcPr>
            <w:tcW w:w="380" w:type="pct"/>
            <w:tcBorders>
              <w:top w:val="single" w:color="000000" w:sz="4" w:space="0"/>
              <w:left w:val="nil"/>
              <w:bottom w:val="single" w:color="000000" w:sz="4" w:space="0"/>
              <w:right w:val="single" w:color="000000" w:sz="4" w:space="0"/>
            </w:tcBorders>
            <w:shd w:val="clear"/>
            <w:vAlign w:val="center"/>
          </w:tcPr>
          <w:p w14:paraId="59F5F7AD">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r>
              <w:rPr>
                <w:rFonts w:hint="eastAsia" w:cs="宋体"/>
                <w:i w:val="0"/>
                <w:iCs w:val="0"/>
                <w:color w:val="000000"/>
                <w:kern w:val="0"/>
                <w:sz w:val="20"/>
                <w:szCs w:val="20"/>
                <w:u w:val="none"/>
                <w:bdr w:val="none" w:color="auto" w:sz="0" w:space="0"/>
                <w:lang w:val="en-US" w:eastAsia="zh-CN" w:bidi="ar"/>
              </w:rPr>
              <w:t>.01</w:t>
            </w:r>
            <w:r>
              <w:rPr>
                <w:rFonts w:hint="eastAsia" w:ascii="宋体" w:hAnsi="宋体" w:eastAsia="宋体" w:cs="宋体"/>
                <w:i w:val="0"/>
                <w:iCs w:val="0"/>
                <w:color w:val="000000"/>
                <w:kern w:val="0"/>
                <w:sz w:val="20"/>
                <w:szCs w:val="20"/>
                <w:u w:val="none"/>
                <w:bdr w:val="none" w:color="auto" w:sz="0" w:space="0"/>
                <w:lang w:val="en-US" w:eastAsia="zh-CN" w:bidi="ar"/>
              </w:rPr>
              <w:t xml:space="preserve"> </w:t>
            </w:r>
          </w:p>
        </w:tc>
        <w:tc>
          <w:tcPr>
            <w:tcW w:w="310" w:type="pct"/>
            <w:tcBorders>
              <w:top w:val="single" w:color="000000" w:sz="4" w:space="0"/>
              <w:left w:val="single" w:color="000000" w:sz="4" w:space="0"/>
              <w:bottom w:val="single" w:color="000000" w:sz="4" w:space="0"/>
              <w:right w:val="nil"/>
            </w:tcBorders>
            <w:shd w:val="clear"/>
            <w:noWrap/>
            <w:vAlign w:val="center"/>
          </w:tcPr>
          <w:p w14:paraId="651CF996">
            <w:pPr>
              <w:snapToGrid w:val="0"/>
              <w:rPr>
                <w:rFonts w:hint="eastAsia" w:ascii="宋体" w:hAnsi="宋体" w:eastAsia="宋体" w:cs="宋体"/>
                <w:i w:val="0"/>
                <w:iCs w:val="0"/>
                <w:color w:val="000000"/>
                <w:sz w:val="20"/>
                <w:szCs w:val="20"/>
                <w:u w:val="none"/>
              </w:rPr>
            </w:pPr>
          </w:p>
        </w:tc>
        <w:tc>
          <w:tcPr>
            <w:tcW w:w="449" w:type="pct"/>
            <w:tcBorders>
              <w:top w:val="single" w:color="000000" w:sz="4" w:space="0"/>
              <w:left w:val="nil"/>
              <w:bottom w:val="single" w:color="000000" w:sz="4" w:space="0"/>
              <w:right w:val="single" w:color="000000" w:sz="4" w:space="0"/>
            </w:tcBorders>
            <w:shd w:val="clear"/>
            <w:noWrap/>
            <w:vAlign w:val="center"/>
          </w:tcPr>
          <w:p w14:paraId="495CD8A4">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r>
              <w:rPr>
                <w:rFonts w:hint="eastAsia"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57BABA33">
            <w:pPr>
              <w:snapToGrid w:val="0"/>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1A820545">
            <w:pPr>
              <w:snapToGrid w:val="0"/>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40A23967">
            <w:pPr>
              <w:snapToGrid w:val="0"/>
              <w:jc w:val="right"/>
              <w:rPr>
                <w:rFonts w:hint="eastAsia" w:ascii="宋体" w:hAnsi="宋体" w:eastAsia="宋体" w:cs="宋体"/>
                <w:i w:val="0"/>
                <w:iCs w:val="0"/>
                <w:color w:val="000000"/>
                <w:sz w:val="20"/>
                <w:szCs w:val="20"/>
                <w:u w:val="none"/>
              </w:rPr>
            </w:pPr>
          </w:p>
        </w:tc>
      </w:tr>
      <w:tr w14:paraId="2ABD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9" w:type="pct"/>
            <w:tcBorders>
              <w:top w:val="single" w:color="000000" w:sz="4" w:space="0"/>
              <w:left w:val="single" w:color="000000" w:sz="4" w:space="0"/>
              <w:bottom w:val="single" w:color="000000" w:sz="4" w:space="0"/>
              <w:right w:val="nil"/>
            </w:tcBorders>
            <w:shd w:val="clear"/>
            <w:vAlign w:val="center"/>
          </w:tcPr>
          <w:p w14:paraId="70828A3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其中：财政拨款</w:t>
            </w:r>
          </w:p>
        </w:tc>
        <w:tc>
          <w:tcPr>
            <w:tcW w:w="538" w:type="pct"/>
            <w:tcBorders>
              <w:top w:val="single" w:color="000000" w:sz="4" w:space="0"/>
              <w:left w:val="nil"/>
              <w:bottom w:val="single" w:color="000000" w:sz="4" w:space="0"/>
              <w:right w:val="single" w:color="000000" w:sz="4" w:space="0"/>
            </w:tcBorders>
            <w:shd w:val="clear"/>
            <w:noWrap/>
            <w:vAlign w:val="center"/>
          </w:tcPr>
          <w:p w14:paraId="6A0C3037">
            <w:pPr>
              <w:snapToGrid w:val="0"/>
              <w:rPr>
                <w:rFonts w:hint="eastAsia" w:ascii="宋体" w:hAnsi="宋体" w:eastAsia="宋体" w:cs="宋体"/>
                <w:i w:val="0"/>
                <w:iCs w:val="0"/>
                <w:color w:val="000000"/>
                <w:sz w:val="20"/>
                <w:szCs w:val="20"/>
                <w:u w:val="none"/>
              </w:rPr>
            </w:pPr>
          </w:p>
        </w:tc>
        <w:tc>
          <w:tcPr>
            <w:tcW w:w="540" w:type="pct"/>
            <w:tcBorders>
              <w:top w:val="single" w:color="000000" w:sz="4" w:space="0"/>
              <w:left w:val="single" w:color="000000" w:sz="4" w:space="0"/>
              <w:bottom w:val="single" w:color="000000" w:sz="4" w:space="0"/>
              <w:right w:val="nil"/>
            </w:tcBorders>
            <w:shd w:val="clear"/>
            <w:noWrap/>
            <w:vAlign w:val="center"/>
          </w:tcPr>
          <w:p w14:paraId="1B14EDB1">
            <w:pPr>
              <w:snapToGrid w:val="0"/>
              <w:rPr>
                <w:rFonts w:hint="eastAsia" w:ascii="宋体" w:hAnsi="宋体" w:eastAsia="宋体" w:cs="宋体"/>
                <w:i w:val="0"/>
                <w:iCs w:val="0"/>
                <w:color w:val="000000"/>
                <w:sz w:val="20"/>
                <w:szCs w:val="20"/>
                <w:u w:val="none"/>
              </w:rPr>
            </w:pPr>
          </w:p>
        </w:tc>
        <w:tc>
          <w:tcPr>
            <w:tcW w:w="447" w:type="pct"/>
            <w:tcBorders>
              <w:top w:val="single" w:color="000000" w:sz="4" w:space="0"/>
              <w:left w:val="nil"/>
              <w:bottom w:val="single" w:color="000000" w:sz="4" w:space="0"/>
              <w:right w:val="single" w:color="000000" w:sz="4" w:space="0"/>
            </w:tcBorders>
            <w:shd w:val="clear"/>
            <w:noWrap/>
            <w:vAlign w:val="center"/>
          </w:tcPr>
          <w:p w14:paraId="0983002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0.00 </w:t>
            </w:r>
          </w:p>
        </w:tc>
        <w:tc>
          <w:tcPr>
            <w:tcW w:w="354" w:type="pct"/>
            <w:tcBorders>
              <w:top w:val="single" w:color="000000" w:sz="4" w:space="0"/>
              <w:left w:val="single" w:color="000000" w:sz="4" w:space="0"/>
              <w:bottom w:val="single" w:color="000000" w:sz="4" w:space="0"/>
              <w:right w:val="nil"/>
            </w:tcBorders>
            <w:shd w:val="clear"/>
            <w:noWrap/>
            <w:vAlign w:val="center"/>
          </w:tcPr>
          <w:p w14:paraId="090E1963">
            <w:pPr>
              <w:snapToGrid w:val="0"/>
              <w:rPr>
                <w:rFonts w:hint="eastAsia" w:ascii="宋体" w:hAnsi="宋体" w:eastAsia="宋体" w:cs="宋体"/>
                <w:i w:val="0"/>
                <w:iCs w:val="0"/>
                <w:color w:val="000000"/>
                <w:sz w:val="20"/>
                <w:szCs w:val="20"/>
                <w:u w:val="none"/>
              </w:rPr>
            </w:pPr>
          </w:p>
        </w:tc>
        <w:tc>
          <w:tcPr>
            <w:tcW w:w="380" w:type="pct"/>
            <w:tcBorders>
              <w:top w:val="single" w:color="000000" w:sz="4" w:space="0"/>
              <w:left w:val="nil"/>
              <w:bottom w:val="single" w:color="000000" w:sz="4" w:space="0"/>
              <w:right w:val="single" w:color="000000" w:sz="4" w:space="0"/>
            </w:tcBorders>
            <w:shd w:val="clear"/>
            <w:vAlign w:val="center"/>
          </w:tcPr>
          <w:p w14:paraId="6C5D903D">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r>
              <w:rPr>
                <w:rFonts w:hint="eastAsia"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 xml:space="preserve"> </w:t>
            </w:r>
          </w:p>
        </w:tc>
        <w:tc>
          <w:tcPr>
            <w:tcW w:w="310" w:type="pct"/>
            <w:tcBorders>
              <w:top w:val="single" w:color="000000" w:sz="4" w:space="0"/>
              <w:left w:val="single" w:color="000000" w:sz="4" w:space="0"/>
              <w:bottom w:val="single" w:color="000000" w:sz="4" w:space="0"/>
              <w:right w:val="nil"/>
            </w:tcBorders>
            <w:shd w:val="clear"/>
            <w:noWrap/>
            <w:vAlign w:val="center"/>
          </w:tcPr>
          <w:p w14:paraId="1D8142E3">
            <w:pPr>
              <w:snapToGrid w:val="0"/>
              <w:rPr>
                <w:rFonts w:hint="eastAsia" w:ascii="宋体" w:hAnsi="宋体" w:eastAsia="宋体" w:cs="宋体"/>
                <w:i w:val="0"/>
                <w:iCs w:val="0"/>
                <w:color w:val="000000"/>
                <w:sz w:val="20"/>
                <w:szCs w:val="20"/>
                <w:u w:val="none"/>
              </w:rPr>
            </w:pPr>
          </w:p>
        </w:tc>
        <w:tc>
          <w:tcPr>
            <w:tcW w:w="449" w:type="pct"/>
            <w:tcBorders>
              <w:top w:val="single" w:color="000000" w:sz="4" w:space="0"/>
              <w:left w:val="nil"/>
              <w:bottom w:val="single" w:color="000000" w:sz="4" w:space="0"/>
              <w:right w:val="single" w:color="000000" w:sz="4" w:space="0"/>
            </w:tcBorders>
            <w:shd w:val="clear"/>
            <w:noWrap/>
            <w:vAlign w:val="center"/>
          </w:tcPr>
          <w:p w14:paraId="3E5F4DA9">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r>
              <w:rPr>
                <w:rFonts w:hint="eastAsia"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26608EAE">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3E42689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7A68FC1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10.00 </w:t>
            </w:r>
          </w:p>
        </w:tc>
      </w:tr>
      <w:tr w14:paraId="6279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9" w:type="pct"/>
            <w:tcBorders>
              <w:top w:val="single" w:color="000000" w:sz="4" w:space="0"/>
              <w:left w:val="single" w:color="000000" w:sz="4" w:space="0"/>
              <w:bottom w:val="single" w:color="000000" w:sz="4" w:space="0"/>
              <w:right w:val="nil"/>
            </w:tcBorders>
            <w:shd w:val="clear"/>
            <w:vAlign w:val="center"/>
          </w:tcPr>
          <w:p w14:paraId="3FDA4CB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一般公共预算</w:t>
            </w:r>
          </w:p>
        </w:tc>
        <w:tc>
          <w:tcPr>
            <w:tcW w:w="538" w:type="pct"/>
            <w:tcBorders>
              <w:top w:val="single" w:color="000000" w:sz="4" w:space="0"/>
              <w:left w:val="nil"/>
              <w:bottom w:val="single" w:color="000000" w:sz="4" w:space="0"/>
              <w:right w:val="single" w:color="000000" w:sz="4" w:space="0"/>
            </w:tcBorders>
            <w:shd w:val="clear"/>
            <w:noWrap/>
            <w:vAlign w:val="center"/>
          </w:tcPr>
          <w:p w14:paraId="5F95E5E1">
            <w:pPr>
              <w:snapToGrid w:val="0"/>
              <w:rPr>
                <w:rFonts w:hint="eastAsia" w:ascii="宋体" w:hAnsi="宋体" w:eastAsia="宋体" w:cs="宋体"/>
                <w:i w:val="0"/>
                <w:iCs w:val="0"/>
                <w:color w:val="000000"/>
                <w:sz w:val="20"/>
                <w:szCs w:val="20"/>
                <w:u w:val="none"/>
              </w:rPr>
            </w:pPr>
          </w:p>
        </w:tc>
        <w:tc>
          <w:tcPr>
            <w:tcW w:w="540" w:type="pct"/>
            <w:tcBorders>
              <w:top w:val="single" w:color="000000" w:sz="4" w:space="0"/>
              <w:left w:val="single" w:color="000000" w:sz="4" w:space="0"/>
              <w:bottom w:val="single" w:color="000000" w:sz="4" w:space="0"/>
              <w:right w:val="nil"/>
            </w:tcBorders>
            <w:shd w:val="clear"/>
            <w:noWrap/>
            <w:vAlign w:val="center"/>
          </w:tcPr>
          <w:p w14:paraId="05E3A010">
            <w:pPr>
              <w:snapToGrid w:val="0"/>
              <w:rPr>
                <w:rFonts w:hint="eastAsia" w:ascii="宋体" w:hAnsi="宋体" w:eastAsia="宋体" w:cs="宋体"/>
                <w:i w:val="0"/>
                <w:iCs w:val="0"/>
                <w:color w:val="000000"/>
                <w:sz w:val="20"/>
                <w:szCs w:val="20"/>
                <w:u w:val="none"/>
              </w:rPr>
            </w:pPr>
          </w:p>
        </w:tc>
        <w:tc>
          <w:tcPr>
            <w:tcW w:w="447" w:type="pct"/>
            <w:tcBorders>
              <w:top w:val="single" w:color="000000" w:sz="4" w:space="0"/>
              <w:left w:val="nil"/>
              <w:bottom w:val="single" w:color="000000" w:sz="4" w:space="0"/>
              <w:right w:val="single" w:color="000000" w:sz="4" w:space="0"/>
            </w:tcBorders>
            <w:shd w:val="clear"/>
            <w:noWrap/>
            <w:vAlign w:val="center"/>
          </w:tcPr>
          <w:p w14:paraId="77112C3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0.00 </w:t>
            </w:r>
          </w:p>
        </w:tc>
        <w:tc>
          <w:tcPr>
            <w:tcW w:w="354" w:type="pct"/>
            <w:tcBorders>
              <w:top w:val="single" w:color="000000" w:sz="4" w:space="0"/>
              <w:left w:val="single" w:color="000000" w:sz="4" w:space="0"/>
              <w:bottom w:val="single" w:color="000000" w:sz="4" w:space="0"/>
              <w:right w:val="nil"/>
            </w:tcBorders>
            <w:shd w:val="clear"/>
            <w:noWrap/>
            <w:vAlign w:val="center"/>
          </w:tcPr>
          <w:p w14:paraId="24188D9B">
            <w:pPr>
              <w:snapToGrid w:val="0"/>
              <w:rPr>
                <w:rFonts w:hint="eastAsia" w:ascii="宋体" w:hAnsi="宋体" w:eastAsia="宋体" w:cs="宋体"/>
                <w:i w:val="0"/>
                <w:iCs w:val="0"/>
                <w:color w:val="000000"/>
                <w:sz w:val="20"/>
                <w:szCs w:val="20"/>
                <w:u w:val="none"/>
              </w:rPr>
            </w:pPr>
          </w:p>
        </w:tc>
        <w:tc>
          <w:tcPr>
            <w:tcW w:w="380" w:type="pct"/>
            <w:tcBorders>
              <w:top w:val="single" w:color="000000" w:sz="4" w:space="0"/>
              <w:left w:val="nil"/>
              <w:bottom w:val="single" w:color="000000" w:sz="4" w:space="0"/>
              <w:right w:val="single" w:color="000000" w:sz="4" w:space="0"/>
            </w:tcBorders>
            <w:shd w:val="clear"/>
            <w:vAlign w:val="center"/>
          </w:tcPr>
          <w:p w14:paraId="7ED2172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r>
              <w:rPr>
                <w:rFonts w:hint="eastAsia"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 xml:space="preserve"> </w:t>
            </w:r>
          </w:p>
        </w:tc>
        <w:tc>
          <w:tcPr>
            <w:tcW w:w="310" w:type="pct"/>
            <w:tcBorders>
              <w:top w:val="single" w:color="000000" w:sz="4" w:space="0"/>
              <w:left w:val="single" w:color="000000" w:sz="4" w:space="0"/>
              <w:bottom w:val="single" w:color="000000" w:sz="4" w:space="0"/>
              <w:right w:val="nil"/>
            </w:tcBorders>
            <w:shd w:val="clear"/>
            <w:noWrap/>
            <w:vAlign w:val="center"/>
          </w:tcPr>
          <w:p w14:paraId="2EAB4CB0">
            <w:pPr>
              <w:snapToGrid w:val="0"/>
              <w:rPr>
                <w:rFonts w:hint="eastAsia" w:ascii="宋体" w:hAnsi="宋体" w:eastAsia="宋体" w:cs="宋体"/>
                <w:i w:val="0"/>
                <w:iCs w:val="0"/>
                <w:color w:val="000000"/>
                <w:sz w:val="20"/>
                <w:szCs w:val="20"/>
                <w:u w:val="none"/>
              </w:rPr>
            </w:pPr>
          </w:p>
        </w:tc>
        <w:tc>
          <w:tcPr>
            <w:tcW w:w="449" w:type="pct"/>
            <w:tcBorders>
              <w:top w:val="single" w:color="000000" w:sz="4" w:space="0"/>
              <w:left w:val="nil"/>
              <w:bottom w:val="single" w:color="000000" w:sz="4" w:space="0"/>
              <w:right w:val="single" w:color="000000" w:sz="4" w:space="0"/>
            </w:tcBorders>
            <w:shd w:val="clear"/>
            <w:noWrap/>
            <w:vAlign w:val="center"/>
          </w:tcPr>
          <w:p w14:paraId="5C847AC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r>
              <w:rPr>
                <w:rFonts w:hint="eastAsia"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5AD3B5B9">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45D12D1D">
            <w:pPr>
              <w:snapToGrid w:val="0"/>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5F643EC7">
            <w:pPr>
              <w:snapToGrid w:val="0"/>
              <w:jc w:val="right"/>
              <w:rPr>
                <w:rFonts w:hint="eastAsia" w:ascii="宋体" w:hAnsi="宋体" w:eastAsia="宋体" w:cs="宋体"/>
                <w:i w:val="0"/>
                <w:iCs w:val="0"/>
                <w:color w:val="000000"/>
                <w:sz w:val="20"/>
                <w:szCs w:val="20"/>
                <w:u w:val="none"/>
              </w:rPr>
            </w:pPr>
          </w:p>
        </w:tc>
      </w:tr>
      <w:tr w14:paraId="04E4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51AFA31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bdr w:val="none" w:color="auto" w:sz="0" w:space="0"/>
                <w:lang w:val="en-US" w:eastAsia="zh-CN" w:bidi="ar"/>
              </w:rPr>
              <w:t>绩效目标</w:t>
            </w:r>
          </w:p>
        </w:tc>
      </w:tr>
      <w:tr w14:paraId="1691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45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54DCB2AB">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年初绩效目标</w:t>
            </w:r>
          </w:p>
        </w:tc>
        <w:tc>
          <w:tcPr>
            <w:tcW w:w="1494"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39E114FD">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全年（调整）绩效目标</w:t>
            </w:r>
          </w:p>
        </w:tc>
        <w:tc>
          <w:tcPr>
            <w:tcW w:w="104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51C7124">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全年目标实际完成情况</w:t>
            </w:r>
          </w:p>
        </w:tc>
      </w:tr>
      <w:tr w14:paraId="4A59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456" w:type="pct"/>
            <w:gridSpan w:val="4"/>
            <w:tcBorders>
              <w:top w:val="single" w:color="000000" w:sz="4" w:space="0"/>
              <w:left w:val="single" w:color="000000" w:sz="4" w:space="0"/>
              <w:bottom w:val="single" w:color="000000" w:sz="4" w:space="0"/>
              <w:right w:val="single" w:color="000000" w:sz="4" w:space="0"/>
            </w:tcBorders>
            <w:shd w:val="clear"/>
            <w:vAlign w:val="top"/>
          </w:tcPr>
          <w:p w14:paraId="2DE2CDC5">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1、免费向城乡居民提供基本公共卫生服务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2、开展对重点疾病和危害因素监测，最大限度的保护放射工作人员、患者和公众的健康权益。同时推动妇幼卫生、健康素养促进。医养结合和老年服务、卫生应急、计划生育等方面工作。</w:t>
            </w:r>
          </w:p>
        </w:tc>
        <w:tc>
          <w:tcPr>
            <w:tcW w:w="1494" w:type="pct"/>
            <w:gridSpan w:val="4"/>
            <w:tcBorders>
              <w:top w:val="single" w:color="000000" w:sz="4" w:space="0"/>
              <w:left w:val="single" w:color="000000" w:sz="4" w:space="0"/>
              <w:bottom w:val="single" w:color="000000" w:sz="4" w:space="0"/>
              <w:right w:val="single" w:color="000000" w:sz="4" w:space="0"/>
            </w:tcBorders>
            <w:shd w:val="clear"/>
            <w:vAlign w:val="top"/>
          </w:tcPr>
          <w:p w14:paraId="3F241776">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1、免费向城乡居民提供基本公共卫生服务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2、开展对重点疾病和危害因素监测，最大限度</w:t>
            </w:r>
            <w:r>
              <w:rPr>
                <w:rFonts w:hint="eastAsia" w:cs="宋体"/>
                <w:i w:val="0"/>
                <w:iCs w:val="0"/>
                <w:color w:val="000000"/>
                <w:kern w:val="0"/>
                <w:sz w:val="20"/>
                <w:szCs w:val="20"/>
                <w:u w:val="none"/>
                <w:bdr w:val="none" w:color="auto" w:sz="0" w:space="0"/>
                <w:lang w:val="en-US" w:eastAsia="zh-CN" w:bidi="ar"/>
              </w:rPr>
              <w:t>地</w:t>
            </w:r>
            <w:r>
              <w:rPr>
                <w:rFonts w:hint="eastAsia" w:ascii="宋体" w:hAnsi="宋体" w:eastAsia="宋体" w:cs="宋体"/>
                <w:i w:val="0"/>
                <w:iCs w:val="0"/>
                <w:color w:val="000000"/>
                <w:kern w:val="0"/>
                <w:sz w:val="20"/>
                <w:szCs w:val="20"/>
                <w:u w:val="none"/>
                <w:bdr w:val="none" w:color="auto" w:sz="0" w:space="0"/>
                <w:lang w:val="en-US" w:eastAsia="zh-CN" w:bidi="ar"/>
              </w:rPr>
              <w:t>保护放射工作人员、患者和公众的健康权益。同时推动妇幼卫生、健康素养促进。医养结合和老年服务、卫生应急、计划生育等方面工作。</w:t>
            </w:r>
          </w:p>
        </w:tc>
        <w:tc>
          <w:tcPr>
            <w:tcW w:w="1048" w:type="pct"/>
            <w:gridSpan w:val="3"/>
            <w:tcBorders>
              <w:top w:val="single" w:color="000000" w:sz="4" w:space="0"/>
              <w:left w:val="single" w:color="000000" w:sz="4" w:space="0"/>
              <w:bottom w:val="single" w:color="000000" w:sz="4" w:space="0"/>
              <w:right w:val="single" w:color="000000" w:sz="4" w:space="0"/>
            </w:tcBorders>
            <w:shd w:val="clear"/>
            <w:vAlign w:val="top"/>
          </w:tcPr>
          <w:p w14:paraId="693789CB">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1、免费向城乡居民提供基本公共卫生服务，已全部完成，其中包含家庭医生签约服务、老年人健康体检、妇幼保健等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已完成对重点疾病及危害因素监测，有效控制疾病流行，为制定相关政策提供科学依据。保持重点地方病防治措施全面落实。开展职业病监测，妇幼卫生、健康素养促进医养结合和老年健康服务、卫生应急、计划生育等方面工作。</w:t>
            </w:r>
          </w:p>
        </w:tc>
      </w:tr>
      <w:tr w14:paraId="7940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33FF5D5">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bdr w:val="none" w:color="auto" w:sz="0" w:space="0"/>
                <w:lang w:val="en-US" w:eastAsia="zh-CN" w:bidi="ar"/>
              </w:rPr>
              <w:t>绩效指标</w:t>
            </w:r>
          </w:p>
        </w:tc>
      </w:tr>
      <w:tr w14:paraId="276B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9" w:type="pct"/>
            <w:tcBorders>
              <w:top w:val="single" w:color="000000" w:sz="4" w:space="0"/>
              <w:left w:val="single" w:color="000000" w:sz="4" w:space="0"/>
              <w:bottom w:val="single" w:color="000000" w:sz="4" w:space="0"/>
              <w:right w:val="single" w:color="000000" w:sz="4" w:space="0"/>
            </w:tcBorders>
            <w:shd w:val="clear"/>
            <w:noWrap/>
            <w:vAlign w:val="center"/>
          </w:tcPr>
          <w:p w14:paraId="25814FDA">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指标名称</w:t>
            </w:r>
          </w:p>
        </w:tc>
        <w:tc>
          <w:tcPr>
            <w:tcW w:w="538" w:type="pct"/>
            <w:tcBorders>
              <w:top w:val="single" w:color="000000" w:sz="4" w:space="0"/>
              <w:left w:val="single" w:color="000000" w:sz="4" w:space="0"/>
              <w:bottom w:val="single" w:color="000000" w:sz="4" w:space="0"/>
              <w:right w:val="single" w:color="000000" w:sz="4" w:space="0"/>
            </w:tcBorders>
            <w:shd w:val="clear"/>
            <w:noWrap/>
            <w:vAlign w:val="center"/>
          </w:tcPr>
          <w:p w14:paraId="7A748A18">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计量单位</w:t>
            </w:r>
          </w:p>
        </w:tc>
        <w:tc>
          <w:tcPr>
            <w:tcW w:w="540" w:type="pct"/>
            <w:tcBorders>
              <w:top w:val="single" w:color="000000" w:sz="4" w:space="0"/>
              <w:left w:val="single" w:color="000000" w:sz="4" w:space="0"/>
              <w:bottom w:val="single" w:color="000000" w:sz="4" w:space="0"/>
              <w:right w:val="single" w:color="000000" w:sz="4" w:space="0"/>
            </w:tcBorders>
            <w:shd w:val="clear"/>
            <w:noWrap/>
            <w:vAlign w:val="center"/>
          </w:tcPr>
          <w:p w14:paraId="53F889E1">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指标性质</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11B79310">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5B3F81DB">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全年完成值</w:t>
            </w:r>
          </w:p>
        </w:tc>
        <w:tc>
          <w:tcPr>
            <w:tcW w:w="380" w:type="pct"/>
            <w:tcBorders>
              <w:top w:val="single" w:color="000000" w:sz="4" w:space="0"/>
              <w:left w:val="single" w:color="000000" w:sz="4" w:space="0"/>
              <w:bottom w:val="single" w:color="000000" w:sz="4" w:space="0"/>
              <w:right w:val="single" w:color="000000" w:sz="4" w:space="0"/>
            </w:tcBorders>
            <w:shd w:val="clear"/>
            <w:noWrap/>
            <w:vAlign w:val="center"/>
          </w:tcPr>
          <w:p w14:paraId="3FC423D0">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偏离度（%）</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6B7D0AA2">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得分系数（%）</w:t>
            </w:r>
          </w:p>
        </w:tc>
        <w:tc>
          <w:tcPr>
            <w:tcW w:w="449" w:type="pct"/>
            <w:tcBorders>
              <w:top w:val="single" w:color="000000" w:sz="4" w:space="0"/>
              <w:left w:val="single" w:color="000000" w:sz="4" w:space="0"/>
              <w:bottom w:val="single" w:color="000000" w:sz="4" w:space="0"/>
              <w:right w:val="single" w:color="000000" w:sz="4" w:space="0"/>
            </w:tcBorders>
            <w:shd w:val="clear"/>
            <w:noWrap/>
            <w:vAlign w:val="center"/>
          </w:tcPr>
          <w:p w14:paraId="12D4C49A">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指标权重</w:t>
            </w:r>
          </w:p>
        </w:tc>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22B5F29F">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指标得分</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23789D88">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是否核心指标</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2FB212BF">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说明</w:t>
            </w:r>
          </w:p>
        </w:tc>
      </w:tr>
      <w:tr w14:paraId="42B4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9" w:type="pct"/>
            <w:tcBorders>
              <w:top w:val="single" w:color="000000" w:sz="4" w:space="0"/>
              <w:left w:val="single" w:color="000000" w:sz="4" w:space="0"/>
              <w:bottom w:val="single" w:color="000000" w:sz="4" w:space="0"/>
              <w:right w:val="single" w:color="000000" w:sz="4" w:space="0"/>
            </w:tcBorders>
            <w:shd w:val="clear"/>
            <w:noWrap/>
            <w:vAlign w:val="center"/>
          </w:tcPr>
          <w:p w14:paraId="20D27D2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7岁以下儿童健康管理率</w:t>
            </w:r>
          </w:p>
        </w:tc>
        <w:tc>
          <w:tcPr>
            <w:tcW w:w="538" w:type="pct"/>
            <w:tcBorders>
              <w:top w:val="single" w:color="000000" w:sz="4" w:space="0"/>
              <w:left w:val="single" w:color="000000" w:sz="4" w:space="0"/>
              <w:bottom w:val="single" w:color="000000" w:sz="4" w:space="0"/>
              <w:right w:val="single" w:color="000000" w:sz="4" w:space="0"/>
            </w:tcBorders>
            <w:shd w:val="clear"/>
            <w:noWrap/>
            <w:vAlign w:val="center"/>
          </w:tcPr>
          <w:p w14:paraId="0D464A9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noWrap/>
            <w:vAlign w:val="center"/>
          </w:tcPr>
          <w:p w14:paraId="4FA5BA2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471116C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7CFABA3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380" w:type="pct"/>
            <w:tcBorders>
              <w:top w:val="single" w:color="000000" w:sz="4" w:space="0"/>
              <w:left w:val="single" w:color="000000" w:sz="4" w:space="0"/>
              <w:bottom w:val="single" w:color="000000" w:sz="4" w:space="0"/>
              <w:right w:val="single" w:color="000000" w:sz="4" w:space="0"/>
            </w:tcBorders>
            <w:shd w:val="clear"/>
            <w:noWrap/>
            <w:vAlign w:val="center"/>
          </w:tcPr>
          <w:p w14:paraId="0499D0E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72566439">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49" w:type="pct"/>
            <w:tcBorders>
              <w:top w:val="single" w:color="000000" w:sz="4" w:space="0"/>
              <w:left w:val="single" w:color="000000" w:sz="4" w:space="0"/>
              <w:bottom w:val="single" w:color="000000" w:sz="4" w:space="0"/>
              <w:right w:val="single" w:color="000000" w:sz="4" w:space="0"/>
            </w:tcBorders>
            <w:shd w:val="clear"/>
            <w:noWrap/>
            <w:vAlign w:val="center"/>
          </w:tcPr>
          <w:p w14:paraId="44ED9C3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30BA1776">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05D3E8D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5AAF6A1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完成</w:t>
            </w:r>
          </w:p>
        </w:tc>
      </w:tr>
      <w:tr w14:paraId="4F2A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9" w:type="pct"/>
            <w:tcBorders>
              <w:top w:val="single" w:color="000000" w:sz="4" w:space="0"/>
              <w:left w:val="single" w:color="000000" w:sz="4" w:space="0"/>
              <w:bottom w:val="single" w:color="000000" w:sz="4" w:space="0"/>
              <w:right w:val="single" w:color="000000" w:sz="4" w:space="0"/>
            </w:tcBorders>
            <w:shd w:val="clear"/>
            <w:noWrap/>
            <w:vAlign w:val="center"/>
          </w:tcPr>
          <w:p w14:paraId="08ABE44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适龄儿童国家免疫规划疫苗接种率</w:t>
            </w:r>
          </w:p>
        </w:tc>
        <w:tc>
          <w:tcPr>
            <w:tcW w:w="538" w:type="pct"/>
            <w:tcBorders>
              <w:top w:val="single" w:color="000000" w:sz="4" w:space="0"/>
              <w:left w:val="single" w:color="000000" w:sz="4" w:space="0"/>
              <w:bottom w:val="single" w:color="000000" w:sz="4" w:space="0"/>
              <w:right w:val="single" w:color="000000" w:sz="4" w:space="0"/>
            </w:tcBorders>
            <w:shd w:val="clear"/>
            <w:noWrap/>
            <w:vAlign w:val="center"/>
          </w:tcPr>
          <w:p w14:paraId="44F1D52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noWrap/>
            <w:vAlign w:val="center"/>
          </w:tcPr>
          <w:p w14:paraId="27A812C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7F1D856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5887DD9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380" w:type="pct"/>
            <w:tcBorders>
              <w:top w:val="single" w:color="000000" w:sz="4" w:space="0"/>
              <w:left w:val="single" w:color="000000" w:sz="4" w:space="0"/>
              <w:bottom w:val="single" w:color="000000" w:sz="4" w:space="0"/>
              <w:right w:val="single" w:color="000000" w:sz="4" w:space="0"/>
            </w:tcBorders>
            <w:shd w:val="clear"/>
            <w:noWrap/>
            <w:vAlign w:val="center"/>
          </w:tcPr>
          <w:p w14:paraId="2E6B251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5420A489">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49" w:type="pct"/>
            <w:tcBorders>
              <w:top w:val="single" w:color="000000" w:sz="4" w:space="0"/>
              <w:left w:val="single" w:color="000000" w:sz="4" w:space="0"/>
              <w:bottom w:val="single" w:color="000000" w:sz="4" w:space="0"/>
              <w:right w:val="single" w:color="000000" w:sz="4" w:space="0"/>
            </w:tcBorders>
            <w:shd w:val="clear"/>
            <w:noWrap/>
            <w:vAlign w:val="center"/>
          </w:tcPr>
          <w:p w14:paraId="6B422BA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55A37ECE">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6A20FD4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77306D4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完成</w:t>
            </w:r>
          </w:p>
        </w:tc>
      </w:tr>
      <w:tr w14:paraId="0746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9" w:type="pct"/>
            <w:tcBorders>
              <w:top w:val="single" w:color="000000" w:sz="4" w:space="0"/>
              <w:left w:val="single" w:color="000000" w:sz="4" w:space="0"/>
              <w:bottom w:val="single" w:color="000000" w:sz="4" w:space="0"/>
              <w:right w:val="single" w:color="000000" w:sz="4" w:space="0"/>
            </w:tcBorders>
            <w:shd w:val="clear"/>
            <w:noWrap/>
            <w:vAlign w:val="center"/>
          </w:tcPr>
          <w:p w14:paraId="4D28770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城乡居民公共卫生差距</w:t>
            </w:r>
          </w:p>
        </w:tc>
        <w:tc>
          <w:tcPr>
            <w:tcW w:w="538" w:type="pct"/>
            <w:tcBorders>
              <w:top w:val="single" w:color="000000" w:sz="4" w:space="0"/>
              <w:left w:val="single" w:color="000000" w:sz="4" w:space="0"/>
              <w:bottom w:val="single" w:color="000000" w:sz="4" w:space="0"/>
              <w:right w:val="single" w:color="000000" w:sz="4" w:space="0"/>
            </w:tcBorders>
            <w:shd w:val="clear"/>
            <w:noWrap/>
            <w:vAlign w:val="center"/>
          </w:tcPr>
          <w:p w14:paraId="6624777A">
            <w:pPr>
              <w:snapToGrid w:val="0"/>
              <w:jc w:val="left"/>
              <w:rPr>
                <w:rFonts w:hint="eastAsia" w:ascii="宋体" w:hAnsi="宋体" w:eastAsia="宋体" w:cs="宋体"/>
                <w:i w:val="0"/>
                <w:iCs w:val="0"/>
                <w:color w:val="000000"/>
                <w:sz w:val="20"/>
                <w:szCs w:val="20"/>
                <w:u w:val="none"/>
              </w:rPr>
            </w:pPr>
          </w:p>
        </w:tc>
        <w:tc>
          <w:tcPr>
            <w:tcW w:w="540" w:type="pct"/>
            <w:tcBorders>
              <w:top w:val="single" w:color="000000" w:sz="4" w:space="0"/>
              <w:left w:val="single" w:color="000000" w:sz="4" w:space="0"/>
              <w:bottom w:val="single" w:color="000000" w:sz="4" w:space="0"/>
              <w:right w:val="single" w:color="000000" w:sz="4" w:space="0"/>
            </w:tcBorders>
            <w:shd w:val="clear"/>
            <w:noWrap/>
            <w:vAlign w:val="center"/>
          </w:tcPr>
          <w:p w14:paraId="4EDE0C6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定性</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1A29F81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不断缩小</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41F0C35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noWrap/>
            <w:vAlign w:val="center"/>
          </w:tcPr>
          <w:p w14:paraId="2159C85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58554337">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49" w:type="pct"/>
            <w:tcBorders>
              <w:top w:val="single" w:color="000000" w:sz="4" w:space="0"/>
              <w:left w:val="single" w:color="000000" w:sz="4" w:space="0"/>
              <w:bottom w:val="single" w:color="000000" w:sz="4" w:space="0"/>
              <w:right w:val="single" w:color="000000" w:sz="4" w:space="0"/>
            </w:tcBorders>
            <w:shd w:val="clear"/>
            <w:noWrap/>
            <w:vAlign w:val="center"/>
          </w:tcPr>
          <w:p w14:paraId="3D9505C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85" w:type="dxa"/>
            <w:tcBorders>
              <w:top w:val="single" w:color="000000" w:sz="4" w:space="0"/>
              <w:left w:val="single" w:color="000000" w:sz="4" w:space="0"/>
              <w:bottom w:val="single" w:color="000000" w:sz="4" w:space="0"/>
              <w:right w:val="single" w:color="000000" w:sz="4" w:space="0"/>
            </w:tcBorders>
            <w:shd w:val="clear"/>
            <w:noWrap/>
            <w:vAlign w:val="center"/>
          </w:tcPr>
          <w:p w14:paraId="199E25D4">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6575A71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4584425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完成</w:t>
            </w:r>
          </w:p>
        </w:tc>
      </w:tr>
      <w:tr w14:paraId="560FB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9" w:type="pct"/>
            <w:tcBorders>
              <w:top w:val="single" w:color="000000" w:sz="4" w:space="0"/>
              <w:left w:val="single" w:color="000000" w:sz="4" w:space="0"/>
              <w:bottom w:val="single" w:color="000000" w:sz="4" w:space="0"/>
              <w:right w:val="single" w:color="000000" w:sz="4" w:space="0"/>
            </w:tcBorders>
            <w:shd w:val="clear"/>
            <w:noWrap/>
            <w:vAlign w:val="center"/>
          </w:tcPr>
          <w:p w14:paraId="548CE75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居民健康素养水平</w:t>
            </w:r>
          </w:p>
        </w:tc>
        <w:tc>
          <w:tcPr>
            <w:tcW w:w="538" w:type="pct"/>
            <w:tcBorders>
              <w:top w:val="single" w:color="000000" w:sz="4" w:space="0"/>
              <w:left w:val="single" w:color="000000" w:sz="4" w:space="0"/>
              <w:bottom w:val="single" w:color="000000" w:sz="4" w:space="0"/>
              <w:right w:val="single" w:color="000000" w:sz="4" w:space="0"/>
            </w:tcBorders>
            <w:shd w:val="clear"/>
            <w:noWrap/>
            <w:vAlign w:val="center"/>
          </w:tcPr>
          <w:p w14:paraId="2B9A1572">
            <w:pPr>
              <w:snapToGrid w:val="0"/>
              <w:jc w:val="left"/>
              <w:rPr>
                <w:rFonts w:hint="eastAsia" w:ascii="宋体" w:hAnsi="宋体" w:eastAsia="宋体" w:cs="宋体"/>
                <w:i w:val="0"/>
                <w:iCs w:val="0"/>
                <w:color w:val="000000"/>
                <w:sz w:val="20"/>
                <w:szCs w:val="20"/>
                <w:u w:val="none"/>
              </w:rPr>
            </w:pPr>
          </w:p>
        </w:tc>
        <w:tc>
          <w:tcPr>
            <w:tcW w:w="540" w:type="pct"/>
            <w:tcBorders>
              <w:top w:val="single" w:color="000000" w:sz="4" w:space="0"/>
              <w:left w:val="single" w:color="000000" w:sz="4" w:space="0"/>
              <w:bottom w:val="single" w:color="000000" w:sz="4" w:space="0"/>
              <w:right w:val="single" w:color="000000" w:sz="4" w:space="0"/>
            </w:tcBorders>
            <w:shd w:val="clear"/>
            <w:noWrap/>
            <w:vAlign w:val="center"/>
          </w:tcPr>
          <w:p w14:paraId="76C7786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定性</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7205768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不断提高</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601316C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noWrap/>
            <w:vAlign w:val="center"/>
          </w:tcPr>
          <w:p w14:paraId="0F81759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672DB803">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49" w:type="pct"/>
            <w:tcBorders>
              <w:top w:val="single" w:color="000000" w:sz="4" w:space="0"/>
              <w:left w:val="single" w:color="000000" w:sz="4" w:space="0"/>
              <w:bottom w:val="single" w:color="000000" w:sz="4" w:space="0"/>
              <w:right w:val="single" w:color="000000" w:sz="4" w:space="0"/>
            </w:tcBorders>
            <w:shd w:val="clear"/>
            <w:noWrap/>
            <w:vAlign w:val="center"/>
          </w:tcPr>
          <w:p w14:paraId="3643139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85" w:type="dxa"/>
            <w:tcBorders>
              <w:top w:val="single" w:color="000000" w:sz="4" w:space="0"/>
              <w:left w:val="single" w:color="000000" w:sz="4" w:space="0"/>
              <w:bottom w:val="single" w:color="000000" w:sz="4" w:space="0"/>
              <w:right w:val="single" w:color="000000" w:sz="4" w:space="0"/>
            </w:tcBorders>
            <w:shd w:val="clear"/>
            <w:noWrap/>
            <w:vAlign w:val="center"/>
          </w:tcPr>
          <w:p w14:paraId="2B3DF463">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45D4C24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517D32F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完成</w:t>
            </w:r>
          </w:p>
        </w:tc>
      </w:tr>
      <w:tr w14:paraId="7E65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9" w:type="pct"/>
            <w:tcBorders>
              <w:top w:val="single" w:color="000000" w:sz="4" w:space="0"/>
              <w:left w:val="single" w:color="000000" w:sz="4" w:space="0"/>
              <w:bottom w:val="single" w:color="000000" w:sz="4" w:space="0"/>
              <w:right w:val="single" w:color="000000" w:sz="4" w:space="0"/>
            </w:tcBorders>
            <w:shd w:val="clear"/>
            <w:noWrap/>
            <w:vAlign w:val="center"/>
          </w:tcPr>
          <w:p w14:paraId="36EC628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城乡居民对公共卫生服务满意度</w:t>
            </w:r>
          </w:p>
        </w:tc>
        <w:tc>
          <w:tcPr>
            <w:tcW w:w="538" w:type="pct"/>
            <w:tcBorders>
              <w:top w:val="single" w:color="000000" w:sz="4" w:space="0"/>
              <w:left w:val="single" w:color="000000" w:sz="4" w:space="0"/>
              <w:bottom w:val="single" w:color="000000" w:sz="4" w:space="0"/>
              <w:right w:val="single" w:color="000000" w:sz="4" w:space="0"/>
            </w:tcBorders>
            <w:shd w:val="clear"/>
            <w:noWrap/>
            <w:vAlign w:val="center"/>
          </w:tcPr>
          <w:p w14:paraId="418487D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noWrap/>
            <w:vAlign w:val="center"/>
          </w:tcPr>
          <w:p w14:paraId="078FA6E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5E6A801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5353581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380" w:type="pct"/>
            <w:tcBorders>
              <w:top w:val="single" w:color="000000" w:sz="4" w:space="0"/>
              <w:left w:val="single" w:color="000000" w:sz="4" w:space="0"/>
              <w:bottom w:val="single" w:color="000000" w:sz="4" w:space="0"/>
              <w:right w:val="single" w:color="000000" w:sz="4" w:space="0"/>
            </w:tcBorders>
            <w:shd w:val="clear"/>
            <w:noWrap/>
            <w:vAlign w:val="center"/>
          </w:tcPr>
          <w:p w14:paraId="4942D36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7E5DD39D">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49" w:type="pct"/>
            <w:tcBorders>
              <w:top w:val="single" w:color="000000" w:sz="4" w:space="0"/>
              <w:left w:val="single" w:color="000000" w:sz="4" w:space="0"/>
              <w:bottom w:val="single" w:color="000000" w:sz="4" w:space="0"/>
              <w:right w:val="single" w:color="000000" w:sz="4" w:space="0"/>
            </w:tcBorders>
            <w:shd w:val="clear"/>
            <w:noWrap/>
            <w:vAlign w:val="center"/>
          </w:tcPr>
          <w:p w14:paraId="3284D81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5F751828">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bdr w:val="none" w:color="auto" w:sz="0" w:space="0"/>
                <w:lang w:val="en-US" w:eastAsia="zh-CN" w:bidi="ar"/>
              </w:rPr>
              <w:t>10</w:t>
            </w: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42F78E9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1D96288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完成</w:t>
            </w:r>
          </w:p>
        </w:tc>
      </w:tr>
    </w:tbl>
    <w:p w14:paraId="37712F28">
      <w:pPr>
        <w:pStyle w:val="11"/>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lang w:eastAsia="zh-CN"/>
        </w:rPr>
        <w:t>（</w:t>
      </w:r>
      <w:r>
        <w:rPr>
          <w:rFonts w:hint="eastAsia" w:ascii="楷体" w:hAnsi="楷体" w:eastAsia="楷体" w:cs="楷体"/>
          <w:b/>
          <w:bCs/>
          <w:kern w:val="0"/>
          <w:sz w:val="32"/>
          <w:szCs w:val="32"/>
          <w:shd w:val="clear" w:fill="FFFFFF"/>
          <w:lang w:val="en-US" w:eastAsia="zh-CN"/>
        </w:rPr>
        <w:t>二）</w:t>
      </w:r>
      <w:r>
        <w:rPr>
          <w:rFonts w:hint="eastAsia" w:ascii="楷体" w:hAnsi="楷体" w:eastAsia="楷体" w:cs="楷体"/>
          <w:b/>
          <w:bCs/>
          <w:kern w:val="0"/>
          <w:sz w:val="32"/>
          <w:szCs w:val="32"/>
          <w:shd w:val="clear" w:fill="FFFFFF"/>
        </w:rPr>
        <w:t>部门绩效评价情况</w:t>
      </w:r>
    </w:p>
    <w:p w14:paraId="4D992524">
      <w:pPr>
        <w:pStyle w:val="11"/>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仿宋" w:hAnsi="仿宋" w:eastAsia="仿宋" w:cs="仿宋"/>
          <w:b w:val="0"/>
          <w:bCs w:val="0"/>
          <w:kern w:val="0"/>
          <w:sz w:val="32"/>
          <w:szCs w:val="32"/>
          <w:shd w:val="clear" w:fill="FFFFFF"/>
          <w:lang w:val="en-US" w:eastAsia="zh-CN"/>
        </w:rPr>
      </w:pPr>
      <w:r>
        <w:rPr>
          <w:rFonts w:hint="eastAsia" w:ascii="仿宋" w:hAnsi="仿宋" w:eastAsia="仿宋" w:cs="仿宋"/>
          <w:b w:val="0"/>
          <w:bCs w:val="0"/>
          <w:kern w:val="0"/>
          <w:sz w:val="32"/>
          <w:szCs w:val="32"/>
          <w:shd w:val="clear" w:fill="FFFFFF"/>
          <w:lang w:val="en-US" w:eastAsia="zh-CN"/>
        </w:rPr>
        <w:t>我单位未组织开展绩效评价。</w:t>
      </w:r>
    </w:p>
    <w:p w14:paraId="1E6B3F8D">
      <w:pPr>
        <w:pStyle w:val="13"/>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08B5ABE5">
      <w:pPr>
        <w:pStyle w:val="13"/>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仿宋" w:hAnsi="仿宋" w:eastAsia="仿宋" w:cs="仿宋"/>
          <w:kern w:val="0"/>
          <w:sz w:val="32"/>
          <w:szCs w:val="32"/>
          <w:shd w:val="clear" w:fill="FFFFFF"/>
          <w:lang w:eastAsia="zh-CN"/>
        </w:rPr>
      </w:pPr>
      <w:r>
        <w:rPr>
          <w:rFonts w:hint="eastAsia" w:ascii="仿宋" w:hAnsi="仿宋" w:eastAsia="仿宋" w:cs="仿宋"/>
          <w:kern w:val="0"/>
          <w:sz w:val="32"/>
          <w:szCs w:val="32"/>
          <w:shd w:val="clear" w:fill="FFFFFF"/>
          <w:lang w:eastAsia="zh-CN"/>
        </w:rPr>
        <w:t>县</w:t>
      </w:r>
      <w:r>
        <w:rPr>
          <w:rFonts w:hint="eastAsia" w:ascii="仿宋" w:hAnsi="仿宋" w:eastAsia="仿宋" w:cs="仿宋"/>
          <w:kern w:val="0"/>
          <w:sz w:val="32"/>
          <w:szCs w:val="32"/>
          <w:shd w:val="clear" w:fill="FFFFFF"/>
        </w:rPr>
        <w:t>财政局</w:t>
      </w:r>
      <w:r>
        <w:rPr>
          <w:rFonts w:hint="eastAsia" w:ascii="仿宋" w:hAnsi="仿宋" w:eastAsia="仿宋" w:cs="仿宋"/>
          <w:kern w:val="0"/>
          <w:sz w:val="32"/>
          <w:szCs w:val="32"/>
          <w:shd w:val="clear" w:fill="FFFFFF"/>
          <w:lang w:val="en-US" w:eastAsia="zh-CN"/>
        </w:rPr>
        <w:t>未</w:t>
      </w:r>
      <w:r>
        <w:rPr>
          <w:rFonts w:hint="eastAsia" w:ascii="仿宋" w:hAnsi="仿宋" w:eastAsia="仿宋" w:cs="仿宋"/>
          <w:kern w:val="0"/>
          <w:sz w:val="32"/>
          <w:szCs w:val="32"/>
          <w:shd w:val="clear" w:fill="FFFFFF"/>
        </w:rPr>
        <w:t>委托第三方对我单</w:t>
      </w:r>
      <w:r>
        <w:rPr>
          <w:rFonts w:hint="eastAsia" w:ascii="仿宋" w:hAnsi="仿宋" w:eastAsia="仿宋" w:cs="仿宋"/>
          <w:kern w:val="0"/>
          <w:sz w:val="32"/>
          <w:szCs w:val="32"/>
          <w:shd w:val="clear" w:fill="FFFFFF"/>
          <w:lang w:val="en-US" w:eastAsia="zh-CN"/>
        </w:rPr>
        <w:t>位</w:t>
      </w:r>
      <w:r>
        <w:rPr>
          <w:rFonts w:hint="eastAsia" w:ascii="仿宋" w:hAnsi="仿宋" w:eastAsia="仿宋" w:cs="仿宋"/>
          <w:kern w:val="0"/>
          <w:sz w:val="32"/>
          <w:szCs w:val="32"/>
          <w:shd w:val="clear" w:fill="FFFFFF"/>
        </w:rPr>
        <w:t>开展绩效评价</w:t>
      </w:r>
      <w:r>
        <w:rPr>
          <w:rFonts w:hint="eastAsia" w:ascii="仿宋" w:hAnsi="仿宋" w:eastAsia="仿宋" w:cs="仿宋"/>
          <w:kern w:val="0"/>
          <w:sz w:val="32"/>
          <w:szCs w:val="32"/>
          <w:shd w:val="clear" w:fill="FFFFFF"/>
          <w:lang w:eastAsia="zh-CN"/>
        </w:rPr>
        <w:t>。</w:t>
      </w:r>
    </w:p>
    <w:p w14:paraId="7569EFD2">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2"/>
          <w:rFonts w:hint="eastAsia" w:ascii="方正仿宋_GBK" w:hAnsi="方正仿宋_GBK" w:eastAsia="方正仿宋_GBK" w:cs="方正仿宋_GBK"/>
          <w:b/>
          <w:bCs/>
          <w:sz w:val="32"/>
          <w:szCs w:val="32"/>
          <w:shd w:val="clear" w:fill="FFFFFF"/>
        </w:rPr>
        <w:t xml:space="preserve"> </w:t>
      </w:r>
      <w:r>
        <w:rPr>
          <w:rStyle w:val="12"/>
          <w:rFonts w:hint="eastAsia" w:ascii="方正仿宋_GBK" w:hAnsi="方正仿宋_GBK" w:eastAsia="方正仿宋_GBK" w:cs="方正仿宋_GBK"/>
          <w:b/>
          <w:bCs/>
          <w:sz w:val="32"/>
          <w:szCs w:val="32"/>
          <w:shd w:val="clear" w:fill="FFFFFF"/>
          <w:lang w:val="en-US" w:eastAsia="zh-CN"/>
        </w:rPr>
        <w:t xml:space="preserve">  </w:t>
      </w:r>
      <w:r>
        <w:rPr>
          <w:rStyle w:val="9"/>
          <w:rFonts w:hint="eastAsia" w:ascii="黑体" w:hAnsi="黑体" w:eastAsia="黑体" w:cs="黑体"/>
          <w:sz w:val="32"/>
          <w:szCs w:val="32"/>
          <w:shd w:val="clear" w:color="auto" w:fill="FFFFFF"/>
          <w:lang w:val="en-US" w:eastAsia="zh-CN" w:bidi="ar-SA"/>
        </w:rPr>
        <w:t xml:space="preserve"> 六、专业名词解释</w:t>
      </w:r>
    </w:p>
    <w:p w14:paraId="0DABA718">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kern w:val="0"/>
          <w:sz w:val="32"/>
          <w:szCs w:val="32"/>
        </w:rPr>
      </w:pPr>
      <w:r>
        <w:rPr>
          <w:rStyle w:val="9"/>
          <w:rFonts w:hint="eastAsia" w:ascii="楷体" w:hAnsi="楷体" w:eastAsia="楷体" w:cs="楷体"/>
          <w:sz w:val="32"/>
          <w:szCs w:val="32"/>
          <w:shd w:val="clear" w:color="auto" w:fill="FFFFFF"/>
          <w:lang w:val="en-US" w:eastAsia="zh-CN" w:bidi="ar-SA"/>
        </w:rPr>
        <w:t>（一）财政拨款收入：</w:t>
      </w:r>
      <w:r>
        <w:rPr>
          <w:rFonts w:hint="eastAsia" w:ascii="仿宋" w:hAnsi="仿宋" w:eastAsia="仿宋" w:cs="仿宋"/>
          <w:kern w:val="0"/>
          <w:sz w:val="32"/>
          <w:szCs w:val="32"/>
          <w:shd w:val="clear" w:fill="FFFFFF"/>
        </w:rPr>
        <w:t>指本年度从本级财政部门取得的财政拨款，包括一般公共预算财政拨款和政府性基金预算财政拨款。</w:t>
      </w:r>
    </w:p>
    <w:p w14:paraId="362B0FD9">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kern w:val="0"/>
          <w:sz w:val="32"/>
          <w:szCs w:val="32"/>
        </w:rPr>
      </w:pPr>
      <w:r>
        <w:rPr>
          <w:rStyle w:val="9"/>
          <w:rFonts w:hint="eastAsia" w:ascii="楷体" w:hAnsi="楷体" w:eastAsia="楷体" w:cs="楷体"/>
          <w:sz w:val="32"/>
          <w:szCs w:val="32"/>
          <w:shd w:val="clear" w:color="auto" w:fill="FFFFFF"/>
          <w:lang w:val="en-US" w:eastAsia="zh-CN" w:bidi="ar-SA"/>
        </w:rPr>
        <w:t>（二）事业收入：</w:t>
      </w:r>
      <w:r>
        <w:rPr>
          <w:rFonts w:hint="eastAsia" w:ascii="仿宋" w:hAnsi="仿宋" w:eastAsia="仿宋" w:cs="仿宋"/>
          <w:kern w:val="0"/>
          <w:sz w:val="32"/>
          <w:szCs w:val="32"/>
          <w:shd w:val="clear" w:fill="FFFFFF"/>
        </w:rPr>
        <w:t>指事业单位开展专业业务活动及其辅助活动取得的现金流入；事业单位收到的财政专户实际核拨的教育收费等资金在此反映。</w:t>
      </w:r>
    </w:p>
    <w:p w14:paraId="114965FA">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kern w:val="0"/>
          <w:sz w:val="32"/>
          <w:szCs w:val="32"/>
        </w:rPr>
      </w:pPr>
      <w:r>
        <w:rPr>
          <w:rStyle w:val="9"/>
          <w:rFonts w:hint="eastAsia" w:ascii="楷体" w:hAnsi="楷体" w:eastAsia="楷体" w:cs="楷体"/>
          <w:sz w:val="32"/>
          <w:szCs w:val="32"/>
          <w:shd w:val="clear" w:color="auto" w:fill="FFFFFF"/>
          <w:lang w:val="en-US" w:eastAsia="zh-CN" w:bidi="ar-SA"/>
        </w:rPr>
        <w:t>（三）经营收入：</w:t>
      </w:r>
      <w:r>
        <w:rPr>
          <w:rFonts w:hint="eastAsia" w:ascii="仿宋" w:hAnsi="仿宋" w:eastAsia="仿宋" w:cs="仿宋"/>
          <w:kern w:val="0"/>
          <w:sz w:val="32"/>
          <w:szCs w:val="32"/>
          <w:shd w:val="clear" w:fill="FFFFFF"/>
        </w:rPr>
        <w:t>指事业单位在专业业务活动及其辅助活动之外开展非独立核算经营活动取得的现金流入。</w:t>
      </w:r>
    </w:p>
    <w:p w14:paraId="236A367F">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kern w:val="0"/>
          <w:sz w:val="32"/>
          <w:szCs w:val="32"/>
        </w:rPr>
      </w:pPr>
      <w:r>
        <w:rPr>
          <w:rStyle w:val="9"/>
          <w:rFonts w:hint="eastAsia" w:ascii="楷体" w:hAnsi="楷体" w:eastAsia="楷体" w:cs="楷体"/>
          <w:sz w:val="32"/>
          <w:szCs w:val="32"/>
          <w:shd w:val="clear" w:color="auto" w:fill="FFFFFF"/>
          <w:lang w:val="en-US" w:eastAsia="zh-CN" w:bidi="ar-SA"/>
        </w:rPr>
        <w:t>（四）其他收入：</w:t>
      </w:r>
      <w:r>
        <w:rPr>
          <w:rFonts w:hint="eastAsia" w:ascii="仿宋" w:hAnsi="仿宋" w:eastAsia="仿宋" w:cs="仿宋"/>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FC00C19">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kern w:val="0"/>
          <w:sz w:val="32"/>
          <w:szCs w:val="32"/>
        </w:rPr>
      </w:pPr>
      <w:r>
        <w:rPr>
          <w:rStyle w:val="9"/>
          <w:rFonts w:hint="eastAsia" w:ascii="楷体" w:hAnsi="楷体" w:eastAsia="楷体" w:cs="楷体"/>
          <w:sz w:val="32"/>
          <w:szCs w:val="32"/>
          <w:shd w:val="clear" w:color="auto" w:fill="FFFFFF"/>
          <w:lang w:val="en-US" w:eastAsia="zh-CN" w:bidi="ar-SA"/>
        </w:rPr>
        <w:t>（五）使用非财政拨款结余：</w:t>
      </w:r>
      <w:r>
        <w:rPr>
          <w:rFonts w:hint="eastAsia" w:ascii="仿宋" w:hAnsi="仿宋" w:eastAsia="仿宋" w:cs="仿宋"/>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0313B00">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（六）年初结转和结余：</w:t>
      </w:r>
      <w:r>
        <w:rPr>
          <w:rFonts w:hint="eastAsia" w:ascii="仿宋" w:hAnsi="仿宋" w:eastAsia="仿宋" w:cs="仿宋"/>
          <w:kern w:val="0"/>
          <w:sz w:val="32"/>
          <w:szCs w:val="32"/>
          <w:shd w:val="clear" w:fill="FFFFFF"/>
        </w:rPr>
        <w:t>指单位上年结转本年使用的基本支出结转、项目支出结转和结余、经营结余。</w:t>
      </w:r>
    </w:p>
    <w:p w14:paraId="05266F80">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kern w:val="0"/>
          <w:sz w:val="32"/>
          <w:szCs w:val="32"/>
        </w:rPr>
      </w:pPr>
      <w:r>
        <w:rPr>
          <w:rStyle w:val="9"/>
          <w:rFonts w:hint="eastAsia" w:ascii="楷体" w:hAnsi="楷体" w:eastAsia="楷体" w:cs="楷体"/>
          <w:sz w:val="32"/>
          <w:szCs w:val="32"/>
          <w:shd w:val="clear" w:color="auto" w:fill="FFFFFF"/>
          <w:lang w:val="en-US" w:eastAsia="zh-CN" w:bidi="ar-SA"/>
        </w:rPr>
        <w:t>（七）结余分配：</w:t>
      </w:r>
      <w:r>
        <w:rPr>
          <w:rFonts w:hint="eastAsia" w:ascii="仿宋" w:hAnsi="仿宋" w:eastAsia="仿宋" w:cs="仿宋"/>
          <w:kern w:val="0"/>
          <w:sz w:val="32"/>
          <w:szCs w:val="32"/>
          <w:shd w:val="clear" w:fill="FFFFFF"/>
        </w:rPr>
        <w:t>指单位按照国家有关规定，缴纳所得税、提取专用基金、转入非财政拨款结余等当年结余的分配情况。</w:t>
      </w:r>
    </w:p>
    <w:p w14:paraId="21A379B2">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（八）年末结转和结余：</w:t>
      </w:r>
      <w:r>
        <w:rPr>
          <w:rFonts w:hint="eastAsia" w:ascii="仿宋" w:hAnsi="仿宋" w:eastAsia="仿宋" w:cs="仿宋"/>
          <w:kern w:val="0"/>
          <w:sz w:val="32"/>
          <w:szCs w:val="32"/>
          <w:shd w:val="clear" w:fill="FFFFFF"/>
        </w:rPr>
        <w:t>指单位结转下年的基本支出结转、项目支出结转和结余、经营结余。</w:t>
      </w:r>
    </w:p>
    <w:p w14:paraId="2940CE9F">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kern w:val="0"/>
          <w:sz w:val="32"/>
          <w:szCs w:val="32"/>
        </w:rPr>
      </w:pPr>
      <w:r>
        <w:rPr>
          <w:rStyle w:val="9"/>
          <w:rFonts w:hint="eastAsia" w:ascii="楷体" w:hAnsi="楷体" w:eastAsia="楷体" w:cs="楷体"/>
          <w:sz w:val="32"/>
          <w:szCs w:val="32"/>
          <w:shd w:val="clear" w:color="auto" w:fill="FFFFFF"/>
          <w:lang w:val="en-US" w:eastAsia="zh-CN" w:bidi="ar-SA"/>
        </w:rPr>
        <w:t>（九）基本支出：</w:t>
      </w:r>
      <w:r>
        <w:rPr>
          <w:rFonts w:hint="eastAsia" w:ascii="仿宋" w:hAnsi="仿宋" w:eastAsia="仿宋" w:cs="仿宋"/>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36FF778">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（十）项目支出：</w:t>
      </w:r>
      <w:r>
        <w:rPr>
          <w:rFonts w:hint="eastAsia" w:ascii="仿宋" w:hAnsi="仿宋" w:eastAsia="仿宋" w:cs="仿宋"/>
          <w:kern w:val="0"/>
          <w:sz w:val="32"/>
          <w:szCs w:val="32"/>
          <w:shd w:val="clear" w:fill="FFFFFF"/>
        </w:rPr>
        <w:t>指在基本支出之外为完成特定行政任务和事业发展目标所发生的支出。</w:t>
      </w:r>
    </w:p>
    <w:p w14:paraId="0AE912B0">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（十一）经营支出：</w:t>
      </w:r>
      <w:r>
        <w:rPr>
          <w:rFonts w:hint="eastAsia" w:ascii="仿宋" w:hAnsi="仿宋" w:eastAsia="仿宋" w:cs="仿宋"/>
          <w:kern w:val="0"/>
          <w:sz w:val="32"/>
          <w:szCs w:val="32"/>
          <w:shd w:val="clear" w:fill="FFFFFF"/>
        </w:rPr>
        <w:t>指事业单位在专业业务活动及其辅助活动之外开展非独立核算经营活动发生的支出。</w:t>
      </w:r>
    </w:p>
    <w:p w14:paraId="07DE6A0F">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kern w:val="0"/>
          <w:sz w:val="32"/>
          <w:szCs w:val="32"/>
        </w:rPr>
      </w:pPr>
      <w:r>
        <w:rPr>
          <w:rStyle w:val="9"/>
          <w:rFonts w:hint="eastAsia" w:ascii="楷体" w:hAnsi="楷体" w:eastAsia="楷体" w:cs="楷体"/>
          <w:sz w:val="32"/>
          <w:szCs w:val="32"/>
          <w:shd w:val="clear" w:color="auto" w:fill="FFFFFF"/>
          <w:lang w:val="en-US" w:eastAsia="zh-CN" w:bidi="ar-SA"/>
        </w:rPr>
        <w:t>（十二）“三公”经费：</w:t>
      </w:r>
      <w:r>
        <w:rPr>
          <w:rFonts w:hint="eastAsia" w:ascii="仿宋" w:hAnsi="仿宋" w:eastAsia="仿宋" w:cs="仿宋"/>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504EC2E">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kern w:val="0"/>
          <w:sz w:val="32"/>
          <w:szCs w:val="32"/>
        </w:rPr>
      </w:pPr>
      <w:r>
        <w:rPr>
          <w:rStyle w:val="9"/>
          <w:rFonts w:hint="eastAsia" w:ascii="楷体" w:hAnsi="楷体" w:eastAsia="楷体" w:cs="楷体"/>
          <w:sz w:val="32"/>
          <w:szCs w:val="32"/>
          <w:shd w:val="clear" w:color="auto" w:fill="FFFFFF"/>
          <w:lang w:val="en-US" w:eastAsia="zh-CN" w:bidi="ar-SA"/>
        </w:rPr>
        <w:t>（十三）机关运行经费：</w:t>
      </w:r>
      <w:r>
        <w:rPr>
          <w:rFonts w:hint="eastAsia" w:ascii="仿宋" w:hAnsi="仿宋" w:eastAsia="仿宋" w:cs="仿宋"/>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3CBF9CA">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kern w:val="0"/>
          <w:sz w:val="32"/>
          <w:szCs w:val="32"/>
        </w:rPr>
      </w:pPr>
      <w:r>
        <w:rPr>
          <w:rStyle w:val="9"/>
          <w:rFonts w:hint="eastAsia" w:ascii="楷体" w:hAnsi="楷体" w:eastAsia="楷体" w:cs="楷体"/>
          <w:sz w:val="32"/>
          <w:szCs w:val="32"/>
          <w:shd w:val="clear" w:color="auto" w:fill="FFFFFF"/>
          <w:lang w:val="en-US" w:eastAsia="zh-CN" w:bidi="ar-SA"/>
        </w:rPr>
        <w:t>（十四）工资福利支出（支出经济分类科目类级）：</w:t>
      </w:r>
      <w:r>
        <w:rPr>
          <w:rFonts w:hint="eastAsia" w:ascii="仿宋" w:hAnsi="仿宋" w:eastAsia="仿宋" w:cs="仿宋"/>
          <w:kern w:val="0"/>
          <w:sz w:val="32"/>
          <w:szCs w:val="32"/>
          <w:shd w:val="clear" w:fill="FFFFFF"/>
        </w:rPr>
        <w:t>反映单位开支的在职职工和编制外长期聘用人员的各类劳动报酬，以及为上述人员缴纳的各项社会保险费等。</w:t>
      </w:r>
    </w:p>
    <w:p w14:paraId="5D0DB8C1">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kern w:val="0"/>
          <w:sz w:val="32"/>
          <w:szCs w:val="32"/>
        </w:rPr>
      </w:pPr>
      <w:r>
        <w:rPr>
          <w:rStyle w:val="9"/>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仿宋" w:hAnsi="仿宋" w:eastAsia="仿宋" w:cs="仿宋"/>
          <w:kern w:val="0"/>
          <w:sz w:val="32"/>
          <w:szCs w:val="32"/>
          <w:shd w:val="clear" w:fill="FFFFFF"/>
        </w:rPr>
        <w:t>反映单位购买商品和服务的支出（不包括用于购置固定资产的支出、战略性和应急储备支出）。</w:t>
      </w:r>
    </w:p>
    <w:p w14:paraId="448C0A49">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kern w:val="0"/>
          <w:sz w:val="32"/>
          <w:szCs w:val="32"/>
        </w:rPr>
      </w:pPr>
      <w:r>
        <w:rPr>
          <w:rStyle w:val="9"/>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仿宋" w:hAnsi="仿宋" w:eastAsia="仿宋" w:cs="仿宋"/>
          <w:kern w:val="0"/>
          <w:sz w:val="32"/>
          <w:szCs w:val="32"/>
          <w:shd w:val="clear" w:fill="FFFFFF"/>
        </w:rPr>
        <w:t>反映用于对个人和家庭的补助支出。</w:t>
      </w:r>
    </w:p>
    <w:p w14:paraId="125FCEAE">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仿宋" w:hAnsi="仿宋" w:eastAsia="仿宋" w:cs="仿宋"/>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92E9F31">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黑体" w:hAnsi="黑体" w:eastAsia="黑体" w:cs="黑体"/>
          <w:sz w:val="32"/>
          <w:szCs w:val="32"/>
          <w:shd w:val="clear" w:color="auto" w:fill="FFFFFF"/>
          <w:lang w:val="en-US" w:eastAsia="zh-CN" w:bidi="ar-SA"/>
        </w:rPr>
        <w:t>七、决算公开联系方式及信息反馈渠道</w:t>
      </w:r>
    </w:p>
    <w:p w14:paraId="08A681CF">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shd w:val="clear" w:fill="FFFFFF"/>
        </w:rPr>
        <w:t>本单位决算公开信息反馈和联系方式：</w:t>
      </w:r>
    </w:p>
    <w:p w14:paraId="1C14B004">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肖宇：023-51333875</w:t>
      </w:r>
    </w:p>
    <w:p w14:paraId="6572CB65">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680C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636BF70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6190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7138D5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巫溪县兰英乡卫生院</w:t>
            </w:r>
          </w:p>
        </w:tc>
        <w:tc>
          <w:tcPr>
            <w:tcW w:w="4419" w:type="dxa"/>
            <w:tcBorders>
              <w:top w:val="nil"/>
              <w:left w:val="nil"/>
              <w:bottom w:val="nil"/>
              <w:right w:val="nil"/>
            </w:tcBorders>
            <w:shd w:val="clear" w:color="auto" w:fill="auto"/>
            <w:vAlign w:val="bottom"/>
          </w:tcPr>
          <w:p w14:paraId="11B38BE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262A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5899A57">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388E1A9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90A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4A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3C8EBB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A10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D39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49FF9D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21381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3D42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642C8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04E054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47C2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DED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173EE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689EC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6217E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52ED23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7D157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49C8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3587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7EE1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68D2E9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102.55 </w:t>
            </w:r>
          </w:p>
        </w:tc>
        <w:tc>
          <w:tcPr>
            <w:tcW w:w="4950" w:type="dxa"/>
            <w:tcBorders>
              <w:top w:val="nil"/>
              <w:left w:val="nil"/>
              <w:bottom w:val="single" w:color="000000" w:sz="4" w:space="0"/>
              <w:right w:val="single" w:color="000000" w:sz="4" w:space="0"/>
            </w:tcBorders>
            <w:shd w:val="clear" w:color="auto" w:fill="auto"/>
            <w:vAlign w:val="center"/>
          </w:tcPr>
          <w:p w14:paraId="5250A4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1D1BA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E776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7B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C850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258E4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20158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BFA84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7A71A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7A66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36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2AD1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D3D63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31B66F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F3FE0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4C509D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CD3F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6EF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76E0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A6FB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58FA7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4FE75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7232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26AC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2B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87EF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092604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30159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49.96 </w:t>
            </w:r>
          </w:p>
        </w:tc>
        <w:tc>
          <w:tcPr>
            <w:tcW w:w="4950" w:type="dxa"/>
            <w:tcBorders>
              <w:top w:val="nil"/>
              <w:left w:val="nil"/>
              <w:bottom w:val="single" w:color="000000" w:sz="4" w:space="0"/>
              <w:right w:val="single" w:color="000000" w:sz="4" w:space="0"/>
            </w:tcBorders>
            <w:shd w:val="clear" w:color="auto" w:fill="auto"/>
            <w:vAlign w:val="center"/>
          </w:tcPr>
          <w:p w14:paraId="614407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18DEC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1BF0D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3F4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D89A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7CA6A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7E5F0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F3611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2B130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351E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2E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338C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269AB8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E4922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60F26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391C7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AC962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65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4B52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1DB01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5B31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0.02 </w:t>
            </w:r>
          </w:p>
        </w:tc>
        <w:tc>
          <w:tcPr>
            <w:tcW w:w="4950" w:type="dxa"/>
            <w:tcBorders>
              <w:top w:val="nil"/>
              <w:left w:val="nil"/>
              <w:bottom w:val="single" w:color="000000" w:sz="4" w:space="0"/>
              <w:right w:val="single" w:color="000000" w:sz="4" w:space="0"/>
            </w:tcBorders>
            <w:shd w:val="clear" w:color="auto" w:fill="auto"/>
            <w:vAlign w:val="center"/>
          </w:tcPr>
          <w:p w14:paraId="1EDD5B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DC053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25CE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8.27 </w:t>
            </w:r>
          </w:p>
        </w:tc>
      </w:tr>
      <w:tr w14:paraId="0A3BD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1EA3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8B66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DD00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73C70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46A53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D7F0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128.51 </w:t>
            </w:r>
          </w:p>
        </w:tc>
      </w:tr>
      <w:tr w14:paraId="0F23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DE9AC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8040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FF1FF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E9A0E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46327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337417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0A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B2278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81A5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43A3B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4C585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2A6546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3B01A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88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28FC5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B9B74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57E7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B2A50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06C71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5567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9.45 </w:t>
            </w:r>
          </w:p>
        </w:tc>
      </w:tr>
      <w:tr w14:paraId="2669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FD8BF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88597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F0C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16ED8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6F9C4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4C87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C93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01858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A35F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2204EC3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9E250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56FDC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797B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E7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A15EE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133F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3D1ED88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2FBD6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5D5A6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2B19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8F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6AEF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E0F6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4AFE612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DCCC6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2DE06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F47B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46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B207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06A2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6986F63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D5D72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3E63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598E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E33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5776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DF67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7108A19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39156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014A3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60186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E9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5F030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EAEB0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62D19EF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21CB2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75ED23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44F0D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5.04 </w:t>
            </w:r>
          </w:p>
        </w:tc>
      </w:tr>
      <w:tr w14:paraId="6A9F7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8FAD2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32AE0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4FA575A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494F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4824E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358CD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1D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917FD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845C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440280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E2BC0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C117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4619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0A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06F97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E6A3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66E6D2F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7048F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D58E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F66A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58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8608F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73144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7E01F5D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0D48C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4C32B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F87A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67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927A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B98D3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6C652F8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5E65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7F11E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C18D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D5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50EC3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08912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7454C8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AFD8B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5A951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21347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73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3A516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CEF6B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3DF3714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6699C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21B0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1A4B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36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8F91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67202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107DA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152.53 </w:t>
            </w:r>
          </w:p>
        </w:tc>
        <w:tc>
          <w:tcPr>
            <w:tcW w:w="4950" w:type="dxa"/>
            <w:tcBorders>
              <w:top w:val="nil"/>
              <w:left w:val="nil"/>
              <w:bottom w:val="single" w:color="000000" w:sz="4" w:space="0"/>
              <w:right w:val="single" w:color="000000" w:sz="4" w:space="0"/>
            </w:tcBorders>
            <w:shd w:val="clear" w:color="auto" w:fill="auto"/>
            <w:vAlign w:val="center"/>
          </w:tcPr>
          <w:p w14:paraId="0F83A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2E5BE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E438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151.27 </w:t>
            </w:r>
          </w:p>
        </w:tc>
      </w:tr>
      <w:tr w14:paraId="27E9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2B04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02D1E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271472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5EABD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55B30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60457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 </w:t>
            </w:r>
          </w:p>
        </w:tc>
      </w:tr>
      <w:tr w14:paraId="4097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5B4A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5611D3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7B5EB1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C1D36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659760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F540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FB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4D9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558F1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3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152.53 </w:t>
            </w:r>
          </w:p>
        </w:tc>
        <w:tc>
          <w:tcPr>
            <w:tcW w:w="4950" w:type="dxa"/>
            <w:tcBorders>
              <w:top w:val="nil"/>
              <w:left w:val="nil"/>
              <w:bottom w:val="single" w:color="000000" w:sz="4" w:space="0"/>
              <w:right w:val="single" w:color="000000" w:sz="4" w:space="0"/>
            </w:tcBorders>
            <w:shd w:val="clear" w:color="auto" w:fill="auto"/>
            <w:vAlign w:val="center"/>
          </w:tcPr>
          <w:p w14:paraId="6579F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40FAAE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C1E1CF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152.53</w:t>
            </w:r>
          </w:p>
        </w:tc>
      </w:tr>
    </w:tbl>
    <w:p w14:paraId="4674E371">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F03D2AC">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E00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AB9A3C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5402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742BF5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巫溪县兰英乡卫生院</w:t>
            </w:r>
          </w:p>
        </w:tc>
        <w:tc>
          <w:tcPr>
            <w:tcW w:w="2408" w:type="dxa"/>
            <w:tcBorders>
              <w:top w:val="nil"/>
              <w:left w:val="nil"/>
              <w:right w:val="nil"/>
            </w:tcBorders>
            <w:shd w:val="clear" w:color="auto" w:fill="auto"/>
            <w:vAlign w:val="bottom"/>
          </w:tcPr>
          <w:p w14:paraId="1C90DC9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0C11D4A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86F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D89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5F9EA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87FDC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FF50B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D271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EE960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C88A0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C47A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5785D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36A1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F20A2">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05F359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36638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CB041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7E775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35FB6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BBB60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BB486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5918C69">
            <w:pPr>
              <w:jc w:val="center"/>
              <w:rPr>
                <w:rFonts w:hint="eastAsia" w:ascii="宋体" w:hAnsi="宋体" w:eastAsia="宋体" w:cs="宋体"/>
                <w:i w:val="0"/>
                <w:iCs w:val="0"/>
                <w:color w:val="000000"/>
                <w:sz w:val="22"/>
                <w:szCs w:val="22"/>
                <w:u w:val="none"/>
              </w:rPr>
            </w:pPr>
          </w:p>
        </w:tc>
      </w:tr>
      <w:tr w14:paraId="5C6A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44033">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1B47BB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55D5C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5D8F9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2CFA8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486E2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69A57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925AF0">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9A88F07">
            <w:pPr>
              <w:jc w:val="center"/>
              <w:rPr>
                <w:rFonts w:hint="eastAsia" w:ascii="宋体" w:hAnsi="宋体" w:eastAsia="宋体" w:cs="宋体"/>
                <w:i w:val="0"/>
                <w:iCs w:val="0"/>
                <w:color w:val="000000"/>
                <w:sz w:val="22"/>
                <w:szCs w:val="22"/>
                <w:u w:val="none"/>
              </w:rPr>
            </w:pPr>
          </w:p>
        </w:tc>
      </w:tr>
      <w:tr w14:paraId="5E3E7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16C44">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12A43B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31581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5AA30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355A7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D10E5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3A6C9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61D0C0">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D98E9A8">
            <w:pPr>
              <w:jc w:val="center"/>
              <w:rPr>
                <w:rFonts w:hint="eastAsia" w:ascii="宋体" w:hAnsi="宋体" w:eastAsia="宋体" w:cs="宋体"/>
                <w:i w:val="0"/>
                <w:iCs w:val="0"/>
                <w:color w:val="000000"/>
                <w:sz w:val="22"/>
                <w:szCs w:val="22"/>
                <w:u w:val="none"/>
              </w:rPr>
            </w:pPr>
          </w:p>
        </w:tc>
      </w:tr>
      <w:tr w14:paraId="0A93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3BA3C7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799E26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9C5E9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6BCCE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10E2F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1316F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01D775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06101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D0B3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022B9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C3F8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1076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2F2BBC9B">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3D387DB">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896D51C">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20817E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33B8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152.5</w:t>
            </w:r>
            <w:r>
              <w:rPr>
                <w:rFonts w:hint="eastAsia" w:ascii="Times New Roman" w:hAnsi="Times New Roman" w:cs="Times New Roman"/>
                <w:b/>
                <w:bCs/>
                <w:color w:val="000000"/>
                <w:sz w:val="22"/>
                <w:szCs w:val="22"/>
                <w:lang w:val="en-US" w:eastAsia="zh-CN"/>
              </w:rPr>
              <w:t>1</w:t>
            </w:r>
            <w:r>
              <w:rPr>
                <w:rFonts w:hint="default" w:ascii="Times New Roman" w:hAnsi="Times New Roman" w:cs="Times New Roman"/>
                <w:b/>
                <w:bCs/>
                <w:color w:val="000000"/>
                <w:sz w:val="22"/>
                <w:szCs w:val="22"/>
              </w:rPr>
              <w:t xml:space="preserve"> </w:t>
            </w:r>
          </w:p>
        </w:tc>
        <w:tc>
          <w:tcPr>
            <w:tcW w:w="2403" w:type="dxa"/>
            <w:tcBorders>
              <w:top w:val="nil"/>
              <w:left w:val="nil"/>
              <w:bottom w:val="single" w:color="000000" w:sz="4" w:space="0"/>
              <w:right w:val="single" w:color="000000" w:sz="4" w:space="0"/>
            </w:tcBorders>
            <w:shd w:val="clear" w:color="auto" w:fill="auto"/>
            <w:vAlign w:val="center"/>
          </w:tcPr>
          <w:p w14:paraId="64CE58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102.55 </w:t>
            </w:r>
          </w:p>
        </w:tc>
        <w:tc>
          <w:tcPr>
            <w:tcW w:w="2403" w:type="dxa"/>
            <w:tcBorders>
              <w:top w:val="nil"/>
              <w:left w:val="nil"/>
              <w:bottom w:val="single" w:color="000000" w:sz="4" w:space="0"/>
              <w:right w:val="single" w:color="000000" w:sz="4" w:space="0"/>
            </w:tcBorders>
            <w:shd w:val="clear" w:color="auto" w:fill="auto"/>
            <w:vAlign w:val="center"/>
          </w:tcPr>
          <w:p w14:paraId="57652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8D17D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49.96 </w:t>
            </w:r>
          </w:p>
        </w:tc>
        <w:tc>
          <w:tcPr>
            <w:tcW w:w="2403" w:type="dxa"/>
            <w:tcBorders>
              <w:top w:val="nil"/>
              <w:left w:val="nil"/>
              <w:bottom w:val="single" w:color="000000" w:sz="4" w:space="0"/>
              <w:right w:val="single" w:color="000000" w:sz="4" w:space="0"/>
            </w:tcBorders>
            <w:shd w:val="clear" w:color="auto" w:fill="auto"/>
            <w:vAlign w:val="center"/>
          </w:tcPr>
          <w:p w14:paraId="1FC66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BFCC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21F5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0.02 </w:t>
            </w:r>
          </w:p>
        </w:tc>
      </w:tr>
      <w:tr w14:paraId="0E0F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E6AA29">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406F9B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15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9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84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A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C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7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E6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3B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E6DE18">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411BCA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9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2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5C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2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2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4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B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2C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16603D">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FC0DC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81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4B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E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B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E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0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F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BB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AB607E">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072FC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CE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E4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DB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6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F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1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B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0.02 </w:t>
            </w:r>
          </w:p>
        </w:tc>
      </w:tr>
      <w:tr w14:paraId="63E8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D6DF98">
            <w:pPr>
              <w:textAlignment w:val="center"/>
              <w:rPr>
                <w:rFonts w:hint="eastAsia" w:ascii="宋体" w:hAnsi="宋体" w:eastAsia="宋体" w:cs="宋体"/>
                <w:i w:val="0"/>
                <w:iCs w:val="0"/>
                <w:color w:val="000000"/>
                <w:sz w:val="22"/>
                <w:szCs w:val="22"/>
                <w:u w:val="none"/>
              </w:rPr>
            </w:pPr>
            <w:r>
              <w:rPr>
                <w:rFonts w:cs="宋体"/>
                <w:b/>
                <w:color w:val="000000"/>
                <w:sz w:val="22"/>
                <w:szCs w:val="22"/>
              </w:rPr>
              <w:t>21003</w:t>
            </w:r>
          </w:p>
        </w:tc>
        <w:tc>
          <w:tcPr>
            <w:tcW w:w="3900" w:type="dxa"/>
            <w:tcBorders>
              <w:top w:val="nil"/>
              <w:left w:val="nil"/>
              <w:bottom w:val="single" w:color="000000" w:sz="4" w:space="0"/>
              <w:right w:val="single" w:color="000000" w:sz="4" w:space="0"/>
            </w:tcBorders>
            <w:shd w:val="clear" w:color="auto" w:fill="auto"/>
            <w:vAlign w:val="center"/>
          </w:tcPr>
          <w:p w14:paraId="58F99B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基层医疗卫生机构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24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D8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A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2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59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1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2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0.02 </w:t>
            </w:r>
          </w:p>
        </w:tc>
      </w:tr>
      <w:tr w14:paraId="337A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BD5346">
            <w:pPr>
              <w:textAlignment w:val="center"/>
              <w:rPr>
                <w:rFonts w:hint="eastAsia" w:ascii="宋体" w:hAnsi="宋体" w:eastAsia="宋体" w:cs="宋体"/>
                <w:i w:val="0"/>
                <w:iCs w:val="0"/>
                <w:color w:val="000000"/>
                <w:sz w:val="22"/>
                <w:szCs w:val="22"/>
                <w:u w:val="none"/>
              </w:rPr>
            </w:pPr>
            <w:r>
              <w:rPr>
                <w:rFonts w:cs="宋体"/>
                <w:color w:val="000000"/>
                <w:sz w:val="22"/>
                <w:szCs w:val="22"/>
              </w:rPr>
              <w:t>2100302</w:t>
            </w:r>
          </w:p>
        </w:tc>
        <w:tc>
          <w:tcPr>
            <w:tcW w:w="3900" w:type="dxa"/>
            <w:tcBorders>
              <w:top w:val="nil"/>
              <w:left w:val="nil"/>
              <w:bottom w:val="single" w:color="000000" w:sz="4" w:space="0"/>
              <w:right w:val="single" w:color="000000" w:sz="4" w:space="0"/>
            </w:tcBorders>
            <w:shd w:val="clear" w:color="auto" w:fill="auto"/>
            <w:vAlign w:val="center"/>
          </w:tcPr>
          <w:p w14:paraId="549031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乡镇卫生院</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EB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9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8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5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B7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B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E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0.02 </w:t>
            </w:r>
          </w:p>
        </w:tc>
      </w:tr>
      <w:tr w14:paraId="5009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941210">
            <w:pPr>
              <w:textAlignment w:val="center"/>
              <w:rPr>
                <w:rFonts w:hint="eastAsia" w:ascii="宋体" w:hAnsi="宋体" w:eastAsia="宋体" w:cs="宋体"/>
                <w:i w:val="0"/>
                <w:iCs w:val="0"/>
                <w:color w:val="000000"/>
                <w:sz w:val="22"/>
                <w:szCs w:val="22"/>
                <w:u w:val="none"/>
              </w:rPr>
            </w:pPr>
            <w:r>
              <w:rPr>
                <w:rFonts w:cs="宋体"/>
                <w:b/>
                <w:color w:val="000000"/>
                <w:sz w:val="22"/>
                <w:szCs w:val="22"/>
              </w:rPr>
              <w:t>21004</w:t>
            </w:r>
          </w:p>
        </w:tc>
        <w:tc>
          <w:tcPr>
            <w:tcW w:w="3900" w:type="dxa"/>
            <w:tcBorders>
              <w:top w:val="nil"/>
              <w:left w:val="nil"/>
              <w:bottom w:val="single" w:color="000000" w:sz="4" w:space="0"/>
              <w:right w:val="single" w:color="000000" w:sz="4" w:space="0"/>
            </w:tcBorders>
            <w:shd w:val="clear" w:color="auto" w:fill="auto"/>
            <w:vAlign w:val="center"/>
          </w:tcPr>
          <w:p w14:paraId="6B075F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B5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92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9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F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8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B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0C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5B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D8CEED">
            <w:pPr>
              <w:textAlignment w:val="center"/>
              <w:rPr>
                <w:rFonts w:hint="eastAsia" w:ascii="宋体" w:hAnsi="宋体" w:eastAsia="宋体" w:cs="宋体"/>
                <w:i w:val="0"/>
                <w:iCs w:val="0"/>
                <w:color w:val="000000"/>
                <w:sz w:val="22"/>
                <w:szCs w:val="22"/>
                <w:u w:val="none"/>
              </w:rPr>
            </w:pPr>
            <w:r>
              <w:rPr>
                <w:rFonts w:cs="宋体"/>
                <w:color w:val="000000"/>
                <w:sz w:val="22"/>
                <w:szCs w:val="22"/>
              </w:rPr>
              <w:t>2100408</w:t>
            </w:r>
          </w:p>
        </w:tc>
        <w:tc>
          <w:tcPr>
            <w:tcW w:w="3900" w:type="dxa"/>
            <w:tcBorders>
              <w:top w:val="nil"/>
              <w:left w:val="nil"/>
              <w:bottom w:val="single" w:color="000000" w:sz="4" w:space="0"/>
              <w:right w:val="single" w:color="000000" w:sz="4" w:space="0"/>
            </w:tcBorders>
            <w:shd w:val="clear" w:color="auto" w:fill="auto"/>
            <w:vAlign w:val="center"/>
          </w:tcPr>
          <w:p w14:paraId="773D7F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基本公共卫生服务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0F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F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CB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5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5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F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B3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15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C642BD">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F5DB9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0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4C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E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17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59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D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2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DD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3143D6">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6A1FA1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A4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A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0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2F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6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0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97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5B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556EAA">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0CDC94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0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B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6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5F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4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3C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C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5F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2544A6">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7C4BEB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6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0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F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C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4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4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0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B3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583AC6">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038F33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4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C0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28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4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4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8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D6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59E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1B28A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6CAF53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A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C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E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2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4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27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1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AA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3FE10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11404B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1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E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5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A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8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8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7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00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6D25DC">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323F41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7B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61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4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77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E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D4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D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6B953E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729F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CF310D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BF4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7F5551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巫溪县兰英乡卫生院 </w:t>
            </w:r>
          </w:p>
        </w:tc>
        <w:tc>
          <w:tcPr>
            <w:tcW w:w="2741" w:type="dxa"/>
            <w:tcBorders>
              <w:top w:val="nil"/>
              <w:left w:val="nil"/>
              <w:bottom w:val="nil"/>
              <w:right w:val="nil"/>
            </w:tcBorders>
            <w:shd w:val="clear" w:color="auto" w:fill="auto"/>
            <w:vAlign w:val="bottom"/>
          </w:tcPr>
          <w:p w14:paraId="2D34029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1EF0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B263B0B">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583240F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2CC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D6D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A4467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60588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29A13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4E59D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2AD34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4789A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19638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6A1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A4C3F">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C237E2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0FCC16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DF410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BE398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DDFCF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0F8CB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8D797C7">
            <w:pPr>
              <w:jc w:val="center"/>
              <w:rPr>
                <w:rFonts w:hint="eastAsia" w:ascii="宋体" w:hAnsi="宋体" w:eastAsia="宋体" w:cs="宋体"/>
                <w:i w:val="0"/>
                <w:iCs w:val="0"/>
                <w:color w:val="000000"/>
                <w:sz w:val="22"/>
                <w:szCs w:val="22"/>
                <w:u w:val="none"/>
              </w:rPr>
            </w:pPr>
          </w:p>
        </w:tc>
      </w:tr>
      <w:tr w14:paraId="333D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6300B">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8BC520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70277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1367C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D3983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84B1F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DAA66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D5D64F9">
            <w:pPr>
              <w:jc w:val="center"/>
              <w:rPr>
                <w:rFonts w:hint="eastAsia" w:ascii="宋体" w:hAnsi="宋体" w:eastAsia="宋体" w:cs="宋体"/>
                <w:i w:val="0"/>
                <w:iCs w:val="0"/>
                <w:color w:val="000000"/>
                <w:sz w:val="22"/>
                <w:szCs w:val="22"/>
                <w:u w:val="none"/>
              </w:rPr>
            </w:pPr>
          </w:p>
        </w:tc>
      </w:tr>
      <w:tr w14:paraId="6848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EB2A4">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3325CA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B4283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78077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69671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89B5B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4ECBF0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8B76608">
            <w:pPr>
              <w:jc w:val="center"/>
              <w:rPr>
                <w:rFonts w:hint="eastAsia" w:ascii="宋体" w:hAnsi="宋体" w:eastAsia="宋体" w:cs="宋体"/>
                <w:i w:val="0"/>
                <w:iCs w:val="0"/>
                <w:color w:val="000000"/>
                <w:sz w:val="22"/>
                <w:szCs w:val="22"/>
                <w:u w:val="none"/>
              </w:rPr>
            </w:pPr>
          </w:p>
        </w:tc>
      </w:tr>
      <w:tr w14:paraId="67ED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192A6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6E70F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7CD67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2232B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00DDE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07C0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DD9D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32596D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C333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C3D3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3F25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5AE3965">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D48C035">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661B4AD4">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B708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FCB8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151.2</w:t>
            </w:r>
            <w:r>
              <w:rPr>
                <w:rFonts w:hint="eastAsia" w:ascii="Times New Roman" w:hAnsi="Times New Roman" w:cs="Times New Roman"/>
                <w:b/>
                <w:bCs/>
                <w:color w:val="000000"/>
                <w:sz w:val="22"/>
                <w:szCs w:val="22"/>
                <w:lang w:val="en-US" w:eastAsia="zh-CN"/>
              </w:rPr>
              <w:t>6</w:t>
            </w:r>
            <w:r>
              <w:rPr>
                <w:rFonts w:hint="default" w:ascii="Times New Roman" w:hAnsi="Times New Roman" w:cs="Times New Roman"/>
                <w:b/>
                <w:bCs/>
                <w:color w:val="000000"/>
                <w:sz w:val="22"/>
                <w:szCs w:val="22"/>
              </w:rPr>
              <w:t xml:space="preserve"> </w:t>
            </w:r>
          </w:p>
        </w:tc>
        <w:tc>
          <w:tcPr>
            <w:tcW w:w="2737" w:type="dxa"/>
            <w:tcBorders>
              <w:top w:val="nil"/>
              <w:left w:val="nil"/>
              <w:bottom w:val="single" w:color="000000" w:sz="4" w:space="0"/>
              <w:right w:val="single" w:color="000000" w:sz="4" w:space="0"/>
            </w:tcBorders>
            <w:shd w:val="clear" w:color="auto" w:fill="auto"/>
            <w:vAlign w:val="center"/>
          </w:tcPr>
          <w:p w14:paraId="1674E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132.25 </w:t>
            </w:r>
          </w:p>
        </w:tc>
        <w:tc>
          <w:tcPr>
            <w:tcW w:w="2737" w:type="dxa"/>
            <w:tcBorders>
              <w:top w:val="nil"/>
              <w:left w:val="nil"/>
              <w:bottom w:val="single" w:color="000000" w:sz="4" w:space="0"/>
              <w:right w:val="single" w:color="000000" w:sz="4" w:space="0"/>
            </w:tcBorders>
            <w:shd w:val="clear" w:color="auto" w:fill="auto"/>
            <w:vAlign w:val="center"/>
          </w:tcPr>
          <w:p w14:paraId="5B200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19.01 </w:t>
            </w:r>
          </w:p>
        </w:tc>
        <w:tc>
          <w:tcPr>
            <w:tcW w:w="2737" w:type="dxa"/>
            <w:tcBorders>
              <w:top w:val="nil"/>
              <w:left w:val="nil"/>
              <w:bottom w:val="single" w:color="000000" w:sz="4" w:space="0"/>
              <w:right w:val="single" w:color="000000" w:sz="4" w:space="0"/>
            </w:tcBorders>
            <w:shd w:val="clear" w:color="auto" w:fill="auto"/>
            <w:vAlign w:val="center"/>
          </w:tcPr>
          <w:p w14:paraId="0013E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45EF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57ADA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984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F62A45">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E5AF3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3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CB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5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F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9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E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20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440AD5">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7D2A67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2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E9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F7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EC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30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51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A0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2FA45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DE02A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C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A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AF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66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F8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26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B8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E7E95A">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68EFF3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1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F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C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F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A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4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BA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86163C">
            <w:pPr>
              <w:textAlignment w:val="center"/>
              <w:rPr>
                <w:rFonts w:hint="eastAsia" w:ascii="宋体" w:hAnsi="宋体" w:eastAsia="宋体" w:cs="宋体"/>
                <w:i w:val="0"/>
                <w:iCs w:val="0"/>
                <w:color w:val="000000"/>
                <w:sz w:val="22"/>
                <w:szCs w:val="22"/>
                <w:u w:val="none"/>
              </w:rPr>
            </w:pPr>
            <w:r>
              <w:rPr>
                <w:rFonts w:cs="宋体"/>
                <w:b/>
                <w:color w:val="000000"/>
                <w:sz w:val="22"/>
                <w:szCs w:val="22"/>
              </w:rPr>
              <w:t>21003</w:t>
            </w:r>
          </w:p>
        </w:tc>
        <w:tc>
          <w:tcPr>
            <w:tcW w:w="4433" w:type="dxa"/>
            <w:tcBorders>
              <w:top w:val="nil"/>
              <w:left w:val="nil"/>
              <w:bottom w:val="single" w:color="000000" w:sz="4" w:space="0"/>
              <w:right w:val="single" w:color="000000" w:sz="4" w:space="0"/>
            </w:tcBorders>
            <w:shd w:val="clear" w:color="auto" w:fill="auto"/>
            <w:vAlign w:val="center"/>
          </w:tcPr>
          <w:p w14:paraId="1D5BE8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基层医疗卫生机构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C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4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4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5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F1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C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0E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7F1792">
            <w:pPr>
              <w:textAlignment w:val="center"/>
              <w:rPr>
                <w:rFonts w:hint="eastAsia" w:ascii="宋体" w:hAnsi="宋体" w:eastAsia="宋体" w:cs="宋体"/>
                <w:i w:val="0"/>
                <w:iCs w:val="0"/>
                <w:color w:val="000000"/>
                <w:sz w:val="22"/>
                <w:szCs w:val="22"/>
                <w:u w:val="none"/>
              </w:rPr>
            </w:pPr>
            <w:r>
              <w:rPr>
                <w:rFonts w:cs="宋体"/>
                <w:color w:val="000000"/>
                <w:sz w:val="22"/>
                <w:szCs w:val="22"/>
              </w:rPr>
              <w:t>2100302</w:t>
            </w:r>
          </w:p>
        </w:tc>
        <w:tc>
          <w:tcPr>
            <w:tcW w:w="4433" w:type="dxa"/>
            <w:tcBorders>
              <w:top w:val="nil"/>
              <w:left w:val="nil"/>
              <w:bottom w:val="single" w:color="000000" w:sz="4" w:space="0"/>
              <w:right w:val="single" w:color="000000" w:sz="4" w:space="0"/>
            </w:tcBorders>
            <w:shd w:val="clear" w:color="auto" w:fill="auto"/>
            <w:vAlign w:val="center"/>
          </w:tcPr>
          <w:p w14:paraId="6950CB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乡镇卫生院</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5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8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51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2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5F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8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10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DB0D21">
            <w:pPr>
              <w:textAlignment w:val="center"/>
              <w:rPr>
                <w:rFonts w:hint="eastAsia" w:ascii="宋体" w:hAnsi="宋体" w:eastAsia="宋体" w:cs="宋体"/>
                <w:i w:val="0"/>
                <w:iCs w:val="0"/>
                <w:color w:val="000000"/>
                <w:sz w:val="22"/>
                <w:szCs w:val="22"/>
                <w:u w:val="none"/>
              </w:rPr>
            </w:pPr>
            <w:r>
              <w:rPr>
                <w:rFonts w:cs="宋体"/>
                <w:b/>
                <w:color w:val="000000"/>
                <w:sz w:val="22"/>
                <w:szCs w:val="22"/>
              </w:rPr>
              <w:t>21004</w:t>
            </w:r>
          </w:p>
        </w:tc>
        <w:tc>
          <w:tcPr>
            <w:tcW w:w="4433" w:type="dxa"/>
            <w:tcBorders>
              <w:top w:val="nil"/>
              <w:left w:val="nil"/>
              <w:bottom w:val="single" w:color="000000" w:sz="4" w:space="0"/>
              <w:right w:val="single" w:color="000000" w:sz="4" w:space="0"/>
            </w:tcBorders>
            <w:shd w:val="clear" w:color="auto" w:fill="auto"/>
            <w:vAlign w:val="center"/>
          </w:tcPr>
          <w:p w14:paraId="7EF46F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D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23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15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0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57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D8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72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BE92B9">
            <w:pPr>
              <w:textAlignment w:val="center"/>
              <w:rPr>
                <w:rFonts w:hint="eastAsia" w:ascii="宋体" w:hAnsi="宋体" w:eastAsia="宋体" w:cs="宋体"/>
                <w:i w:val="0"/>
                <w:iCs w:val="0"/>
                <w:color w:val="000000"/>
                <w:sz w:val="22"/>
                <w:szCs w:val="22"/>
                <w:u w:val="none"/>
              </w:rPr>
            </w:pPr>
            <w:r>
              <w:rPr>
                <w:rFonts w:cs="宋体"/>
                <w:color w:val="000000"/>
                <w:sz w:val="22"/>
                <w:szCs w:val="22"/>
              </w:rPr>
              <w:t>2100408</w:t>
            </w:r>
          </w:p>
        </w:tc>
        <w:tc>
          <w:tcPr>
            <w:tcW w:w="4433" w:type="dxa"/>
            <w:tcBorders>
              <w:top w:val="nil"/>
              <w:left w:val="nil"/>
              <w:bottom w:val="single" w:color="000000" w:sz="4" w:space="0"/>
              <w:right w:val="single" w:color="000000" w:sz="4" w:space="0"/>
            </w:tcBorders>
            <w:shd w:val="clear" w:color="auto" w:fill="auto"/>
            <w:vAlign w:val="center"/>
          </w:tcPr>
          <w:p w14:paraId="23420B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基本公共卫生服务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81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B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6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7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F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7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26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AE530B">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0411C8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1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80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7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F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F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BD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BA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3968BE">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7BFC48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0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B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C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C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8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B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FC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224C7C">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3AAA72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5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45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57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3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B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6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33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6AE3C5">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13F98E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9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C2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6D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C4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95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D6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98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BBE50D">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455FD5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5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9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F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36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4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9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FD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336646">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255750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F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A1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87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28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12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6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8B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8893B2">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54C617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C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03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CD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9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9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0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52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0ED1E8">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0B8877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F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9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C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B6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3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38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DBEDB2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572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8DB883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2179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31415E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巫溪县兰英乡卫生院</w:t>
            </w:r>
          </w:p>
        </w:tc>
        <w:tc>
          <w:tcPr>
            <w:tcW w:w="2874" w:type="dxa"/>
            <w:tcBorders>
              <w:top w:val="nil"/>
              <w:left w:val="nil"/>
              <w:bottom w:val="nil"/>
              <w:right w:val="nil"/>
            </w:tcBorders>
            <w:shd w:val="clear" w:color="auto" w:fill="auto"/>
            <w:vAlign w:val="bottom"/>
          </w:tcPr>
          <w:p w14:paraId="5A4D2C9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19A5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298FF92">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446D305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4AA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ECB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69BA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327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EB5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4A5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5FC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9C9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D58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E27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7D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37D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176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5B3A4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5817F">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A16A">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A43B8">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D576">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BFE4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BB986">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F26B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0ADAE">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467DA">
            <w:pPr>
              <w:jc w:val="center"/>
              <w:rPr>
                <w:rFonts w:hint="eastAsia" w:ascii="宋体" w:hAnsi="宋体" w:eastAsia="宋体" w:cs="宋体"/>
                <w:i w:val="0"/>
                <w:iCs w:val="0"/>
                <w:color w:val="000000"/>
                <w:sz w:val="22"/>
                <w:szCs w:val="22"/>
                <w:u w:val="none"/>
              </w:rPr>
            </w:pPr>
          </w:p>
        </w:tc>
      </w:tr>
      <w:tr w14:paraId="1F24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1E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528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B9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71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491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F2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94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B4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F5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E01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45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08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35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102.55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E0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2B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84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A5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6A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16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C3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48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F3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41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BA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03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D9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9B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19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D8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13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B5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BE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7E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E1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47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D1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89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56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91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56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76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48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0628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F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5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FB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20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FF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8B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D4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B02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60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D4836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0B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CA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B2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D4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A0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4D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B8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95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ED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856E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A7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9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64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C7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DF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B7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6EE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3BB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69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7C088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E7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33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D6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2B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30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D1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FC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98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71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3C5C6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43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B4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17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65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6A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6E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0C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B58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7D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0FAE4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3E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C7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A9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EB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CE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31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7A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B6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4B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884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23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D2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89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7D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22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CE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3A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24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20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DE2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45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46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D6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C6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57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0E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23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240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F8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81B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48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23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9B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AD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97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43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91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65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79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ED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36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C0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28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A3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89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70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B6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E45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31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F10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F4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84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A3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CC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2F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92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A2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760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C3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C71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75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2A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8E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F7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15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93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09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CD1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2A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A2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9E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8A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CB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9A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28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15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FA3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C0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07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50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F9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C4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25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F1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F5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FA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EA0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51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74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34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E9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92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96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78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3C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D3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F76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56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9E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408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30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25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5E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37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87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87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FA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CCE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1E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38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92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C5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C4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DA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75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8B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2D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D0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8D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041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DF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64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18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C7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F2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14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C4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DA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91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FD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D6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7F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2F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5D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A6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18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95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A9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A0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789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3D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E5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4E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32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A8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2B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D6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2BB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94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0DF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6B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02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B6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46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9D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43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B5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B3A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DC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002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79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A9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44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39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72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DF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28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67B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E9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F4A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B0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6E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DD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D8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58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AA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63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A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26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26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102.55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63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CA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29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FF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92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62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C0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95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CF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38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00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46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BE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89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56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D8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CC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AB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05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32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21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79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1928A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FDA8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91CB9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B67A2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13B7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F6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EB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72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5BA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70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CF9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B90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162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E1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F08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CB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FF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1E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16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BD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E61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A5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06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2C4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490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53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10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5E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102.55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72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0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0C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BD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27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0D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3A205902">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F87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774B54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DAB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98C2F16">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巫溪县兰英乡卫生院</w:t>
            </w:r>
          </w:p>
        </w:tc>
        <w:tc>
          <w:tcPr>
            <w:tcW w:w="1156" w:type="dxa"/>
            <w:tcBorders>
              <w:top w:val="nil"/>
              <w:left w:val="nil"/>
              <w:bottom w:val="nil"/>
              <w:right w:val="nil"/>
            </w:tcBorders>
            <w:shd w:val="clear" w:color="auto" w:fill="auto"/>
            <w:vAlign w:val="bottom"/>
          </w:tcPr>
          <w:p w14:paraId="2E71DC8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7450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DF9EC6C">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373772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061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59C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F53F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981E5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8688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B16A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F35E0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94F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BB7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F1CF0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30A13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3C4F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62A8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B7A1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81855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C882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6983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DA25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27D1D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1B65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9891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7DCF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C27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134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20A0F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8E702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53823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36DF8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0A9AB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2681B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F2F8B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B4D5A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E3537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CE4C9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47E1D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EC929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1F724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A5323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D7C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9E6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7F93D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383E3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24630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0B2C5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0EA73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0B8E3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8BD7F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3615B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F1DC7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27F8B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42B14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1D2AD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9735B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8FFB9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ED5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AB9C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0D3A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E4D8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E23B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BEB9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3738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D615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C1D3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6C2C3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57EF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4520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1F86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70BA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6DE1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CF28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7B242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3D2F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FFF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9A941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6EB61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D1424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A8C5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83ED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E28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474A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B798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102.55 </w:t>
            </w:r>
          </w:p>
        </w:tc>
        <w:tc>
          <w:tcPr>
            <w:tcW w:w="1666" w:type="dxa"/>
            <w:tcBorders>
              <w:top w:val="nil"/>
              <w:left w:val="nil"/>
              <w:bottom w:val="single" w:color="000000" w:sz="4" w:space="0"/>
              <w:right w:val="single" w:color="000000" w:sz="4" w:space="0"/>
            </w:tcBorders>
            <w:shd w:val="clear" w:color="auto" w:fill="auto"/>
            <w:vAlign w:val="center"/>
          </w:tcPr>
          <w:p w14:paraId="7CED82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83.54 </w:t>
            </w:r>
          </w:p>
        </w:tc>
        <w:tc>
          <w:tcPr>
            <w:tcW w:w="1684" w:type="dxa"/>
            <w:tcBorders>
              <w:top w:val="nil"/>
              <w:left w:val="nil"/>
              <w:bottom w:val="single" w:color="000000" w:sz="4" w:space="0"/>
              <w:right w:val="single" w:color="000000" w:sz="4" w:space="0"/>
            </w:tcBorders>
            <w:shd w:val="clear" w:color="auto" w:fill="auto"/>
            <w:vAlign w:val="center"/>
          </w:tcPr>
          <w:p w14:paraId="2388D2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19.01 </w:t>
            </w:r>
          </w:p>
        </w:tc>
        <w:tc>
          <w:tcPr>
            <w:tcW w:w="1750" w:type="dxa"/>
            <w:tcBorders>
              <w:top w:val="nil"/>
              <w:left w:val="nil"/>
              <w:bottom w:val="single" w:color="000000" w:sz="4" w:space="0"/>
              <w:right w:val="single" w:color="000000" w:sz="4" w:space="0"/>
            </w:tcBorders>
            <w:shd w:val="clear" w:color="auto" w:fill="auto"/>
            <w:vAlign w:val="center"/>
          </w:tcPr>
          <w:p w14:paraId="22E7DD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102.55 </w:t>
            </w:r>
          </w:p>
        </w:tc>
        <w:tc>
          <w:tcPr>
            <w:tcW w:w="1700" w:type="dxa"/>
            <w:tcBorders>
              <w:top w:val="nil"/>
              <w:left w:val="nil"/>
              <w:bottom w:val="single" w:color="000000" w:sz="4" w:space="0"/>
              <w:right w:val="single" w:color="000000" w:sz="4" w:space="0"/>
            </w:tcBorders>
            <w:shd w:val="clear" w:color="auto" w:fill="auto"/>
            <w:vAlign w:val="center"/>
          </w:tcPr>
          <w:p w14:paraId="635383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83.54 </w:t>
            </w:r>
          </w:p>
        </w:tc>
        <w:tc>
          <w:tcPr>
            <w:tcW w:w="1733" w:type="dxa"/>
            <w:tcBorders>
              <w:top w:val="nil"/>
              <w:left w:val="nil"/>
              <w:bottom w:val="single" w:color="000000" w:sz="4" w:space="0"/>
              <w:right w:val="single" w:color="000000" w:sz="4" w:space="0"/>
            </w:tcBorders>
            <w:shd w:val="clear" w:color="auto" w:fill="auto"/>
            <w:vAlign w:val="center"/>
          </w:tcPr>
          <w:p w14:paraId="3DD03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19.01 </w:t>
            </w:r>
          </w:p>
        </w:tc>
        <w:tc>
          <w:tcPr>
            <w:tcW w:w="1583" w:type="dxa"/>
            <w:tcBorders>
              <w:top w:val="nil"/>
              <w:left w:val="nil"/>
              <w:bottom w:val="single" w:color="000000" w:sz="4" w:space="0"/>
              <w:right w:val="single" w:color="000000" w:sz="4" w:space="0"/>
            </w:tcBorders>
            <w:shd w:val="clear" w:color="auto" w:fill="auto"/>
            <w:vAlign w:val="center"/>
          </w:tcPr>
          <w:p w14:paraId="244B3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201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2DA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FDB8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CD7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6F56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CE6DA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0A70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35C6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B72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2476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8.27 </w:t>
            </w:r>
          </w:p>
        </w:tc>
        <w:tc>
          <w:tcPr>
            <w:tcW w:w="1666" w:type="dxa"/>
            <w:tcBorders>
              <w:top w:val="nil"/>
              <w:left w:val="nil"/>
              <w:bottom w:val="single" w:color="000000" w:sz="4" w:space="0"/>
              <w:right w:val="single" w:color="000000" w:sz="4" w:space="0"/>
            </w:tcBorders>
            <w:shd w:val="clear" w:color="auto" w:fill="auto"/>
            <w:vAlign w:val="center"/>
          </w:tcPr>
          <w:p w14:paraId="3E930E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8.27 </w:t>
            </w:r>
          </w:p>
        </w:tc>
        <w:tc>
          <w:tcPr>
            <w:tcW w:w="1684" w:type="dxa"/>
            <w:tcBorders>
              <w:top w:val="nil"/>
              <w:left w:val="nil"/>
              <w:bottom w:val="single" w:color="000000" w:sz="4" w:space="0"/>
              <w:right w:val="single" w:color="000000" w:sz="4" w:space="0"/>
            </w:tcBorders>
            <w:shd w:val="clear" w:color="auto" w:fill="auto"/>
            <w:vAlign w:val="center"/>
          </w:tcPr>
          <w:p w14:paraId="57CD0B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676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8.27 </w:t>
            </w:r>
          </w:p>
        </w:tc>
        <w:tc>
          <w:tcPr>
            <w:tcW w:w="1700" w:type="dxa"/>
            <w:tcBorders>
              <w:top w:val="nil"/>
              <w:left w:val="nil"/>
              <w:bottom w:val="single" w:color="000000" w:sz="4" w:space="0"/>
              <w:right w:val="single" w:color="000000" w:sz="4" w:space="0"/>
            </w:tcBorders>
            <w:shd w:val="clear" w:color="auto" w:fill="auto"/>
            <w:vAlign w:val="center"/>
          </w:tcPr>
          <w:p w14:paraId="0E0D89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8.27 </w:t>
            </w:r>
          </w:p>
        </w:tc>
        <w:tc>
          <w:tcPr>
            <w:tcW w:w="1733" w:type="dxa"/>
            <w:tcBorders>
              <w:top w:val="nil"/>
              <w:left w:val="nil"/>
              <w:bottom w:val="single" w:color="000000" w:sz="4" w:space="0"/>
              <w:right w:val="single" w:color="000000" w:sz="4" w:space="0"/>
            </w:tcBorders>
            <w:shd w:val="clear" w:color="auto" w:fill="auto"/>
            <w:vAlign w:val="center"/>
          </w:tcPr>
          <w:p w14:paraId="1E581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C1C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179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D30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A15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30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55D1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41E6B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BA847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9DDB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1D8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D605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8.27 </w:t>
            </w:r>
          </w:p>
        </w:tc>
        <w:tc>
          <w:tcPr>
            <w:tcW w:w="1666" w:type="dxa"/>
            <w:tcBorders>
              <w:top w:val="nil"/>
              <w:left w:val="nil"/>
              <w:bottom w:val="single" w:color="000000" w:sz="4" w:space="0"/>
              <w:right w:val="single" w:color="000000" w:sz="4" w:space="0"/>
            </w:tcBorders>
            <w:shd w:val="clear" w:color="auto" w:fill="auto"/>
            <w:vAlign w:val="center"/>
          </w:tcPr>
          <w:p w14:paraId="66963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8.27 </w:t>
            </w:r>
          </w:p>
        </w:tc>
        <w:tc>
          <w:tcPr>
            <w:tcW w:w="1684" w:type="dxa"/>
            <w:tcBorders>
              <w:top w:val="nil"/>
              <w:left w:val="nil"/>
              <w:bottom w:val="single" w:color="000000" w:sz="4" w:space="0"/>
              <w:right w:val="single" w:color="000000" w:sz="4" w:space="0"/>
            </w:tcBorders>
            <w:shd w:val="clear" w:color="auto" w:fill="auto"/>
            <w:vAlign w:val="center"/>
          </w:tcPr>
          <w:p w14:paraId="0A2D80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A156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8.27 </w:t>
            </w:r>
          </w:p>
        </w:tc>
        <w:tc>
          <w:tcPr>
            <w:tcW w:w="1700" w:type="dxa"/>
            <w:tcBorders>
              <w:top w:val="nil"/>
              <w:left w:val="nil"/>
              <w:bottom w:val="single" w:color="000000" w:sz="4" w:space="0"/>
              <w:right w:val="single" w:color="000000" w:sz="4" w:space="0"/>
            </w:tcBorders>
            <w:shd w:val="clear" w:color="auto" w:fill="auto"/>
            <w:vAlign w:val="center"/>
          </w:tcPr>
          <w:p w14:paraId="0DE84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8.27 </w:t>
            </w:r>
          </w:p>
        </w:tc>
        <w:tc>
          <w:tcPr>
            <w:tcW w:w="1733" w:type="dxa"/>
            <w:tcBorders>
              <w:top w:val="nil"/>
              <w:left w:val="nil"/>
              <w:bottom w:val="single" w:color="000000" w:sz="4" w:space="0"/>
              <w:right w:val="single" w:color="000000" w:sz="4" w:space="0"/>
            </w:tcBorders>
            <w:shd w:val="clear" w:color="auto" w:fill="auto"/>
            <w:vAlign w:val="center"/>
          </w:tcPr>
          <w:p w14:paraId="0FA40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A71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A37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AB1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258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86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006B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40597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B4B28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CAE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94D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21F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8.27 </w:t>
            </w:r>
          </w:p>
        </w:tc>
        <w:tc>
          <w:tcPr>
            <w:tcW w:w="1666" w:type="dxa"/>
            <w:tcBorders>
              <w:top w:val="nil"/>
              <w:left w:val="nil"/>
              <w:bottom w:val="single" w:color="000000" w:sz="4" w:space="0"/>
              <w:right w:val="single" w:color="000000" w:sz="4" w:space="0"/>
            </w:tcBorders>
            <w:shd w:val="clear" w:color="auto" w:fill="auto"/>
            <w:vAlign w:val="center"/>
          </w:tcPr>
          <w:p w14:paraId="1B817A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8.27 </w:t>
            </w:r>
          </w:p>
        </w:tc>
        <w:tc>
          <w:tcPr>
            <w:tcW w:w="1684" w:type="dxa"/>
            <w:tcBorders>
              <w:top w:val="nil"/>
              <w:left w:val="nil"/>
              <w:bottom w:val="single" w:color="000000" w:sz="4" w:space="0"/>
              <w:right w:val="single" w:color="000000" w:sz="4" w:space="0"/>
            </w:tcBorders>
            <w:shd w:val="clear" w:color="auto" w:fill="auto"/>
            <w:vAlign w:val="center"/>
          </w:tcPr>
          <w:p w14:paraId="2A7EB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1D5EB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8.27 </w:t>
            </w:r>
          </w:p>
        </w:tc>
        <w:tc>
          <w:tcPr>
            <w:tcW w:w="1700" w:type="dxa"/>
            <w:tcBorders>
              <w:top w:val="nil"/>
              <w:left w:val="nil"/>
              <w:bottom w:val="single" w:color="000000" w:sz="4" w:space="0"/>
              <w:right w:val="single" w:color="000000" w:sz="4" w:space="0"/>
            </w:tcBorders>
            <w:shd w:val="clear" w:color="auto" w:fill="auto"/>
            <w:vAlign w:val="center"/>
          </w:tcPr>
          <w:p w14:paraId="1805BE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8.27 </w:t>
            </w:r>
          </w:p>
        </w:tc>
        <w:tc>
          <w:tcPr>
            <w:tcW w:w="1733" w:type="dxa"/>
            <w:tcBorders>
              <w:top w:val="nil"/>
              <w:left w:val="nil"/>
              <w:bottom w:val="single" w:color="000000" w:sz="4" w:space="0"/>
              <w:right w:val="single" w:color="000000" w:sz="4" w:space="0"/>
            </w:tcBorders>
            <w:shd w:val="clear" w:color="auto" w:fill="auto"/>
            <w:vAlign w:val="center"/>
          </w:tcPr>
          <w:p w14:paraId="4EE7EC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F87A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BE4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6C8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E7C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4D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AFD0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B6764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D62A5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E545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78F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FC4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79.79 </w:t>
            </w:r>
          </w:p>
        </w:tc>
        <w:tc>
          <w:tcPr>
            <w:tcW w:w="1666" w:type="dxa"/>
            <w:tcBorders>
              <w:top w:val="nil"/>
              <w:left w:val="nil"/>
              <w:bottom w:val="single" w:color="000000" w:sz="4" w:space="0"/>
              <w:right w:val="single" w:color="000000" w:sz="4" w:space="0"/>
            </w:tcBorders>
            <w:shd w:val="clear" w:color="auto" w:fill="auto"/>
            <w:vAlign w:val="center"/>
          </w:tcPr>
          <w:p w14:paraId="1A0D4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60.78 </w:t>
            </w:r>
          </w:p>
        </w:tc>
        <w:tc>
          <w:tcPr>
            <w:tcW w:w="1684" w:type="dxa"/>
            <w:tcBorders>
              <w:top w:val="nil"/>
              <w:left w:val="nil"/>
              <w:bottom w:val="single" w:color="000000" w:sz="4" w:space="0"/>
              <w:right w:val="single" w:color="000000" w:sz="4" w:space="0"/>
            </w:tcBorders>
            <w:shd w:val="clear" w:color="auto" w:fill="auto"/>
            <w:vAlign w:val="center"/>
          </w:tcPr>
          <w:p w14:paraId="36745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19.01 </w:t>
            </w:r>
          </w:p>
        </w:tc>
        <w:tc>
          <w:tcPr>
            <w:tcW w:w="1750" w:type="dxa"/>
            <w:tcBorders>
              <w:top w:val="nil"/>
              <w:left w:val="nil"/>
              <w:bottom w:val="single" w:color="000000" w:sz="4" w:space="0"/>
              <w:right w:val="single" w:color="000000" w:sz="4" w:space="0"/>
            </w:tcBorders>
            <w:shd w:val="clear" w:color="auto" w:fill="auto"/>
            <w:vAlign w:val="center"/>
          </w:tcPr>
          <w:p w14:paraId="20A024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79.79 </w:t>
            </w:r>
          </w:p>
        </w:tc>
        <w:tc>
          <w:tcPr>
            <w:tcW w:w="1700" w:type="dxa"/>
            <w:tcBorders>
              <w:top w:val="nil"/>
              <w:left w:val="nil"/>
              <w:bottom w:val="single" w:color="000000" w:sz="4" w:space="0"/>
              <w:right w:val="single" w:color="000000" w:sz="4" w:space="0"/>
            </w:tcBorders>
            <w:shd w:val="clear" w:color="auto" w:fill="auto"/>
            <w:vAlign w:val="center"/>
          </w:tcPr>
          <w:p w14:paraId="0D436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60.78 </w:t>
            </w:r>
          </w:p>
        </w:tc>
        <w:tc>
          <w:tcPr>
            <w:tcW w:w="1733" w:type="dxa"/>
            <w:tcBorders>
              <w:top w:val="nil"/>
              <w:left w:val="nil"/>
              <w:bottom w:val="single" w:color="000000" w:sz="4" w:space="0"/>
              <w:right w:val="single" w:color="000000" w:sz="4" w:space="0"/>
            </w:tcBorders>
            <w:shd w:val="clear" w:color="auto" w:fill="auto"/>
            <w:vAlign w:val="center"/>
          </w:tcPr>
          <w:p w14:paraId="125D6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19.01 </w:t>
            </w:r>
          </w:p>
        </w:tc>
        <w:tc>
          <w:tcPr>
            <w:tcW w:w="1583" w:type="dxa"/>
            <w:tcBorders>
              <w:top w:val="nil"/>
              <w:left w:val="nil"/>
              <w:bottom w:val="single" w:color="000000" w:sz="4" w:space="0"/>
              <w:right w:val="single" w:color="000000" w:sz="4" w:space="0"/>
            </w:tcBorders>
            <w:shd w:val="clear" w:color="auto" w:fill="auto"/>
            <w:vAlign w:val="center"/>
          </w:tcPr>
          <w:p w14:paraId="1C4E1E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03C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53F3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89C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DE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84DE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21003</w:t>
            </w:r>
          </w:p>
        </w:tc>
        <w:tc>
          <w:tcPr>
            <w:tcW w:w="1816" w:type="dxa"/>
            <w:tcBorders>
              <w:top w:val="nil"/>
              <w:left w:val="nil"/>
              <w:bottom w:val="single" w:color="000000" w:sz="4" w:space="0"/>
              <w:right w:val="single" w:color="000000" w:sz="4" w:space="0"/>
            </w:tcBorders>
            <w:shd w:val="clear" w:color="auto" w:fill="auto"/>
            <w:vAlign w:val="center"/>
          </w:tcPr>
          <w:p w14:paraId="19BC49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基层医疗卫生机构</w:t>
            </w:r>
          </w:p>
        </w:tc>
        <w:tc>
          <w:tcPr>
            <w:tcW w:w="1528" w:type="dxa"/>
            <w:tcBorders>
              <w:top w:val="nil"/>
              <w:left w:val="nil"/>
              <w:bottom w:val="single" w:color="000000" w:sz="4" w:space="0"/>
              <w:right w:val="single" w:color="000000" w:sz="4" w:space="0"/>
            </w:tcBorders>
            <w:shd w:val="clear" w:color="auto" w:fill="auto"/>
            <w:vAlign w:val="center"/>
          </w:tcPr>
          <w:p w14:paraId="07BB0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069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FCE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55B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56.58 </w:t>
            </w:r>
          </w:p>
        </w:tc>
        <w:tc>
          <w:tcPr>
            <w:tcW w:w="1666" w:type="dxa"/>
            <w:tcBorders>
              <w:top w:val="nil"/>
              <w:left w:val="nil"/>
              <w:bottom w:val="single" w:color="000000" w:sz="4" w:space="0"/>
              <w:right w:val="single" w:color="000000" w:sz="4" w:space="0"/>
            </w:tcBorders>
            <w:shd w:val="clear" w:color="auto" w:fill="auto"/>
            <w:vAlign w:val="center"/>
          </w:tcPr>
          <w:p w14:paraId="5674F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56.58 </w:t>
            </w:r>
          </w:p>
        </w:tc>
        <w:tc>
          <w:tcPr>
            <w:tcW w:w="1684" w:type="dxa"/>
            <w:tcBorders>
              <w:top w:val="nil"/>
              <w:left w:val="nil"/>
              <w:bottom w:val="single" w:color="000000" w:sz="4" w:space="0"/>
              <w:right w:val="single" w:color="000000" w:sz="4" w:space="0"/>
            </w:tcBorders>
            <w:shd w:val="clear" w:color="auto" w:fill="auto"/>
            <w:vAlign w:val="center"/>
          </w:tcPr>
          <w:p w14:paraId="1981BE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594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56.58 </w:t>
            </w:r>
          </w:p>
        </w:tc>
        <w:tc>
          <w:tcPr>
            <w:tcW w:w="1700" w:type="dxa"/>
            <w:tcBorders>
              <w:top w:val="nil"/>
              <w:left w:val="nil"/>
              <w:bottom w:val="single" w:color="000000" w:sz="4" w:space="0"/>
              <w:right w:val="single" w:color="000000" w:sz="4" w:space="0"/>
            </w:tcBorders>
            <w:shd w:val="clear" w:color="auto" w:fill="auto"/>
            <w:vAlign w:val="center"/>
          </w:tcPr>
          <w:p w14:paraId="5EE1F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56.58 </w:t>
            </w:r>
          </w:p>
        </w:tc>
        <w:tc>
          <w:tcPr>
            <w:tcW w:w="1733" w:type="dxa"/>
            <w:tcBorders>
              <w:top w:val="nil"/>
              <w:left w:val="nil"/>
              <w:bottom w:val="single" w:color="000000" w:sz="4" w:space="0"/>
              <w:right w:val="single" w:color="000000" w:sz="4" w:space="0"/>
            </w:tcBorders>
            <w:shd w:val="clear" w:color="auto" w:fill="auto"/>
            <w:vAlign w:val="center"/>
          </w:tcPr>
          <w:p w14:paraId="23365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0942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FD03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273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EC34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AF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0AB8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2100302</w:t>
            </w:r>
          </w:p>
        </w:tc>
        <w:tc>
          <w:tcPr>
            <w:tcW w:w="1816" w:type="dxa"/>
            <w:tcBorders>
              <w:top w:val="nil"/>
              <w:left w:val="nil"/>
              <w:bottom w:val="single" w:color="000000" w:sz="4" w:space="0"/>
              <w:right w:val="single" w:color="000000" w:sz="4" w:space="0"/>
            </w:tcBorders>
            <w:shd w:val="clear" w:color="auto" w:fill="auto"/>
            <w:vAlign w:val="center"/>
          </w:tcPr>
          <w:p w14:paraId="4DDE9C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乡镇卫生院</w:t>
            </w:r>
          </w:p>
        </w:tc>
        <w:tc>
          <w:tcPr>
            <w:tcW w:w="1528" w:type="dxa"/>
            <w:tcBorders>
              <w:top w:val="nil"/>
              <w:left w:val="nil"/>
              <w:bottom w:val="single" w:color="000000" w:sz="4" w:space="0"/>
              <w:right w:val="single" w:color="000000" w:sz="4" w:space="0"/>
            </w:tcBorders>
            <w:shd w:val="clear" w:color="auto" w:fill="auto"/>
            <w:vAlign w:val="center"/>
          </w:tcPr>
          <w:p w14:paraId="0DE65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C9A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4F7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BDF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56.58 </w:t>
            </w:r>
          </w:p>
        </w:tc>
        <w:tc>
          <w:tcPr>
            <w:tcW w:w="1666" w:type="dxa"/>
            <w:tcBorders>
              <w:top w:val="nil"/>
              <w:left w:val="nil"/>
              <w:bottom w:val="single" w:color="000000" w:sz="4" w:space="0"/>
              <w:right w:val="single" w:color="000000" w:sz="4" w:space="0"/>
            </w:tcBorders>
            <w:shd w:val="clear" w:color="auto" w:fill="auto"/>
            <w:vAlign w:val="center"/>
          </w:tcPr>
          <w:p w14:paraId="16C65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56.58 </w:t>
            </w:r>
          </w:p>
        </w:tc>
        <w:tc>
          <w:tcPr>
            <w:tcW w:w="1684" w:type="dxa"/>
            <w:tcBorders>
              <w:top w:val="nil"/>
              <w:left w:val="nil"/>
              <w:bottom w:val="single" w:color="000000" w:sz="4" w:space="0"/>
              <w:right w:val="single" w:color="000000" w:sz="4" w:space="0"/>
            </w:tcBorders>
            <w:shd w:val="clear" w:color="auto" w:fill="auto"/>
            <w:vAlign w:val="center"/>
          </w:tcPr>
          <w:p w14:paraId="26600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40C6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56.58 </w:t>
            </w:r>
          </w:p>
        </w:tc>
        <w:tc>
          <w:tcPr>
            <w:tcW w:w="1700" w:type="dxa"/>
            <w:tcBorders>
              <w:top w:val="nil"/>
              <w:left w:val="nil"/>
              <w:bottom w:val="single" w:color="000000" w:sz="4" w:space="0"/>
              <w:right w:val="single" w:color="000000" w:sz="4" w:space="0"/>
            </w:tcBorders>
            <w:shd w:val="clear" w:color="auto" w:fill="auto"/>
            <w:vAlign w:val="center"/>
          </w:tcPr>
          <w:p w14:paraId="7D99E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56.58 </w:t>
            </w:r>
          </w:p>
        </w:tc>
        <w:tc>
          <w:tcPr>
            <w:tcW w:w="1733" w:type="dxa"/>
            <w:tcBorders>
              <w:top w:val="nil"/>
              <w:left w:val="nil"/>
              <w:bottom w:val="single" w:color="000000" w:sz="4" w:space="0"/>
              <w:right w:val="single" w:color="000000" w:sz="4" w:space="0"/>
            </w:tcBorders>
            <w:shd w:val="clear" w:color="auto" w:fill="auto"/>
            <w:vAlign w:val="center"/>
          </w:tcPr>
          <w:p w14:paraId="43D52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B5A1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74D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61B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D0C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F9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8E1F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21004</w:t>
            </w:r>
          </w:p>
        </w:tc>
        <w:tc>
          <w:tcPr>
            <w:tcW w:w="1816" w:type="dxa"/>
            <w:tcBorders>
              <w:top w:val="nil"/>
              <w:left w:val="nil"/>
              <w:bottom w:val="single" w:color="000000" w:sz="4" w:space="0"/>
              <w:right w:val="single" w:color="000000" w:sz="4" w:space="0"/>
            </w:tcBorders>
            <w:shd w:val="clear" w:color="auto" w:fill="auto"/>
            <w:vAlign w:val="center"/>
          </w:tcPr>
          <w:p w14:paraId="33E74D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公共卫生</w:t>
            </w:r>
          </w:p>
        </w:tc>
        <w:tc>
          <w:tcPr>
            <w:tcW w:w="1528" w:type="dxa"/>
            <w:tcBorders>
              <w:top w:val="nil"/>
              <w:left w:val="nil"/>
              <w:bottom w:val="single" w:color="000000" w:sz="4" w:space="0"/>
              <w:right w:val="single" w:color="000000" w:sz="4" w:space="0"/>
            </w:tcBorders>
            <w:shd w:val="clear" w:color="auto" w:fill="auto"/>
            <w:vAlign w:val="center"/>
          </w:tcPr>
          <w:p w14:paraId="60C6C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476C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C2E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2A3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19.01 </w:t>
            </w:r>
          </w:p>
        </w:tc>
        <w:tc>
          <w:tcPr>
            <w:tcW w:w="1666" w:type="dxa"/>
            <w:tcBorders>
              <w:top w:val="nil"/>
              <w:left w:val="nil"/>
              <w:bottom w:val="single" w:color="000000" w:sz="4" w:space="0"/>
              <w:right w:val="single" w:color="000000" w:sz="4" w:space="0"/>
            </w:tcBorders>
            <w:shd w:val="clear" w:color="auto" w:fill="auto"/>
            <w:vAlign w:val="center"/>
          </w:tcPr>
          <w:p w14:paraId="78FF4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6E71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19.01 </w:t>
            </w:r>
          </w:p>
        </w:tc>
        <w:tc>
          <w:tcPr>
            <w:tcW w:w="1750" w:type="dxa"/>
            <w:tcBorders>
              <w:top w:val="nil"/>
              <w:left w:val="nil"/>
              <w:bottom w:val="single" w:color="000000" w:sz="4" w:space="0"/>
              <w:right w:val="single" w:color="000000" w:sz="4" w:space="0"/>
            </w:tcBorders>
            <w:shd w:val="clear" w:color="auto" w:fill="auto"/>
            <w:vAlign w:val="center"/>
          </w:tcPr>
          <w:p w14:paraId="25C996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19.01 </w:t>
            </w:r>
          </w:p>
        </w:tc>
        <w:tc>
          <w:tcPr>
            <w:tcW w:w="1700" w:type="dxa"/>
            <w:tcBorders>
              <w:top w:val="nil"/>
              <w:left w:val="nil"/>
              <w:bottom w:val="single" w:color="000000" w:sz="4" w:space="0"/>
              <w:right w:val="single" w:color="000000" w:sz="4" w:space="0"/>
            </w:tcBorders>
            <w:shd w:val="clear" w:color="auto" w:fill="auto"/>
            <w:vAlign w:val="center"/>
          </w:tcPr>
          <w:p w14:paraId="4DFD4B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D3DE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19.01 </w:t>
            </w:r>
          </w:p>
        </w:tc>
        <w:tc>
          <w:tcPr>
            <w:tcW w:w="1583" w:type="dxa"/>
            <w:tcBorders>
              <w:top w:val="nil"/>
              <w:left w:val="nil"/>
              <w:bottom w:val="single" w:color="000000" w:sz="4" w:space="0"/>
              <w:right w:val="single" w:color="000000" w:sz="4" w:space="0"/>
            </w:tcBorders>
            <w:shd w:val="clear" w:color="auto" w:fill="auto"/>
            <w:vAlign w:val="center"/>
          </w:tcPr>
          <w:p w14:paraId="2E92B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6B9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3E1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989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EA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34FE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2100408</w:t>
            </w:r>
          </w:p>
        </w:tc>
        <w:tc>
          <w:tcPr>
            <w:tcW w:w="1816" w:type="dxa"/>
            <w:tcBorders>
              <w:top w:val="nil"/>
              <w:left w:val="nil"/>
              <w:bottom w:val="single" w:color="000000" w:sz="4" w:space="0"/>
              <w:right w:val="single" w:color="000000" w:sz="4" w:space="0"/>
            </w:tcBorders>
            <w:shd w:val="clear" w:color="auto" w:fill="auto"/>
            <w:vAlign w:val="center"/>
          </w:tcPr>
          <w:p w14:paraId="78E416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基本公共卫生服务</w:t>
            </w:r>
          </w:p>
        </w:tc>
        <w:tc>
          <w:tcPr>
            <w:tcW w:w="1528" w:type="dxa"/>
            <w:tcBorders>
              <w:top w:val="nil"/>
              <w:left w:val="nil"/>
              <w:bottom w:val="single" w:color="000000" w:sz="4" w:space="0"/>
              <w:right w:val="single" w:color="000000" w:sz="4" w:space="0"/>
            </w:tcBorders>
            <w:shd w:val="clear" w:color="auto" w:fill="auto"/>
            <w:vAlign w:val="center"/>
          </w:tcPr>
          <w:p w14:paraId="61397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FC0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FD5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7FA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19.01 </w:t>
            </w:r>
          </w:p>
        </w:tc>
        <w:tc>
          <w:tcPr>
            <w:tcW w:w="1666" w:type="dxa"/>
            <w:tcBorders>
              <w:top w:val="nil"/>
              <w:left w:val="nil"/>
              <w:bottom w:val="single" w:color="000000" w:sz="4" w:space="0"/>
              <w:right w:val="single" w:color="000000" w:sz="4" w:space="0"/>
            </w:tcBorders>
            <w:shd w:val="clear" w:color="auto" w:fill="auto"/>
            <w:vAlign w:val="center"/>
          </w:tcPr>
          <w:p w14:paraId="17EF03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7F4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19.01 </w:t>
            </w:r>
          </w:p>
        </w:tc>
        <w:tc>
          <w:tcPr>
            <w:tcW w:w="1750" w:type="dxa"/>
            <w:tcBorders>
              <w:top w:val="nil"/>
              <w:left w:val="nil"/>
              <w:bottom w:val="single" w:color="000000" w:sz="4" w:space="0"/>
              <w:right w:val="single" w:color="000000" w:sz="4" w:space="0"/>
            </w:tcBorders>
            <w:shd w:val="clear" w:color="auto" w:fill="auto"/>
            <w:vAlign w:val="center"/>
          </w:tcPr>
          <w:p w14:paraId="300EA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19.01 </w:t>
            </w:r>
          </w:p>
        </w:tc>
        <w:tc>
          <w:tcPr>
            <w:tcW w:w="1700" w:type="dxa"/>
            <w:tcBorders>
              <w:top w:val="nil"/>
              <w:left w:val="nil"/>
              <w:bottom w:val="single" w:color="000000" w:sz="4" w:space="0"/>
              <w:right w:val="single" w:color="000000" w:sz="4" w:space="0"/>
            </w:tcBorders>
            <w:shd w:val="clear" w:color="auto" w:fill="auto"/>
            <w:vAlign w:val="center"/>
          </w:tcPr>
          <w:p w14:paraId="6399A0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8C3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19.01 </w:t>
            </w:r>
          </w:p>
        </w:tc>
        <w:tc>
          <w:tcPr>
            <w:tcW w:w="1583" w:type="dxa"/>
            <w:tcBorders>
              <w:top w:val="nil"/>
              <w:left w:val="nil"/>
              <w:bottom w:val="single" w:color="000000" w:sz="4" w:space="0"/>
              <w:right w:val="single" w:color="000000" w:sz="4" w:space="0"/>
            </w:tcBorders>
            <w:shd w:val="clear" w:color="auto" w:fill="auto"/>
            <w:vAlign w:val="center"/>
          </w:tcPr>
          <w:p w14:paraId="337BF9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804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9C5C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459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9C5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DC8F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6617B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5626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366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757E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14B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666" w:type="dxa"/>
            <w:tcBorders>
              <w:top w:val="nil"/>
              <w:left w:val="nil"/>
              <w:bottom w:val="single" w:color="000000" w:sz="4" w:space="0"/>
              <w:right w:val="single" w:color="000000" w:sz="4" w:space="0"/>
            </w:tcBorders>
            <w:shd w:val="clear" w:color="auto" w:fill="auto"/>
            <w:vAlign w:val="center"/>
          </w:tcPr>
          <w:p w14:paraId="151E2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684" w:type="dxa"/>
            <w:tcBorders>
              <w:top w:val="nil"/>
              <w:left w:val="nil"/>
              <w:bottom w:val="single" w:color="000000" w:sz="4" w:space="0"/>
              <w:right w:val="single" w:color="000000" w:sz="4" w:space="0"/>
            </w:tcBorders>
            <w:shd w:val="clear" w:color="auto" w:fill="auto"/>
            <w:vAlign w:val="center"/>
          </w:tcPr>
          <w:p w14:paraId="6B6F5E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271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700" w:type="dxa"/>
            <w:tcBorders>
              <w:top w:val="nil"/>
              <w:left w:val="nil"/>
              <w:bottom w:val="single" w:color="000000" w:sz="4" w:space="0"/>
              <w:right w:val="single" w:color="000000" w:sz="4" w:space="0"/>
            </w:tcBorders>
            <w:shd w:val="clear" w:color="auto" w:fill="auto"/>
            <w:vAlign w:val="center"/>
          </w:tcPr>
          <w:p w14:paraId="470EA1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733" w:type="dxa"/>
            <w:tcBorders>
              <w:top w:val="nil"/>
              <w:left w:val="nil"/>
              <w:bottom w:val="single" w:color="000000" w:sz="4" w:space="0"/>
              <w:right w:val="single" w:color="000000" w:sz="4" w:space="0"/>
            </w:tcBorders>
            <w:shd w:val="clear" w:color="auto" w:fill="auto"/>
            <w:vAlign w:val="center"/>
          </w:tcPr>
          <w:p w14:paraId="7EFF7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57A8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5FE7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464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6EAC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EDC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97E5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BD6D0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D766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46A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329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563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666" w:type="dxa"/>
            <w:tcBorders>
              <w:top w:val="nil"/>
              <w:left w:val="nil"/>
              <w:bottom w:val="single" w:color="000000" w:sz="4" w:space="0"/>
              <w:right w:val="single" w:color="000000" w:sz="4" w:space="0"/>
            </w:tcBorders>
            <w:shd w:val="clear" w:color="auto" w:fill="auto"/>
            <w:vAlign w:val="center"/>
          </w:tcPr>
          <w:p w14:paraId="136771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684" w:type="dxa"/>
            <w:tcBorders>
              <w:top w:val="nil"/>
              <w:left w:val="nil"/>
              <w:bottom w:val="single" w:color="000000" w:sz="4" w:space="0"/>
              <w:right w:val="single" w:color="000000" w:sz="4" w:space="0"/>
            </w:tcBorders>
            <w:shd w:val="clear" w:color="auto" w:fill="auto"/>
            <w:vAlign w:val="center"/>
          </w:tcPr>
          <w:p w14:paraId="6AB564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188D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700" w:type="dxa"/>
            <w:tcBorders>
              <w:top w:val="nil"/>
              <w:left w:val="nil"/>
              <w:bottom w:val="single" w:color="000000" w:sz="4" w:space="0"/>
              <w:right w:val="single" w:color="000000" w:sz="4" w:space="0"/>
            </w:tcBorders>
            <w:shd w:val="clear" w:color="auto" w:fill="auto"/>
            <w:vAlign w:val="center"/>
          </w:tcPr>
          <w:p w14:paraId="75AE68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733" w:type="dxa"/>
            <w:tcBorders>
              <w:top w:val="nil"/>
              <w:left w:val="nil"/>
              <w:bottom w:val="single" w:color="000000" w:sz="4" w:space="0"/>
              <w:right w:val="single" w:color="000000" w:sz="4" w:space="0"/>
            </w:tcBorders>
            <w:shd w:val="clear" w:color="auto" w:fill="auto"/>
            <w:vAlign w:val="center"/>
          </w:tcPr>
          <w:p w14:paraId="41270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85C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AD90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A67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F7E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F7E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811E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25CE6E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2DBB9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F0E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A7B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300B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9.45 </w:t>
            </w:r>
          </w:p>
        </w:tc>
        <w:tc>
          <w:tcPr>
            <w:tcW w:w="1666" w:type="dxa"/>
            <w:tcBorders>
              <w:top w:val="nil"/>
              <w:left w:val="nil"/>
              <w:bottom w:val="single" w:color="000000" w:sz="4" w:space="0"/>
              <w:right w:val="single" w:color="000000" w:sz="4" w:space="0"/>
            </w:tcBorders>
            <w:shd w:val="clear" w:color="auto" w:fill="auto"/>
            <w:vAlign w:val="center"/>
          </w:tcPr>
          <w:p w14:paraId="4C1D3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9.45 </w:t>
            </w:r>
          </w:p>
        </w:tc>
        <w:tc>
          <w:tcPr>
            <w:tcW w:w="1684" w:type="dxa"/>
            <w:tcBorders>
              <w:top w:val="nil"/>
              <w:left w:val="nil"/>
              <w:bottom w:val="single" w:color="000000" w:sz="4" w:space="0"/>
              <w:right w:val="single" w:color="000000" w:sz="4" w:space="0"/>
            </w:tcBorders>
            <w:shd w:val="clear" w:color="auto" w:fill="auto"/>
            <w:vAlign w:val="center"/>
          </w:tcPr>
          <w:p w14:paraId="3FFB6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77D7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9.45 </w:t>
            </w:r>
          </w:p>
        </w:tc>
        <w:tc>
          <w:tcPr>
            <w:tcW w:w="1700" w:type="dxa"/>
            <w:tcBorders>
              <w:top w:val="nil"/>
              <w:left w:val="nil"/>
              <w:bottom w:val="single" w:color="000000" w:sz="4" w:space="0"/>
              <w:right w:val="single" w:color="000000" w:sz="4" w:space="0"/>
            </w:tcBorders>
            <w:shd w:val="clear" w:color="auto" w:fill="auto"/>
            <w:vAlign w:val="center"/>
          </w:tcPr>
          <w:p w14:paraId="3553AC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9.45 </w:t>
            </w:r>
          </w:p>
        </w:tc>
        <w:tc>
          <w:tcPr>
            <w:tcW w:w="1733" w:type="dxa"/>
            <w:tcBorders>
              <w:top w:val="nil"/>
              <w:left w:val="nil"/>
              <w:bottom w:val="single" w:color="000000" w:sz="4" w:space="0"/>
              <w:right w:val="single" w:color="000000" w:sz="4" w:space="0"/>
            </w:tcBorders>
            <w:shd w:val="clear" w:color="auto" w:fill="auto"/>
            <w:vAlign w:val="center"/>
          </w:tcPr>
          <w:p w14:paraId="73A674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B4CF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31A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2254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C7A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FA25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B199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25540F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1911A4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B85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E1E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655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9.45 </w:t>
            </w:r>
          </w:p>
        </w:tc>
        <w:tc>
          <w:tcPr>
            <w:tcW w:w="1666" w:type="dxa"/>
            <w:tcBorders>
              <w:top w:val="nil"/>
              <w:left w:val="nil"/>
              <w:bottom w:val="single" w:color="000000" w:sz="4" w:space="0"/>
              <w:right w:val="single" w:color="000000" w:sz="4" w:space="0"/>
            </w:tcBorders>
            <w:shd w:val="clear" w:color="auto" w:fill="auto"/>
            <w:vAlign w:val="center"/>
          </w:tcPr>
          <w:p w14:paraId="165DC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9.45 </w:t>
            </w:r>
          </w:p>
        </w:tc>
        <w:tc>
          <w:tcPr>
            <w:tcW w:w="1684" w:type="dxa"/>
            <w:tcBorders>
              <w:top w:val="nil"/>
              <w:left w:val="nil"/>
              <w:bottom w:val="single" w:color="000000" w:sz="4" w:space="0"/>
              <w:right w:val="single" w:color="000000" w:sz="4" w:space="0"/>
            </w:tcBorders>
            <w:shd w:val="clear" w:color="auto" w:fill="auto"/>
            <w:vAlign w:val="center"/>
          </w:tcPr>
          <w:p w14:paraId="6C8A9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A14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9.45 </w:t>
            </w:r>
          </w:p>
        </w:tc>
        <w:tc>
          <w:tcPr>
            <w:tcW w:w="1700" w:type="dxa"/>
            <w:tcBorders>
              <w:top w:val="nil"/>
              <w:left w:val="nil"/>
              <w:bottom w:val="single" w:color="000000" w:sz="4" w:space="0"/>
              <w:right w:val="single" w:color="000000" w:sz="4" w:space="0"/>
            </w:tcBorders>
            <w:shd w:val="clear" w:color="auto" w:fill="auto"/>
            <w:vAlign w:val="center"/>
          </w:tcPr>
          <w:p w14:paraId="029E6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9.45 </w:t>
            </w:r>
          </w:p>
        </w:tc>
        <w:tc>
          <w:tcPr>
            <w:tcW w:w="1733" w:type="dxa"/>
            <w:tcBorders>
              <w:top w:val="nil"/>
              <w:left w:val="nil"/>
              <w:bottom w:val="single" w:color="000000" w:sz="4" w:space="0"/>
              <w:right w:val="single" w:color="000000" w:sz="4" w:space="0"/>
            </w:tcBorders>
            <w:shd w:val="clear" w:color="auto" w:fill="auto"/>
            <w:vAlign w:val="center"/>
          </w:tcPr>
          <w:p w14:paraId="7AFE99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472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2218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200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757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B2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6CDB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4C7665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55481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E6E9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6E6C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B30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 </w:t>
            </w:r>
          </w:p>
        </w:tc>
        <w:tc>
          <w:tcPr>
            <w:tcW w:w="1666" w:type="dxa"/>
            <w:tcBorders>
              <w:top w:val="nil"/>
              <w:left w:val="nil"/>
              <w:bottom w:val="single" w:color="000000" w:sz="4" w:space="0"/>
              <w:right w:val="single" w:color="000000" w:sz="4" w:space="0"/>
            </w:tcBorders>
            <w:shd w:val="clear" w:color="auto" w:fill="auto"/>
            <w:vAlign w:val="center"/>
          </w:tcPr>
          <w:p w14:paraId="7ACB25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 </w:t>
            </w:r>
          </w:p>
        </w:tc>
        <w:tc>
          <w:tcPr>
            <w:tcW w:w="1684" w:type="dxa"/>
            <w:tcBorders>
              <w:top w:val="nil"/>
              <w:left w:val="nil"/>
              <w:bottom w:val="single" w:color="000000" w:sz="4" w:space="0"/>
              <w:right w:val="single" w:color="000000" w:sz="4" w:space="0"/>
            </w:tcBorders>
            <w:shd w:val="clear" w:color="auto" w:fill="auto"/>
            <w:vAlign w:val="center"/>
          </w:tcPr>
          <w:p w14:paraId="65CF4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389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 </w:t>
            </w:r>
          </w:p>
        </w:tc>
        <w:tc>
          <w:tcPr>
            <w:tcW w:w="1700" w:type="dxa"/>
            <w:tcBorders>
              <w:top w:val="nil"/>
              <w:left w:val="nil"/>
              <w:bottom w:val="single" w:color="000000" w:sz="4" w:space="0"/>
              <w:right w:val="single" w:color="000000" w:sz="4" w:space="0"/>
            </w:tcBorders>
            <w:shd w:val="clear" w:color="auto" w:fill="auto"/>
            <w:vAlign w:val="center"/>
          </w:tcPr>
          <w:p w14:paraId="087DD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 </w:t>
            </w:r>
          </w:p>
        </w:tc>
        <w:tc>
          <w:tcPr>
            <w:tcW w:w="1733" w:type="dxa"/>
            <w:tcBorders>
              <w:top w:val="nil"/>
              <w:left w:val="nil"/>
              <w:bottom w:val="single" w:color="000000" w:sz="4" w:space="0"/>
              <w:right w:val="single" w:color="000000" w:sz="4" w:space="0"/>
            </w:tcBorders>
            <w:shd w:val="clear" w:color="auto" w:fill="auto"/>
            <w:vAlign w:val="center"/>
          </w:tcPr>
          <w:p w14:paraId="13847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0CAD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CA0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7BE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483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F5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5A52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D5697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8B28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009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3609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C56C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 </w:t>
            </w:r>
          </w:p>
        </w:tc>
        <w:tc>
          <w:tcPr>
            <w:tcW w:w="1666" w:type="dxa"/>
            <w:tcBorders>
              <w:top w:val="nil"/>
              <w:left w:val="nil"/>
              <w:bottom w:val="single" w:color="000000" w:sz="4" w:space="0"/>
              <w:right w:val="single" w:color="000000" w:sz="4" w:space="0"/>
            </w:tcBorders>
            <w:shd w:val="clear" w:color="auto" w:fill="auto"/>
            <w:vAlign w:val="center"/>
          </w:tcPr>
          <w:p w14:paraId="289EC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 </w:t>
            </w:r>
          </w:p>
        </w:tc>
        <w:tc>
          <w:tcPr>
            <w:tcW w:w="1684" w:type="dxa"/>
            <w:tcBorders>
              <w:top w:val="nil"/>
              <w:left w:val="nil"/>
              <w:bottom w:val="single" w:color="000000" w:sz="4" w:space="0"/>
              <w:right w:val="single" w:color="000000" w:sz="4" w:space="0"/>
            </w:tcBorders>
            <w:shd w:val="clear" w:color="auto" w:fill="auto"/>
            <w:vAlign w:val="center"/>
          </w:tcPr>
          <w:p w14:paraId="37280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BAB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 </w:t>
            </w:r>
          </w:p>
        </w:tc>
        <w:tc>
          <w:tcPr>
            <w:tcW w:w="1700" w:type="dxa"/>
            <w:tcBorders>
              <w:top w:val="nil"/>
              <w:left w:val="nil"/>
              <w:bottom w:val="single" w:color="000000" w:sz="4" w:space="0"/>
              <w:right w:val="single" w:color="000000" w:sz="4" w:space="0"/>
            </w:tcBorders>
            <w:shd w:val="clear" w:color="auto" w:fill="auto"/>
            <w:vAlign w:val="center"/>
          </w:tcPr>
          <w:p w14:paraId="04B54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 </w:t>
            </w:r>
          </w:p>
        </w:tc>
        <w:tc>
          <w:tcPr>
            <w:tcW w:w="1733" w:type="dxa"/>
            <w:tcBorders>
              <w:top w:val="nil"/>
              <w:left w:val="nil"/>
              <w:bottom w:val="single" w:color="000000" w:sz="4" w:space="0"/>
              <w:right w:val="single" w:color="000000" w:sz="4" w:space="0"/>
            </w:tcBorders>
            <w:shd w:val="clear" w:color="auto" w:fill="auto"/>
            <w:vAlign w:val="center"/>
          </w:tcPr>
          <w:p w14:paraId="0AAB30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1CB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410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F13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8459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B0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6403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5E059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A17A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B488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0BE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8B3D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 </w:t>
            </w:r>
          </w:p>
        </w:tc>
        <w:tc>
          <w:tcPr>
            <w:tcW w:w="1666" w:type="dxa"/>
            <w:tcBorders>
              <w:top w:val="nil"/>
              <w:left w:val="nil"/>
              <w:bottom w:val="single" w:color="000000" w:sz="4" w:space="0"/>
              <w:right w:val="single" w:color="000000" w:sz="4" w:space="0"/>
            </w:tcBorders>
            <w:shd w:val="clear" w:color="auto" w:fill="auto"/>
            <w:vAlign w:val="center"/>
          </w:tcPr>
          <w:p w14:paraId="0AF19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 </w:t>
            </w:r>
          </w:p>
        </w:tc>
        <w:tc>
          <w:tcPr>
            <w:tcW w:w="1684" w:type="dxa"/>
            <w:tcBorders>
              <w:top w:val="nil"/>
              <w:left w:val="nil"/>
              <w:bottom w:val="single" w:color="000000" w:sz="4" w:space="0"/>
              <w:right w:val="single" w:color="000000" w:sz="4" w:space="0"/>
            </w:tcBorders>
            <w:shd w:val="clear" w:color="auto" w:fill="auto"/>
            <w:vAlign w:val="center"/>
          </w:tcPr>
          <w:p w14:paraId="147AF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764C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 </w:t>
            </w:r>
          </w:p>
        </w:tc>
        <w:tc>
          <w:tcPr>
            <w:tcW w:w="1700" w:type="dxa"/>
            <w:tcBorders>
              <w:top w:val="nil"/>
              <w:left w:val="nil"/>
              <w:bottom w:val="single" w:color="000000" w:sz="4" w:space="0"/>
              <w:right w:val="single" w:color="000000" w:sz="4" w:space="0"/>
            </w:tcBorders>
            <w:shd w:val="clear" w:color="auto" w:fill="auto"/>
            <w:vAlign w:val="center"/>
          </w:tcPr>
          <w:p w14:paraId="54162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 </w:t>
            </w:r>
          </w:p>
        </w:tc>
        <w:tc>
          <w:tcPr>
            <w:tcW w:w="1733" w:type="dxa"/>
            <w:tcBorders>
              <w:top w:val="nil"/>
              <w:left w:val="nil"/>
              <w:bottom w:val="single" w:color="000000" w:sz="4" w:space="0"/>
              <w:right w:val="single" w:color="000000" w:sz="4" w:space="0"/>
            </w:tcBorders>
            <w:shd w:val="clear" w:color="auto" w:fill="auto"/>
            <w:vAlign w:val="center"/>
          </w:tcPr>
          <w:p w14:paraId="7831CC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535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1FD5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336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E44E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E33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2B26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7726F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1B6AA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27B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55F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127B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5.04 </w:t>
            </w:r>
          </w:p>
        </w:tc>
        <w:tc>
          <w:tcPr>
            <w:tcW w:w="1666" w:type="dxa"/>
            <w:tcBorders>
              <w:top w:val="nil"/>
              <w:left w:val="nil"/>
              <w:bottom w:val="single" w:color="000000" w:sz="4" w:space="0"/>
              <w:right w:val="single" w:color="000000" w:sz="4" w:space="0"/>
            </w:tcBorders>
            <w:shd w:val="clear" w:color="auto" w:fill="auto"/>
            <w:vAlign w:val="center"/>
          </w:tcPr>
          <w:p w14:paraId="1CD47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5.04 </w:t>
            </w:r>
          </w:p>
        </w:tc>
        <w:tc>
          <w:tcPr>
            <w:tcW w:w="1684" w:type="dxa"/>
            <w:tcBorders>
              <w:top w:val="nil"/>
              <w:left w:val="nil"/>
              <w:bottom w:val="single" w:color="000000" w:sz="4" w:space="0"/>
              <w:right w:val="single" w:color="000000" w:sz="4" w:space="0"/>
            </w:tcBorders>
            <w:shd w:val="clear" w:color="auto" w:fill="auto"/>
            <w:vAlign w:val="center"/>
          </w:tcPr>
          <w:p w14:paraId="06F81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E675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5.04 </w:t>
            </w:r>
          </w:p>
        </w:tc>
        <w:tc>
          <w:tcPr>
            <w:tcW w:w="1700" w:type="dxa"/>
            <w:tcBorders>
              <w:top w:val="nil"/>
              <w:left w:val="nil"/>
              <w:bottom w:val="single" w:color="000000" w:sz="4" w:space="0"/>
              <w:right w:val="single" w:color="000000" w:sz="4" w:space="0"/>
            </w:tcBorders>
            <w:shd w:val="clear" w:color="auto" w:fill="auto"/>
            <w:vAlign w:val="center"/>
          </w:tcPr>
          <w:p w14:paraId="59309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5.04 </w:t>
            </w:r>
          </w:p>
        </w:tc>
        <w:tc>
          <w:tcPr>
            <w:tcW w:w="1733" w:type="dxa"/>
            <w:tcBorders>
              <w:top w:val="nil"/>
              <w:left w:val="nil"/>
              <w:bottom w:val="single" w:color="000000" w:sz="4" w:space="0"/>
              <w:right w:val="single" w:color="000000" w:sz="4" w:space="0"/>
            </w:tcBorders>
            <w:shd w:val="clear" w:color="auto" w:fill="auto"/>
            <w:vAlign w:val="center"/>
          </w:tcPr>
          <w:p w14:paraId="1C5683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486F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F84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06A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30E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C8C334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B1A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571422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574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EC4C58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巫溪县兰英乡卫生院</w:t>
            </w:r>
          </w:p>
        </w:tc>
        <w:tc>
          <w:tcPr>
            <w:tcW w:w="2682" w:type="dxa"/>
            <w:tcBorders>
              <w:top w:val="nil"/>
              <w:left w:val="nil"/>
              <w:bottom w:val="nil"/>
              <w:right w:val="nil"/>
            </w:tcBorders>
            <w:shd w:val="clear" w:color="auto" w:fill="auto"/>
            <w:vAlign w:val="bottom"/>
          </w:tcPr>
          <w:p w14:paraId="6FEF621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0D8D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55E4831">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63D62A5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4A9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AC0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FD307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1478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072F5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B4F0B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23CEDE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65986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6F7FD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54194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96745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2AB5E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A050D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A94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C3792F9">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E3AD4C1">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BE1D94C">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94E33AD">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3E57A02">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AE3564F">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013C15B">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5E47529">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3FF17F7">
            <w:pPr>
              <w:jc w:val="center"/>
              <w:rPr>
                <w:rFonts w:hint="eastAsia" w:ascii="宋体" w:hAnsi="宋体" w:eastAsia="宋体" w:cs="宋体"/>
                <w:i w:val="0"/>
                <w:iCs w:val="0"/>
                <w:color w:val="000000"/>
                <w:sz w:val="22"/>
                <w:szCs w:val="22"/>
                <w:u w:val="none"/>
              </w:rPr>
            </w:pPr>
          </w:p>
        </w:tc>
      </w:tr>
      <w:tr w14:paraId="0C6C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3E13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19847B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3EC82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74.09 </w:t>
            </w:r>
          </w:p>
        </w:tc>
        <w:tc>
          <w:tcPr>
            <w:tcW w:w="1234" w:type="dxa"/>
            <w:tcBorders>
              <w:top w:val="nil"/>
              <w:left w:val="nil"/>
              <w:bottom w:val="single" w:color="000000" w:sz="4" w:space="0"/>
              <w:right w:val="single" w:color="000000" w:sz="4" w:space="0"/>
            </w:tcBorders>
            <w:shd w:val="clear" w:color="auto" w:fill="auto"/>
            <w:vAlign w:val="center"/>
          </w:tcPr>
          <w:p w14:paraId="3AB15D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2EDCB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AAB7D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A8D1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C5208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6121D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7B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86B3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B633B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20C75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20.14 </w:t>
            </w:r>
          </w:p>
        </w:tc>
        <w:tc>
          <w:tcPr>
            <w:tcW w:w="1234" w:type="dxa"/>
            <w:tcBorders>
              <w:top w:val="nil"/>
              <w:left w:val="nil"/>
              <w:bottom w:val="single" w:color="000000" w:sz="4" w:space="0"/>
              <w:right w:val="single" w:color="000000" w:sz="4" w:space="0"/>
            </w:tcBorders>
            <w:shd w:val="clear" w:color="auto" w:fill="auto"/>
            <w:vAlign w:val="center"/>
          </w:tcPr>
          <w:p w14:paraId="073DAE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2EBF0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9FB3A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72FC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33063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F1359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E6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CD30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55810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9F8DF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7.01 </w:t>
            </w:r>
          </w:p>
        </w:tc>
        <w:tc>
          <w:tcPr>
            <w:tcW w:w="1234" w:type="dxa"/>
            <w:tcBorders>
              <w:top w:val="nil"/>
              <w:left w:val="nil"/>
              <w:bottom w:val="single" w:color="000000" w:sz="4" w:space="0"/>
              <w:right w:val="single" w:color="000000" w:sz="4" w:space="0"/>
            </w:tcBorders>
            <w:shd w:val="clear" w:color="auto" w:fill="auto"/>
            <w:vAlign w:val="center"/>
          </w:tcPr>
          <w:p w14:paraId="4E68F8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D38A8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C7421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EA4A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42D63E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366DF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90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CEE9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D07A4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B7DF1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63C9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9716A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B3768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97AF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294D1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0D575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A8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9BE0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5746D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9709C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2A8D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C1855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5DDD3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CF7D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47E7F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E83A7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83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5DBF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6260F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04D84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29.22 </w:t>
            </w:r>
          </w:p>
        </w:tc>
        <w:tc>
          <w:tcPr>
            <w:tcW w:w="1234" w:type="dxa"/>
            <w:tcBorders>
              <w:top w:val="nil"/>
              <w:left w:val="nil"/>
              <w:bottom w:val="single" w:color="000000" w:sz="4" w:space="0"/>
              <w:right w:val="single" w:color="000000" w:sz="4" w:space="0"/>
            </w:tcBorders>
            <w:shd w:val="clear" w:color="auto" w:fill="auto"/>
            <w:vAlign w:val="center"/>
          </w:tcPr>
          <w:p w14:paraId="211050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D0C3B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11906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91D7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A3729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8ABE8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8D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8032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D876E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38995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8.27 </w:t>
            </w:r>
          </w:p>
        </w:tc>
        <w:tc>
          <w:tcPr>
            <w:tcW w:w="1234" w:type="dxa"/>
            <w:tcBorders>
              <w:top w:val="nil"/>
              <w:left w:val="nil"/>
              <w:bottom w:val="single" w:color="000000" w:sz="4" w:space="0"/>
              <w:right w:val="single" w:color="000000" w:sz="4" w:space="0"/>
            </w:tcBorders>
            <w:shd w:val="clear" w:color="auto" w:fill="auto"/>
            <w:vAlign w:val="center"/>
          </w:tcPr>
          <w:p w14:paraId="5B0231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425239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627BF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F960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25AA2B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85E7B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F42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5802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A7910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04124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0CFF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FD52D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C3B58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446C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A6510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DDD65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92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67C1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3D011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841BC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4.20 </w:t>
            </w:r>
          </w:p>
        </w:tc>
        <w:tc>
          <w:tcPr>
            <w:tcW w:w="1234" w:type="dxa"/>
            <w:tcBorders>
              <w:top w:val="nil"/>
              <w:left w:val="nil"/>
              <w:bottom w:val="single" w:color="000000" w:sz="4" w:space="0"/>
              <w:right w:val="single" w:color="000000" w:sz="4" w:space="0"/>
            </w:tcBorders>
            <w:shd w:val="clear" w:color="auto" w:fill="auto"/>
            <w:vAlign w:val="center"/>
          </w:tcPr>
          <w:p w14:paraId="6F302B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BBBB5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16AF7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AA16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2660B4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83912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77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13C0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D0E6B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D4124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666A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9287C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8345B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F14E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36D2F5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707AB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B6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8EE0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45C0A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0D223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0.21 </w:t>
            </w:r>
          </w:p>
        </w:tc>
        <w:tc>
          <w:tcPr>
            <w:tcW w:w="1234" w:type="dxa"/>
            <w:tcBorders>
              <w:top w:val="nil"/>
              <w:left w:val="nil"/>
              <w:bottom w:val="single" w:color="000000" w:sz="4" w:space="0"/>
              <w:right w:val="single" w:color="000000" w:sz="4" w:space="0"/>
            </w:tcBorders>
            <w:shd w:val="clear" w:color="auto" w:fill="auto"/>
            <w:vAlign w:val="center"/>
          </w:tcPr>
          <w:p w14:paraId="2277AB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28A52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924AB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B366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EFAD7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9F685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DF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B722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C6538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5F7B0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5.04 </w:t>
            </w:r>
          </w:p>
        </w:tc>
        <w:tc>
          <w:tcPr>
            <w:tcW w:w="1234" w:type="dxa"/>
            <w:tcBorders>
              <w:top w:val="nil"/>
              <w:left w:val="nil"/>
              <w:bottom w:val="single" w:color="000000" w:sz="4" w:space="0"/>
              <w:right w:val="single" w:color="000000" w:sz="4" w:space="0"/>
            </w:tcBorders>
            <w:shd w:val="clear" w:color="auto" w:fill="auto"/>
            <w:vAlign w:val="center"/>
          </w:tcPr>
          <w:p w14:paraId="76DCC1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24DA63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AEE6D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24AF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405399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6207C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AB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D5EC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081444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97DE8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B8F8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A7380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52ED2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07BA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6B8E0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94EC2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3A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C11B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8BD32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52A1B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4342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60BB8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ED991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4F91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17325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C64A6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4A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222C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56225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CD2CD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9.45 </w:t>
            </w:r>
          </w:p>
        </w:tc>
        <w:tc>
          <w:tcPr>
            <w:tcW w:w="1234" w:type="dxa"/>
            <w:tcBorders>
              <w:top w:val="nil"/>
              <w:left w:val="nil"/>
              <w:bottom w:val="single" w:color="000000" w:sz="4" w:space="0"/>
              <w:right w:val="single" w:color="000000" w:sz="4" w:space="0"/>
            </w:tcBorders>
            <w:shd w:val="clear" w:color="auto" w:fill="auto"/>
            <w:vAlign w:val="center"/>
          </w:tcPr>
          <w:p w14:paraId="476694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BF3C4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1C955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4221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83FC6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951B0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A5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498B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D6C72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F1654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C9F6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2BC04C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2F47C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DFC6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FBBC3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A2366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74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6A42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F33E2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4BC1B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A537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3E10C3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5DEF4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0941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2274D7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11B4B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D54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C82E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62EFA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D3194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76C5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0D23C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CE88A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AF2A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CCB50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CAED4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2CA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633F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90A5B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DB62F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CAC2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1B898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84D2F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A3BE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E1F18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7EB6E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14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E892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33603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46283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9.45 </w:t>
            </w:r>
          </w:p>
        </w:tc>
        <w:tc>
          <w:tcPr>
            <w:tcW w:w="1234" w:type="dxa"/>
            <w:tcBorders>
              <w:top w:val="nil"/>
              <w:left w:val="nil"/>
              <w:bottom w:val="single" w:color="000000" w:sz="4" w:space="0"/>
              <w:right w:val="single" w:color="000000" w:sz="4" w:space="0"/>
            </w:tcBorders>
            <w:shd w:val="clear" w:color="auto" w:fill="auto"/>
            <w:vAlign w:val="center"/>
          </w:tcPr>
          <w:p w14:paraId="45E7B9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47325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4A5BC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CDCB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754F9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02197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5E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687E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1FAC2A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A3066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1924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5F3CAB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5B3C3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C424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C406F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6B577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27D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8BC4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36D6E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D2DEB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93A1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49CBC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CC5D1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1AA3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54937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1153F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BB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5CC1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37AC9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F3EA8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B885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72729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346A0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4DD7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CEE53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BD66C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D5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CFA5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59C0C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9866C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7F30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34A40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0656E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CA99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EAED7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7A537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8C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0777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C2A50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7F80A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20E3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5F7D7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20ED4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6AA0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752CB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D4F13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88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6AF6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4E62F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6EC1B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9C00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CD9B3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30D91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3E3F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599B5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811D7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2EE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60A4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634A3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EBBBE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D1135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09DD1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DB715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76EE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0D8EF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44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6B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32E7E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B75120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EB6A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9BE07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3BB55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250A5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949B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464E74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C7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F7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2C7CA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657009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5DF56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2ED1A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7FB0F2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63743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0A4D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5C29F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3D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FC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60CF9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5975E8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11505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624C6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5F6EA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3F5F2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EF30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FAC0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CA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3AB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D3948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89D13F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B0460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87937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655F08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14436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32E07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B177AD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FC0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9A75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30C70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E20AB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DFCF8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ABCEC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4FED7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7D019D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31FBE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47A52F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15C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D42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06F75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BB6C5A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FBE3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1FBCB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6E15B2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D669D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CB35E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6310F9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0B8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E9B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C34D88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D8FAEF">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83.54 </w:t>
            </w:r>
          </w:p>
        </w:tc>
        <w:tc>
          <w:tcPr>
            <w:tcW w:w="12067" w:type="dxa"/>
            <w:gridSpan w:val="5"/>
            <w:tcBorders>
              <w:top w:val="nil"/>
              <w:left w:val="nil"/>
              <w:bottom w:val="single" w:color="000000" w:sz="4" w:space="0"/>
              <w:right w:val="single" w:color="000000" w:sz="4" w:space="0"/>
            </w:tcBorders>
            <w:shd w:val="clear" w:color="auto" w:fill="auto"/>
            <w:vAlign w:val="center"/>
          </w:tcPr>
          <w:p w14:paraId="2D3BDEE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6003A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bl>
    <w:p w14:paraId="630FB04F">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CDF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569B7E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3677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302CD0E">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巫溪县兰英乡卫生院</w:t>
            </w:r>
          </w:p>
        </w:tc>
        <w:tc>
          <w:tcPr>
            <w:tcW w:w="1156" w:type="dxa"/>
            <w:tcBorders>
              <w:top w:val="nil"/>
              <w:left w:val="nil"/>
              <w:bottom w:val="nil"/>
              <w:right w:val="nil"/>
            </w:tcBorders>
            <w:shd w:val="clear" w:color="auto" w:fill="auto"/>
            <w:vAlign w:val="bottom"/>
          </w:tcPr>
          <w:p w14:paraId="1D260C5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241C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7A61B49">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149640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41B6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AD1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C0EB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86DE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CBA9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83A3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D208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CF89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D00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7EF36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26C94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13FB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563E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A079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5B0F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C912F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60A0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6B42F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FD52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8CFD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4AC5A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1357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A31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10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BA6C3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FAEAA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3CD33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9E0BA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74A9F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0F081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34D63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A9A8F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7A90E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8B8DA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FC1BB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EAC54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6E4C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682CA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F21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66E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9E57E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485F7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F8046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B71A2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DA348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64F8E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0958C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A9DE9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FFF04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64E70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6B466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DD8BC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5C610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201EF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2E7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5F5A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8B04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6D83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0EA2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96E16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850F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9FBF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EB69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E6CD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4D0E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E34F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F6C3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9143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8E5D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196A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2E62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14B7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9A5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55C25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C3610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CD7E3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A0A6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E5C5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0BE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EF21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909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9ECC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7BA6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76F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0CE0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D974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31973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DE2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09A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8CF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D5A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607A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59D82F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175D1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EEA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2BE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C209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A575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7CFB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7D0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2546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963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657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FBF8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D82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D43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D16C524">
      <w:pPr>
        <w:rPr>
          <w:rFonts w:cs="宋体"/>
          <w:color w:val="auto"/>
          <w:sz w:val="20"/>
          <w:szCs w:val="20"/>
        </w:rPr>
      </w:pPr>
      <w:r>
        <w:rPr>
          <w:rFonts w:cs="宋体"/>
          <w:color w:val="auto"/>
          <w:sz w:val="20"/>
          <w:szCs w:val="20"/>
        </w:rPr>
        <w:t>备注：本表反映单位本年度政府性基金预算财政拨款收入支出及结转和结余情况。</w:t>
      </w:r>
    </w:p>
    <w:p w14:paraId="2A57AEE9">
      <w:pPr>
        <w:ind w:firstLine="600" w:firstLineChars="300"/>
        <w:rPr>
          <w:rFonts w:hint="eastAsia" w:ascii="宋体" w:hAnsi="宋体" w:eastAsia="宋体" w:cs="宋体"/>
          <w:sz w:val="21"/>
          <w:szCs w:val="21"/>
        </w:rPr>
      </w:pPr>
      <w:r>
        <w:rPr>
          <w:rFonts w:cs="宋体"/>
          <w:color w:val="auto"/>
          <w:sz w:val="20"/>
          <w:szCs w:val="20"/>
        </w:rPr>
        <w:t>本</w:t>
      </w:r>
      <w:r>
        <w:rPr>
          <w:rFonts w:hint="eastAsia" w:cs="宋体"/>
          <w:color w:val="auto"/>
          <w:sz w:val="20"/>
          <w:szCs w:val="20"/>
          <w:lang w:eastAsia="zh-CN"/>
        </w:rPr>
        <w:t>年</w:t>
      </w:r>
      <w:r>
        <w:rPr>
          <w:rFonts w:cs="宋体"/>
          <w:color w:val="auto"/>
          <w:sz w:val="20"/>
          <w:szCs w:val="20"/>
        </w:rPr>
        <w:t>无政府性基金收支，故本表无数据。</w:t>
      </w:r>
    </w:p>
    <w:p w14:paraId="7F2A1F37">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079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DDA87A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4480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1215FD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巫溪县兰英乡卫生院</w:t>
            </w:r>
          </w:p>
        </w:tc>
        <w:tc>
          <w:tcPr>
            <w:tcW w:w="2116" w:type="dxa"/>
            <w:tcBorders>
              <w:top w:val="nil"/>
              <w:left w:val="nil"/>
              <w:bottom w:val="nil"/>
              <w:right w:val="nil"/>
            </w:tcBorders>
            <w:shd w:val="clear" w:color="auto" w:fill="auto"/>
            <w:vAlign w:val="bottom"/>
          </w:tcPr>
          <w:p w14:paraId="1F021B5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7359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97FAEAC">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0D74820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F6A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8A7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CC8A0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318A9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CA247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2014D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24922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93AC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CE30C">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E826728">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84445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42CA9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8F848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368C349">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861D9AD">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0276D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1F505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19865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39CA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F85F5">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95FD031">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A3E018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9AD4E27">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455169F">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63F72A1">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EAFAA21">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836F257">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E3619D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E70DE70">
            <w:pPr>
              <w:jc w:val="center"/>
              <w:rPr>
                <w:rFonts w:hint="eastAsia" w:ascii="宋体" w:hAnsi="宋体" w:eastAsia="宋体" w:cs="宋体"/>
                <w:i w:val="0"/>
                <w:iCs w:val="0"/>
                <w:color w:val="000000"/>
                <w:sz w:val="22"/>
                <w:szCs w:val="22"/>
                <w:u w:val="none"/>
              </w:rPr>
            </w:pPr>
          </w:p>
        </w:tc>
      </w:tr>
      <w:tr w14:paraId="23119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7CB42">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7A06999">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7574B12">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CF630C5">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1B7DB2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78ED758">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7B47E34">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5DD73FC">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879DDE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666D787">
            <w:pPr>
              <w:jc w:val="center"/>
              <w:rPr>
                <w:rFonts w:hint="eastAsia" w:ascii="宋体" w:hAnsi="宋体" w:eastAsia="宋体" w:cs="宋体"/>
                <w:i w:val="0"/>
                <w:iCs w:val="0"/>
                <w:color w:val="000000"/>
                <w:sz w:val="22"/>
                <w:szCs w:val="22"/>
                <w:u w:val="none"/>
              </w:rPr>
            </w:pPr>
          </w:p>
        </w:tc>
      </w:tr>
      <w:tr w14:paraId="282D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9D3C9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18E52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2E3D8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5DE9B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798343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7E47D1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4C8979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210C01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A014F3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24D4A2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C8381B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CEE846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70B3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05D63C7">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AA73576">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2117553">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E49F2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D06319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4F0D20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4B50E0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FF17D3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C1E5EE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4E27E4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FF5D61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AE8DD5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8076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F72B480">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25AEDAA">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6045F71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88E6BA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F1607C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7613D4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DBD42F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530CDE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5B0CF2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FA7D58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CA0156B">
      <w:pPr>
        <w:numPr>
          <w:ilvl w:val="0"/>
          <w:numId w:val="0"/>
        </w:numPr>
        <w:rPr>
          <w:rFonts w:cs="宋体"/>
          <w:color w:val="auto"/>
          <w:sz w:val="20"/>
          <w:szCs w:val="20"/>
        </w:rPr>
      </w:pPr>
      <w:r>
        <w:rPr>
          <w:rFonts w:cs="宋体"/>
          <w:color w:val="auto"/>
          <w:sz w:val="20"/>
          <w:szCs w:val="20"/>
        </w:rPr>
        <w:t>备注：本表反映单位本年度国有资本经营预算财政拨款支出情况。</w:t>
      </w:r>
    </w:p>
    <w:p w14:paraId="29CFD606">
      <w:pPr>
        <w:numPr>
          <w:ilvl w:val="0"/>
          <w:numId w:val="0"/>
        </w:numPr>
        <w:ind w:firstLine="600" w:firstLineChars="300"/>
        <w:rPr>
          <w:rFonts w:hint="eastAsia" w:ascii="宋体" w:hAnsi="宋体" w:eastAsia="宋体" w:cs="宋体"/>
          <w:sz w:val="21"/>
          <w:szCs w:val="21"/>
        </w:rPr>
      </w:pPr>
      <w:r>
        <w:rPr>
          <w:rFonts w:cs="宋体"/>
          <w:color w:val="auto"/>
          <w:sz w:val="20"/>
          <w:szCs w:val="20"/>
        </w:rPr>
        <w:t>本</w:t>
      </w:r>
      <w:r>
        <w:rPr>
          <w:rFonts w:hint="eastAsia" w:cs="宋体"/>
          <w:color w:val="auto"/>
          <w:sz w:val="20"/>
          <w:szCs w:val="20"/>
          <w:lang w:eastAsia="zh-CN"/>
        </w:rPr>
        <w:t>年</w:t>
      </w:r>
      <w:r>
        <w:rPr>
          <w:rFonts w:cs="宋体"/>
          <w:color w:val="auto"/>
          <w:sz w:val="20"/>
          <w:szCs w:val="20"/>
        </w:rPr>
        <w:t>无国有资本经营收支，故本表无数据。</w:t>
      </w:r>
    </w:p>
    <w:p w14:paraId="482787F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48AB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3529C06F">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6248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61B7A23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巫溪县兰英乡卫生院</w:t>
            </w:r>
          </w:p>
        </w:tc>
        <w:tc>
          <w:tcPr>
            <w:tcW w:w="4284" w:type="dxa"/>
            <w:tcBorders>
              <w:top w:val="nil"/>
              <w:left w:val="nil"/>
              <w:bottom w:val="nil"/>
              <w:right w:val="nil"/>
            </w:tcBorders>
            <w:shd w:val="clear" w:color="auto" w:fill="auto"/>
            <w:vAlign w:val="bottom"/>
          </w:tcPr>
          <w:p w14:paraId="5FD92F9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2090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A0B2885">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3ECF241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5B8A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E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F537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3B78B5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576A1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5640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137CDC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0EE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07DD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3B5F65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43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92805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770F8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8B2A5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54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7F2E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FF711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FB6B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830E5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1D25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683B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8E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5E2AD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6A6B4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D882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97421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A1CE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619C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C5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DD9A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56EA2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2653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D7FA6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37B68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8F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BD8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18E6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584502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AE24D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DFF02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4EF92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C02A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C08B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66469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D52F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8171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1CE1F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261B0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8BE3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6A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8BBF3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29739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6BCB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7AE62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AFD6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DCDB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2F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F38C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07169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297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F7B9B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53485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51C9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E6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C4F7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78774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371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8EE93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44EB7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53DE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EA40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7D36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44D0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B45A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CD3A2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523DB8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8B241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D3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07305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0990BA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0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A574B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310A5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C63BC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67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33BC5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37A6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1554C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90EE4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1570C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028B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A8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5DF5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EA4E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A5C2B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6476D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30583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F4C4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C8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8802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6212D2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A1158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FE7F9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441FF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CE6DD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E8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34AD2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60A0E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24F94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0C117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65BADC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B0D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AA5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357D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34E17A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15501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EA374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43B8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4E56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43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0072D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7CD98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07F9C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7AB28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568274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9E859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B0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0A87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238807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198C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E757F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02B09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4656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79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7DBC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3CBBA0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B81E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8F797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4DF8D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4EFD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730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AB18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E90F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EFDB5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3481F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143B5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C074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91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8F68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59A4E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7F7C2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EF22F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EB2E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DFB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01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85FFD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27193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2A8F193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624FEC7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EEF9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6585C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B40E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B4283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576BB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855D97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786A27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EA3D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AEED56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82E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E7974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B9E6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7A8426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398ECD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7679B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5E285C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3BE8796">
      <w:pPr>
        <w:rPr>
          <w:rFonts w:hint="eastAsia" w:ascii="宋体" w:hAnsi="宋体" w:eastAsia="宋体" w:cs="宋体"/>
          <w:color w:val="000000"/>
          <w:sz w:val="21"/>
          <w:szCs w:val="21"/>
          <w:lang w:bidi="ar"/>
        </w:rPr>
      </w:pPr>
    </w:p>
    <w:p w14:paraId="098BF639">
      <w:pPr>
        <w:rPr>
          <w:rFonts w:hint="eastAsia" w:ascii="宋体" w:hAnsi="宋体" w:eastAsia="宋体" w:cs="宋体"/>
          <w:color w:val="000000"/>
          <w:sz w:val="21"/>
          <w:szCs w:val="21"/>
          <w:lang w:bidi="ar"/>
        </w:rPr>
      </w:pPr>
    </w:p>
    <w:p w14:paraId="31C201B4">
      <w:pPr>
        <w:rPr>
          <w:rFonts w:hint="eastAsia" w:ascii="宋体" w:hAnsi="宋体" w:eastAsia="宋体" w:cs="宋体"/>
          <w:color w:val="000000"/>
          <w:sz w:val="21"/>
          <w:szCs w:val="21"/>
          <w:lang w:bidi="ar"/>
        </w:rPr>
      </w:pPr>
    </w:p>
    <w:p w14:paraId="764E19C8">
      <w:pPr>
        <w:rPr>
          <w:rFonts w:hint="eastAsia" w:ascii="宋体" w:hAnsi="宋体" w:eastAsia="宋体" w:cs="宋体"/>
          <w:color w:val="000000"/>
          <w:sz w:val="21"/>
          <w:szCs w:val="21"/>
          <w:lang w:bidi="ar"/>
        </w:rPr>
      </w:pPr>
    </w:p>
    <w:p w14:paraId="24F8A367">
      <w:pPr>
        <w:rPr>
          <w:rFonts w:hint="eastAsia" w:ascii="宋体" w:hAnsi="宋体" w:eastAsia="宋体" w:cs="宋体"/>
          <w:color w:val="000000"/>
          <w:sz w:val="21"/>
          <w:szCs w:val="21"/>
          <w:lang w:bidi="ar"/>
        </w:rPr>
      </w:pPr>
    </w:p>
    <w:p w14:paraId="2DA9DE9C">
      <w:pPr>
        <w:rPr>
          <w:rFonts w:hint="eastAsia" w:ascii="宋体" w:hAnsi="宋体" w:eastAsia="宋体" w:cs="宋体"/>
          <w:color w:val="000000"/>
          <w:sz w:val="21"/>
          <w:szCs w:val="21"/>
          <w:lang w:bidi="ar"/>
        </w:rPr>
      </w:pPr>
    </w:p>
    <w:p w14:paraId="1CB2BD0F">
      <w:pPr>
        <w:rPr>
          <w:rFonts w:hint="eastAsia" w:ascii="宋体" w:hAnsi="宋体" w:eastAsia="宋体" w:cs="宋体"/>
          <w:color w:val="000000"/>
          <w:sz w:val="21"/>
          <w:szCs w:val="21"/>
          <w:lang w:bidi="ar"/>
        </w:rPr>
      </w:pPr>
    </w:p>
    <w:p w14:paraId="1EB6DB71">
      <w:pPr>
        <w:rPr>
          <w:rFonts w:hint="eastAsia" w:ascii="宋体" w:hAnsi="宋体" w:eastAsia="宋体" w:cs="宋体"/>
          <w:color w:val="000000"/>
          <w:sz w:val="21"/>
          <w:szCs w:val="21"/>
          <w:lang w:bidi="ar"/>
        </w:rPr>
      </w:pPr>
    </w:p>
    <w:p w14:paraId="7CEE2932">
      <w:pPr>
        <w:rPr>
          <w:rFonts w:hint="eastAsia" w:ascii="宋体" w:hAnsi="宋体" w:eastAsia="宋体" w:cs="宋体"/>
          <w:color w:val="000000"/>
          <w:sz w:val="21"/>
          <w:szCs w:val="21"/>
          <w:lang w:bidi="ar"/>
        </w:rPr>
      </w:pPr>
    </w:p>
    <w:p w14:paraId="5EBD2696">
      <w:pPr>
        <w:pStyle w:val="10"/>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25227">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619D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2619D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8132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7305C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27305C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A4208D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3A4208D5">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DE08E">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9BEE0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F9BEE0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1063FF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1063FF3">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D705F">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44A5">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116F4"/>
    <w:multiLevelType w:val="singleLevel"/>
    <w:tmpl w:val="EAC116F4"/>
    <w:lvl w:ilvl="0" w:tentative="0">
      <w:start w:val="1"/>
      <w:numFmt w:val="chineseCounting"/>
      <w:suff w:val="nothing"/>
      <w:lvlText w:val="（%1）"/>
      <w:lvlJc w:val="left"/>
      <w:rPr>
        <w:rFonts w:hint="eastAsia"/>
      </w:rPr>
    </w:lvl>
  </w:abstractNum>
  <w:abstractNum w:abstractNumId="1">
    <w:nsid w:val="EDD1BC49"/>
    <w:multiLevelType w:val="singleLevel"/>
    <w:tmpl w:val="EDD1BC49"/>
    <w:lvl w:ilvl="0" w:tentative="0">
      <w:start w:val="5"/>
      <w:numFmt w:val="chineseCounting"/>
      <w:suff w:val="nothing"/>
      <w:lvlText w:val="（%1）"/>
      <w:lvlJc w:val="left"/>
      <w:rPr>
        <w:rFonts w:hint="eastAsia"/>
      </w:rPr>
    </w:lvl>
  </w:abstractNum>
  <w:abstractNum w:abstractNumId="2">
    <w:nsid w:val="3E1816DC"/>
    <w:multiLevelType w:val="singleLevel"/>
    <w:tmpl w:val="3E1816D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305094"/>
    <w:rsid w:val="03E3214F"/>
    <w:rsid w:val="04446191"/>
    <w:rsid w:val="044C50BA"/>
    <w:rsid w:val="05F257ED"/>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217CED"/>
    <w:rsid w:val="1B6F15B6"/>
    <w:rsid w:val="1BAA2EDC"/>
    <w:rsid w:val="1CE157EE"/>
    <w:rsid w:val="1D014A01"/>
    <w:rsid w:val="1D022362"/>
    <w:rsid w:val="1D396AE3"/>
    <w:rsid w:val="1DD26311"/>
    <w:rsid w:val="1EF67CA4"/>
    <w:rsid w:val="1FCD26AF"/>
    <w:rsid w:val="20642787"/>
    <w:rsid w:val="20D24FD9"/>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5704A8"/>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A054F7"/>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3360D"/>
    <w:rsid w:val="6C560CAE"/>
    <w:rsid w:val="6C692E30"/>
    <w:rsid w:val="6D0615E4"/>
    <w:rsid w:val="6D903FF5"/>
    <w:rsid w:val="6DA955B8"/>
    <w:rsid w:val="6DE346AB"/>
    <w:rsid w:val="6F7F6A2D"/>
    <w:rsid w:val="6FB442D1"/>
    <w:rsid w:val="6FFB2E76"/>
    <w:rsid w:val="71C34D91"/>
    <w:rsid w:val="71ED38AA"/>
    <w:rsid w:val="720229AA"/>
    <w:rsid w:val="72DB435C"/>
    <w:rsid w:val="750837F0"/>
    <w:rsid w:val="7578190E"/>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pPr>
    <w:rPr>
      <w:sz w:val="18"/>
      <w:szCs w:val="18"/>
    </w:rPr>
  </w:style>
  <w:style w:type="paragraph" w:customStyle="1" w:styleId="3">
    <w:name w:val="索引 51"/>
    <w:basedOn w:val="1"/>
    <w:next w:val="1"/>
    <w:qFormat/>
    <w:uiPriority w:val="0"/>
    <w:pPr>
      <w:ind w:left="1680"/>
    </w:p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普通(网站) Char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6951</Words>
  <Characters>9059</Characters>
  <Lines>161</Lines>
  <Paragraphs>45</Paragraphs>
  <TotalTime>2</TotalTime>
  <ScaleCrop>false</ScaleCrop>
  <LinksUpToDate>false</LinksUpToDate>
  <CharactersWithSpaces>9666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【生活つ°】</cp:lastModifiedBy>
  <dcterms:modified xsi:type="dcterms:W3CDTF">2025-09-18T02:42:05Z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9EDAFD8FD9424A54844071572B3E9A06_13</vt:lpwstr>
  </property>
  <property fmtid="{D5CDD505-2E9C-101B-9397-08002B2CF9AE}" pid="4" name="KSOTemplateDocerSaveRecord">
    <vt:lpwstr>eyJoZGlkIjoiM2Y4OGJlYTUxNDM5YzM4YTVkMGVjOTQxZDJiYTIwOTMiLCJ1c2VySWQiOiI0MDQ5NzA3MjEifQ==</vt:lpwstr>
  </property>
</Properties>
</file>