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4" w:lineRule="exact"/>
        <w:ind w:left="0" w:leftChars="0"/>
        <w:jc w:val="center"/>
        <w:textAlignment w:val="auto"/>
        <w:rPr>
          <w:rFonts w:hint="eastAsia" w:ascii="方正小标宋_GBK" w:hAnsi="方正小标宋_GBK" w:eastAsia="方正小标宋_GBK" w:cs="方正小标宋_GBK"/>
          <w:sz w:val="44"/>
          <w:szCs w:val="44"/>
          <w:lang w:eastAsia="zh-CN"/>
        </w:rPr>
      </w:pPr>
    </w:p>
    <w:p>
      <w:pPr>
        <w:pStyle w:val="2"/>
        <w:keepNext w:val="0"/>
        <w:keepLines w:val="0"/>
        <w:pageBreakBefore w:val="0"/>
        <w:kinsoku/>
        <w:wordWrap/>
        <w:overflowPunct/>
        <w:autoSpaceDE/>
        <w:bidi w:val="0"/>
        <w:spacing w:after="0" w:line="594" w:lineRule="exact"/>
        <w:ind w:left="0" w:leftChars="0"/>
        <w:textAlignment w:val="auto"/>
        <w:rPr>
          <w:rFonts w:hint="eastAsia" w:ascii="方正小标宋_GBK" w:hAnsi="方正小标宋_GBK" w:eastAsia="方正小标宋_GBK" w:cs="方正小标宋_GBK"/>
          <w:sz w:val="44"/>
          <w:szCs w:val="44"/>
          <w:lang w:eastAsia="zh-CN"/>
        </w:rPr>
      </w:pPr>
    </w:p>
    <w:p>
      <w:pPr>
        <w:pStyle w:val="3"/>
        <w:keepNext w:val="0"/>
        <w:keepLines w:val="0"/>
        <w:pageBreakBefore w:val="0"/>
        <w:kinsoku/>
        <w:wordWrap/>
        <w:overflowPunct/>
        <w:autoSpaceDE/>
        <w:bidi w:val="0"/>
        <w:spacing w:line="594" w:lineRule="exact"/>
        <w:ind w:left="0" w:leftChars="0"/>
        <w:textAlignment w:val="auto"/>
        <w:rPr>
          <w:rFonts w:hint="eastAsia" w:ascii="方正小标宋_GBK" w:hAnsi="方正小标宋_GBK" w:eastAsia="方正小标宋_GBK" w:cs="方正小标宋_GBK"/>
          <w:sz w:val="44"/>
          <w:szCs w:val="44"/>
          <w:lang w:eastAsia="zh-CN"/>
        </w:rPr>
      </w:pPr>
    </w:p>
    <w:p>
      <w:pPr>
        <w:keepNext w:val="0"/>
        <w:keepLines w:val="0"/>
        <w:pageBreakBefore w:val="0"/>
        <w:kinsoku/>
        <w:wordWrap/>
        <w:overflowPunct/>
        <w:autoSpaceDE/>
        <w:bidi w:val="0"/>
        <w:spacing w:line="594" w:lineRule="exact"/>
        <w:ind w:left="0" w:leftChars="0"/>
        <w:textAlignment w:val="auto"/>
        <w:rPr>
          <w:rFonts w:hint="eastAsia" w:ascii="方正小标宋_GBK" w:hAnsi="方正小标宋_GBK" w:eastAsia="方正小标宋_GBK" w:cs="方正小标宋_GBK"/>
          <w:sz w:val="44"/>
          <w:szCs w:val="44"/>
          <w:lang w:eastAsia="zh-CN"/>
        </w:rPr>
      </w:pPr>
    </w:p>
    <w:p>
      <w:pPr>
        <w:pStyle w:val="2"/>
        <w:keepNext w:val="0"/>
        <w:keepLines w:val="0"/>
        <w:pageBreakBefore w:val="0"/>
        <w:kinsoku/>
        <w:wordWrap/>
        <w:overflowPunct/>
        <w:autoSpaceDE/>
        <w:bidi w:val="0"/>
        <w:spacing w:after="0" w:line="594" w:lineRule="exact"/>
        <w:ind w:left="0" w:leftChars="0"/>
        <w:textAlignment w:val="auto"/>
        <w:rPr>
          <w:rFonts w:hint="eastAsia" w:ascii="方正小标宋_GBK" w:hAnsi="方正小标宋_GBK" w:eastAsia="方正小标宋_GBK" w:cs="方正小标宋_GBK"/>
          <w:sz w:val="44"/>
          <w:szCs w:val="44"/>
          <w:lang w:eastAsia="zh-CN"/>
        </w:rPr>
      </w:pPr>
    </w:p>
    <w:p>
      <w:pPr>
        <w:pStyle w:val="3"/>
        <w:keepNext w:val="0"/>
        <w:keepLines w:val="0"/>
        <w:pageBreakBefore w:val="0"/>
        <w:kinsoku/>
        <w:wordWrap/>
        <w:overflowPunct/>
        <w:autoSpaceDE/>
        <w:bidi w:val="0"/>
        <w:spacing w:line="594" w:lineRule="exact"/>
        <w:ind w:left="0" w:leftChars="0"/>
        <w:textAlignment w:val="auto"/>
        <w:rPr>
          <w:rFonts w:hint="eastAsia" w:ascii="方正小标宋_GBK" w:hAnsi="方正小标宋_GBK" w:eastAsia="方正小标宋_GBK" w:cs="方正小标宋_GBK"/>
          <w:sz w:val="44"/>
          <w:szCs w:val="44"/>
          <w:lang w:eastAsia="zh-CN"/>
        </w:rPr>
      </w:pPr>
    </w:p>
    <w:p>
      <w:pPr>
        <w:keepNext w:val="0"/>
        <w:keepLines w:val="0"/>
        <w:pageBreakBefore w:val="0"/>
        <w:kinsoku/>
        <w:wordWrap/>
        <w:overflowPunct/>
        <w:autoSpaceDE/>
        <w:bidi w:val="0"/>
        <w:spacing w:line="594" w:lineRule="exact"/>
        <w:ind w:left="0" w:leftChars="0"/>
        <w:textAlignment w:val="auto"/>
        <w:rPr>
          <w:rFonts w:hint="eastAsia"/>
          <w:lang w:eastAsia="zh-CN"/>
        </w:rPr>
      </w:pPr>
    </w:p>
    <w:p>
      <w:pPr>
        <w:keepNext w:val="0"/>
        <w:keepLines w:val="0"/>
        <w:pageBreakBefore w:val="0"/>
        <w:widowControl/>
        <w:kinsoku/>
        <w:wordWrap/>
        <w:overflowPunct/>
        <w:topLinePunct/>
        <w:autoSpaceDE/>
        <w:autoSpaceDN w:val="0"/>
        <w:bidi w:val="0"/>
        <w:adjustRightInd w:val="0"/>
        <w:snapToGrid w:val="0"/>
        <w:spacing w:line="594" w:lineRule="exact"/>
        <w:ind w:left="0" w:leftChars="0"/>
        <w:jc w:val="center"/>
        <w:textAlignment w:val="auto"/>
        <w:rPr>
          <w:rFonts w:hint="eastAsia"/>
          <w:lang w:eastAsia="zh-CN"/>
        </w:rPr>
      </w:pPr>
      <w:r>
        <w:rPr>
          <w:rFonts w:hint="eastAsia" w:ascii="Times New Roman" w:hAnsi="Times New Roman" w:eastAsia="方正仿宋_GBK" w:cs="Times New Roman"/>
          <w:color w:val="000000" w:themeColor="text1"/>
          <w:kern w:val="0"/>
          <w:sz w:val="32"/>
          <w:szCs w:val="32"/>
          <w:u w:val="none"/>
          <w:lang w:val="en-US" w:eastAsia="zh-CN"/>
          <w14:textFill>
            <w14:solidFill>
              <w14:schemeClr w14:val="tx1"/>
            </w14:solidFill>
          </w14:textFill>
        </w:rPr>
        <w:t>溪医保处罚字〔2024〕第002号</w:t>
      </w:r>
    </w:p>
    <w:p>
      <w:pPr>
        <w:pStyle w:val="2"/>
        <w:keepNext w:val="0"/>
        <w:keepLines w:val="0"/>
        <w:pageBreakBefore w:val="0"/>
        <w:kinsoku/>
        <w:wordWrap/>
        <w:overflowPunct/>
        <w:autoSpaceDE/>
        <w:bidi w:val="0"/>
        <w:spacing w:after="0" w:line="594" w:lineRule="exact"/>
        <w:ind w:left="0" w:leftChars="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巫溪县</w:t>
      </w:r>
      <w:r>
        <w:rPr>
          <w:rFonts w:hint="eastAsia" w:ascii="方正小标宋_GBK" w:hAnsi="方正小标宋_GBK" w:eastAsia="方正小标宋_GBK" w:cs="方正小标宋_GBK"/>
          <w:sz w:val="44"/>
          <w:szCs w:val="44"/>
        </w:rPr>
        <w:t>医疗保障局行政处罚决定书</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方正仿宋_GBK" w:hAnsi="方正仿宋_GBK" w:eastAsia="方正仿宋_GBK" w:cs="方正仿宋_GBK"/>
          <w:sz w:val="32"/>
          <w:szCs w:val="32"/>
        </w:rPr>
      </w:pPr>
    </w:p>
    <w:p>
      <w:pPr>
        <w:keepNext w:val="0"/>
        <w:keepLines w:val="0"/>
        <w:pageBreakBefore w:val="0"/>
        <w:widowControl/>
        <w:kinsoku/>
        <w:wordWrap/>
        <w:overflowPunct/>
        <w:topLinePunct/>
        <w:autoSpaceDE/>
        <w:autoSpaceDN w:val="0"/>
        <w:bidi w:val="0"/>
        <w:adjustRightInd w:val="0"/>
        <w:snapToGrid w:val="0"/>
        <w:spacing w:line="594" w:lineRule="exact"/>
        <w:ind w:firstLine="640" w:firstLineChars="200"/>
        <w:textAlignment w:val="auto"/>
        <w:rPr>
          <w:rFonts w:hint="eastAsia" w:ascii="Times New Roman" w:hAnsi="Times New Roman" w:eastAsia="方正仿宋_GBK" w:cs="Times New Roman"/>
          <w:color w:val="000000" w:themeColor="text1"/>
          <w:kern w:val="0"/>
          <w:sz w:val="32"/>
          <w:szCs w:val="32"/>
          <w:u w:val="none"/>
          <w:lang w:val="en-US" w:eastAsia="zh-CN"/>
          <w14:textFill>
            <w14:solidFill>
              <w14:schemeClr w14:val="tx1"/>
            </w14:solidFill>
          </w14:textFill>
        </w:rPr>
      </w:pPr>
      <w:r>
        <w:rPr>
          <w:rFonts w:hint="eastAsia" w:ascii="Times New Roman" w:hAnsi="Times New Roman" w:eastAsia="方正仿宋_GBK" w:cs="Times New Roman"/>
          <w:color w:val="000000" w:themeColor="text1"/>
          <w:kern w:val="0"/>
          <w:sz w:val="32"/>
          <w:szCs w:val="32"/>
          <w:u w:val="none"/>
          <w:lang w:val="en-US" w:eastAsia="zh-CN"/>
          <w14:textFill>
            <w14:solidFill>
              <w14:schemeClr w14:val="tx1"/>
            </w14:solidFill>
          </w14:textFill>
        </w:rPr>
        <w:t xml:space="preserve">当事人：巫溪县新城医院（有限合伙）                                        </w:t>
      </w:r>
    </w:p>
    <w:p>
      <w:pPr>
        <w:keepNext w:val="0"/>
        <w:keepLines w:val="0"/>
        <w:pageBreakBefore w:val="0"/>
        <w:widowControl/>
        <w:kinsoku/>
        <w:wordWrap/>
        <w:overflowPunct/>
        <w:topLinePunct/>
        <w:autoSpaceDE/>
        <w:autoSpaceDN w:val="0"/>
        <w:bidi w:val="0"/>
        <w:adjustRightInd w:val="0"/>
        <w:snapToGrid w:val="0"/>
        <w:spacing w:line="594" w:lineRule="exact"/>
        <w:ind w:firstLine="640" w:firstLineChars="200"/>
        <w:textAlignment w:val="auto"/>
        <w:rPr>
          <w:rFonts w:hint="eastAsia" w:ascii="Times New Roman" w:hAnsi="Times New Roman" w:eastAsia="方正仿宋_GBK" w:cs="Times New Roman"/>
          <w:color w:val="000000" w:themeColor="text1"/>
          <w:kern w:val="0"/>
          <w:sz w:val="32"/>
          <w:szCs w:val="32"/>
          <w:u w:val="none"/>
          <w:lang w:val="en-US" w:eastAsia="zh-CN"/>
          <w14:textFill>
            <w14:solidFill>
              <w14:schemeClr w14:val="tx1"/>
            </w14:solidFill>
          </w14:textFill>
        </w:rPr>
      </w:pPr>
      <w:bookmarkStart w:id="1" w:name="_GoBack"/>
      <w:bookmarkEnd w:id="1"/>
      <w:r>
        <w:rPr>
          <w:rFonts w:hint="eastAsia" w:ascii="Times New Roman" w:hAnsi="Times New Roman" w:eastAsia="方正仿宋_GBK" w:cs="Times New Roman"/>
          <w:color w:val="000000" w:themeColor="text1"/>
          <w:kern w:val="0"/>
          <w:sz w:val="32"/>
          <w:szCs w:val="32"/>
          <w:u w:val="none"/>
          <w:lang w:val="en-US" w:eastAsia="zh-CN"/>
          <w14:textFill>
            <w14:solidFill>
              <w14:schemeClr w14:val="tx1"/>
            </w14:solidFill>
          </w14:textFill>
        </w:rPr>
        <w:t xml:space="preserve">统一社会信用代码（单位）：91500238MA5U5MTQ8W                                  </w:t>
      </w:r>
    </w:p>
    <w:p>
      <w:pPr>
        <w:keepNext w:val="0"/>
        <w:keepLines w:val="0"/>
        <w:pageBreakBefore w:val="0"/>
        <w:widowControl/>
        <w:kinsoku/>
        <w:wordWrap/>
        <w:overflowPunct/>
        <w:topLinePunct/>
        <w:autoSpaceDE/>
        <w:autoSpaceDN w:val="0"/>
        <w:bidi w:val="0"/>
        <w:adjustRightInd w:val="0"/>
        <w:snapToGrid w:val="0"/>
        <w:spacing w:line="594" w:lineRule="exact"/>
        <w:ind w:firstLine="640" w:firstLineChars="200"/>
        <w:textAlignment w:val="auto"/>
        <w:rPr>
          <w:rFonts w:hint="eastAsia" w:ascii="Times New Roman" w:hAnsi="Times New Roman" w:eastAsia="方正仿宋_GBK" w:cs="Times New Roman"/>
          <w:color w:val="000000" w:themeColor="text1"/>
          <w:kern w:val="0"/>
          <w:sz w:val="32"/>
          <w:szCs w:val="32"/>
          <w:u w:val="none"/>
          <w:lang w:val="en-US" w:eastAsia="zh-CN"/>
          <w14:textFill>
            <w14:solidFill>
              <w14:schemeClr w14:val="tx1"/>
            </w14:solidFill>
          </w14:textFill>
        </w:rPr>
      </w:pPr>
      <w:r>
        <w:rPr>
          <w:rFonts w:hint="eastAsia" w:ascii="Times New Roman" w:hAnsi="Times New Roman" w:eastAsia="方正仿宋_GBK" w:cs="Times New Roman"/>
          <w:color w:val="000000" w:themeColor="text1"/>
          <w:kern w:val="0"/>
          <w:sz w:val="32"/>
          <w:szCs w:val="32"/>
          <w:u w:val="none"/>
          <w:lang w:val="en-US" w:eastAsia="zh-CN"/>
          <w14:textFill>
            <w14:solidFill>
              <w14:schemeClr w14:val="tx1"/>
            </w14:solidFill>
          </w14:textFill>
        </w:rPr>
        <w:t xml:space="preserve">住所或地址：重庆市巫溪县环城太平路228号                                         </w:t>
      </w:r>
    </w:p>
    <w:p>
      <w:pPr>
        <w:keepNext w:val="0"/>
        <w:keepLines w:val="0"/>
        <w:pageBreakBefore w:val="0"/>
        <w:widowControl/>
        <w:kinsoku/>
        <w:wordWrap/>
        <w:overflowPunct/>
        <w:topLinePunct/>
        <w:autoSpaceDE/>
        <w:autoSpaceDN w:val="0"/>
        <w:bidi w:val="0"/>
        <w:adjustRightInd w:val="0"/>
        <w:snapToGrid w:val="0"/>
        <w:spacing w:line="594" w:lineRule="exact"/>
        <w:ind w:firstLine="640" w:firstLineChars="200"/>
        <w:textAlignment w:val="auto"/>
        <w:rPr>
          <w:rFonts w:hint="eastAsia" w:ascii="Times New Roman" w:hAnsi="Times New Roman" w:eastAsia="方正仿宋_GBK" w:cs="Times New Roman"/>
          <w:color w:val="000000" w:themeColor="text1"/>
          <w:kern w:val="0"/>
          <w:sz w:val="32"/>
          <w:szCs w:val="32"/>
          <w:u w:val="none"/>
          <w:lang w:val="en-US" w:eastAsia="zh-CN"/>
          <w14:textFill>
            <w14:solidFill>
              <w14:schemeClr w14:val="tx1"/>
            </w14:solidFill>
          </w14:textFill>
        </w:rPr>
      </w:pPr>
      <w:r>
        <w:rPr>
          <w:rFonts w:hint="eastAsia" w:ascii="Times New Roman" w:hAnsi="Times New Roman" w:eastAsia="方正仿宋_GBK" w:cs="Times New Roman"/>
          <w:color w:val="000000" w:themeColor="text1"/>
          <w:kern w:val="0"/>
          <w:sz w:val="32"/>
          <w:szCs w:val="32"/>
          <w:u w:val="none"/>
          <w:lang w:val="en-US" w:eastAsia="zh-CN"/>
          <w14:textFill>
            <w14:solidFill>
              <w14:schemeClr w14:val="tx1"/>
            </w14:solidFill>
          </w14:textFill>
        </w:rPr>
        <w:t xml:space="preserve">法定代表人：陶  庆                        </w:t>
      </w:r>
    </w:p>
    <w:p>
      <w:pPr>
        <w:keepNext w:val="0"/>
        <w:keepLines w:val="0"/>
        <w:pageBreakBefore w:val="0"/>
        <w:widowControl/>
        <w:kinsoku/>
        <w:wordWrap/>
        <w:overflowPunct/>
        <w:topLinePunct/>
        <w:autoSpaceDE/>
        <w:autoSpaceDN w:val="0"/>
        <w:bidi w:val="0"/>
        <w:adjustRightInd w:val="0"/>
        <w:snapToGrid w:val="0"/>
        <w:spacing w:line="594" w:lineRule="exact"/>
        <w:ind w:firstLine="640" w:firstLineChars="200"/>
        <w:textAlignment w:val="auto"/>
        <w:rPr>
          <w:rFonts w:hint="eastAsia" w:ascii="Times New Roman" w:hAnsi="Times New Roman" w:eastAsia="方正仿宋_GBK" w:cs="Times New Roman"/>
          <w:color w:val="000000" w:themeColor="text1"/>
          <w:kern w:val="0"/>
          <w:sz w:val="32"/>
          <w:szCs w:val="32"/>
          <w:u w:val="none"/>
          <w:lang w:val="en-US" w:eastAsia="zh-CN"/>
          <w14:textFill>
            <w14:solidFill>
              <w14:schemeClr w14:val="tx1"/>
            </w14:solidFill>
          </w14:textFill>
        </w:rPr>
      </w:pPr>
      <w:r>
        <w:rPr>
          <w:rFonts w:hint="eastAsia" w:ascii="Times New Roman" w:hAnsi="Times New Roman" w:eastAsia="方正仿宋_GBK" w:cs="Times New Roman"/>
          <w:color w:val="000000" w:themeColor="text1"/>
          <w:kern w:val="0"/>
          <w:sz w:val="32"/>
          <w:szCs w:val="32"/>
          <w:u w:val="none"/>
          <w:lang w:val="en-US" w:eastAsia="zh-CN"/>
          <w14:textFill>
            <w14:solidFill>
              <w14:schemeClr w14:val="tx1"/>
            </w14:solidFill>
          </w14:textFill>
        </w:rPr>
        <w:t>本机关于2023年12月6日对你单位涉嫌医疗保障基金违法行为进行立案调查，该案现已调查终结，本机关认为你单位实施了如下违法行为：</w:t>
      </w:r>
    </w:p>
    <w:p>
      <w:pPr>
        <w:keepNext w:val="0"/>
        <w:keepLines w:val="0"/>
        <w:pageBreakBefore w:val="0"/>
        <w:widowControl/>
        <w:kinsoku/>
        <w:wordWrap/>
        <w:overflowPunct/>
        <w:topLinePunct/>
        <w:autoSpaceDE/>
        <w:autoSpaceDN w:val="0"/>
        <w:bidi w:val="0"/>
        <w:adjustRightInd w:val="0"/>
        <w:snapToGrid w:val="0"/>
        <w:spacing w:line="594" w:lineRule="exact"/>
        <w:ind w:firstLine="640" w:firstLineChars="200"/>
        <w:textAlignment w:val="auto"/>
        <w:rPr>
          <w:rFonts w:hint="eastAsia" w:ascii="方正黑体_GBK" w:hAnsi="方正黑体_GBK" w:eastAsia="方正黑体_GBK" w:cs="方正黑体_GBK"/>
          <w:color w:val="000000" w:themeColor="text1"/>
          <w:kern w:val="0"/>
          <w:sz w:val="32"/>
          <w:szCs w:val="32"/>
          <w:u w:val="none"/>
          <w:lang w:val="en-US" w:eastAsia="zh-CN"/>
          <w14:textFill>
            <w14:solidFill>
              <w14:schemeClr w14:val="tx1"/>
            </w14:solidFill>
          </w14:textFill>
        </w:rPr>
      </w:pPr>
      <w:bookmarkStart w:id="0" w:name="_Hlk29267100"/>
      <w:r>
        <w:rPr>
          <w:rFonts w:hint="eastAsia" w:ascii="方正黑体_GBK" w:hAnsi="方正黑体_GBK" w:eastAsia="方正黑体_GBK" w:cs="方正黑体_GBK"/>
          <w:color w:val="000000" w:themeColor="text1"/>
          <w:kern w:val="0"/>
          <w:sz w:val="32"/>
          <w:szCs w:val="32"/>
          <w:u w:val="none"/>
          <w:lang w:val="en-US" w:eastAsia="zh-CN"/>
          <w14:textFill>
            <w14:solidFill>
              <w14:schemeClr w14:val="tx1"/>
            </w14:solidFill>
          </w14:textFill>
        </w:rPr>
        <w:t>一、过度诊疗</w:t>
      </w:r>
    </w:p>
    <w:p>
      <w:pPr>
        <w:keepNext w:val="0"/>
        <w:keepLines w:val="0"/>
        <w:pageBreakBefore w:val="0"/>
        <w:widowControl/>
        <w:kinsoku/>
        <w:wordWrap/>
        <w:overflowPunct/>
        <w:topLinePunct/>
        <w:autoSpaceDE/>
        <w:autoSpaceDN w:val="0"/>
        <w:bidi w:val="0"/>
        <w:adjustRightInd w:val="0"/>
        <w:snapToGrid w:val="0"/>
        <w:spacing w:line="594" w:lineRule="exact"/>
        <w:ind w:firstLine="640" w:firstLineChars="200"/>
        <w:textAlignment w:val="auto"/>
        <w:rPr>
          <w:rFonts w:hint="eastAsia" w:ascii="Times New Roman" w:hAnsi="Times New Roman" w:eastAsia="方正仿宋_GBK" w:cs="Times New Roman"/>
          <w:color w:val="000000" w:themeColor="text1"/>
          <w:kern w:val="0"/>
          <w:sz w:val="32"/>
          <w:szCs w:val="32"/>
          <w:u w:val="none"/>
          <w:lang w:val="en-US" w:eastAsia="zh-CN"/>
          <w14:textFill>
            <w14:solidFill>
              <w14:schemeClr w14:val="tx1"/>
            </w14:solidFill>
          </w14:textFill>
        </w:rPr>
      </w:pPr>
      <w:r>
        <w:rPr>
          <w:rFonts w:hint="eastAsia" w:ascii="Times New Roman" w:hAnsi="Times New Roman" w:eastAsia="方正仿宋_GBK" w:cs="Times New Roman"/>
          <w:color w:val="000000" w:themeColor="text1"/>
          <w:kern w:val="0"/>
          <w:sz w:val="32"/>
          <w:szCs w:val="32"/>
          <w:u w:val="none"/>
          <w:lang w:val="en-US" w:eastAsia="zh-CN"/>
          <w14:textFill>
            <w14:solidFill>
              <w14:schemeClr w14:val="tx1"/>
            </w14:solidFill>
          </w14:textFill>
        </w:rPr>
        <w:t>你单位在2021年1月1日至2022年12月31日期间，在对患者进行诊疗过程中，氢溴酸高乌甲素注射液超医保药品限制使用，存在造成医疗保障基金损失的其他违法行为。上述违反了《医疗保障基金使用监督管理条例》第三十八条第（七）项的规定，并违法报销医保基金20498.94元。</w:t>
      </w:r>
    </w:p>
    <w:p>
      <w:pPr>
        <w:keepNext w:val="0"/>
        <w:keepLines w:val="0"/>
        <w:pageBreakBefore w:val="0"/>
        <w:widowControl/>
        <w:kinsoku/>
        <w:wordWrap/>
        <w:overflowPunct/>
        <w:topLinePunct/>
        <w:autoSpaceDE/>
        <w:autoSpaceDN w:val="0"/>
        <w:bidi w:val="0"/>
        <w:adjustRightInd w:val="0"/>
        <w:snapToGrid w:val="0"/>
        <w:spacing w:line="594" w:lineRule="exact"/>
        <w:ind w:firstLine="640" w:firstLineChars="200"/>
        <w:textAlignment w:val="auto"/>
        <w:rPr>
          <w:rFonts w:hint="eastAsia" w:ascii="方正黑体_GBK" w:hAnsi="方正黑体_GBK" w:eastAsia="方正黑体_GBK" w:cs="方正黑体_GBK"/>
          <w:color w:val="000000" w:themeColor="text1"/>
          <w:kern w:val="0"/>
          <w:sz w:val="32"/>
          <w:szCs w:val="32"/>
          <w:u w:val="none"/>
          <w:lang w:val="en-US" w:eastAsia="zh-CN"/>
          <w14:textFill>
            <w14:solidFill>
              <w14:schemeClr w14:val="tx1"/>
            </w14:solidFill>
          </w14:textFill>
        </w:rPr>
      </w:pPr>
      <w:r>
        <w:rPr>
          <w:rFonts w:hint="eastAsia" w:ascii="方正黑体_GBK" w:hAnsi="方正黑体_GBK" w:eastAsia="方正黑体_GBK" w:cs="方正黑体_GBK"/>
          <w:color w:val="000000" w:themeColor="text1"/>
          <w:kern w:val="0"/>
          <w:sz w:val="32"/>
          <w:szCs w:val="32"/>
          <w:u w:val="none"/>
          <w:lang w:val="en-US" w:eastAsia="zh-CN"/>
          <w14:textFill>
            <w14:solidFill>
              <w14:schemeClr w14:val="tx1"/>
            </w14:solidFill>
          </w14:textFill>
        </w:rPr>
        <w:t>二、串换诊疗项目</w:t>
      </w:r>
    </w:p>
    <w:p>
      <w:pPr>
        <w:keepNext w:val="0"/>
        <w:keepLines w:val="0"/>
        <w:pageBreakBefore w:val="0"/>
        <w:widowControl/>
        <w:kinsoku/>
        <w:wordWrap/>
        <w:overflowPunct/>
        <w:topLinePunct/>
        <w:autoSpaceDE/>
        <w:autoSpaceDN w:val="0"/>
        <w:bidi w:val="0"/>
        <w:adjustRightInd w:val="0"/>
        <w:snapToGrid w:val="0"/>
        <w:spacing w:line="594" w:lineRule="exact"/>
        <w:ind w:firstLine="640" w:firstLineChars="200"/>
        <w:textAlignment w:val="auto"/>
        <w:rPr>
          <w:rFonts w:hint="eastAsia" w:ascii="Times New Roman" w:hAnsi="Times New Roman" w:eastAsia="方正仿宋_GBK" w:cs="Times New Roman"/>
          <w:color w:val="000000" w:themeColor="text1"/>
          <w:kern w:val="0"/>
          <w:sz w:val="32"/>
          <w:szCs w:val="32"/>
          <w:u w:val="none"/>
          <w:lang w:val="en-US" w:eastAsia="zh-CN"/>
          <w14:textFill>
            <w14:solidFill>
              <w14:schemeClr w14:val="tx1"/>
            </w14:solidFill>
          </w14:textFill>
        </w:rPr>
      </w:pPr>
      <w:r>
        <w:rPr>
          <w:rFonts w:hint="eastAsia" w:ascii="Times New Roman" w:hAnsi="Times New Roman" w:eastAsia="方正仿宋_GBK" w:cs="Times New Roman"/>
          <w:color w:val="000000" w:themeColor="text1"/>
          <w:kern w:val="0"/>
          <w:sz w:val="32"/>
          <w:szCs w:val="32"/>
          <w:u w:val="none"/>
          <w:lang w:val="en-US" w:eastAsia="zh-CN"/>
          <w14:textFill>
            <w14:solidFill>
              <w14:schemeClr w14:val="tx1"/>
            </w14:solidFill>
          </w14:textFill>
        </w:rPr>
        <w:t>你单位在2021年1月1日至2022年12月31日期间，在对患者进行诊疗过程中，将</w:t>
      </w:r>
      <w:r>
        <w:rPr>
          <w:rFonts w:hint="default" w:ascii="Times New Roman" w:hAnsi="Times New Roman" w:eastAsia="方正仿宋_GBK" w:cs="Times New Roman"/>
          <w:color w:val="000000" w:themeColor="text1"/>
          <w:kern w:val="0"/>
          <w:sz w:val="32"/>
          <w:szCs w:val="32"/>
          <w:u w:val="none"/>
          <w:lang w:val="en-US" w:eastAsia="zh-CN"/>
          <w14:textFill>
            <w14:solidFill>
              <w14:schemeClr w14:val="tx1"/>
            </w14:solidFill>
          </w14:textFill>
        </w:rPr>
        <w:t>乙型肝炎核心抗体测定</w:t>
      </w:r>
      <w:r>
        <w:rPr>
          <w:rFonts w:hint="eastAsia" w:ascii="Times New Roman" w:hAnsi="Times New Roman" w:eastAsia="方正仿宋_GBK" w:cs="Times New Roman"/>
          <w:color w:val="000000" w:themeColor="text1"/>
          <w:kern w:val="0"/>
          <w:sz w:val="32"/>
          <w:szCs w:val="32"/>
          <w:u w:val="none"/>
          <w:lang w:val="en-US" w:eastAsia="zh-CN"/>
          <w14:textFill>
            <w14:solidFill>
              <w14:schemeClr w14:val="tx1"/>
            </w14:solidFill>
          </w14:textFill>
        </w:rPr>
        <w:t>串换乙型肝炎核心抗原测定(HBcAg)，其行为属于串换诊疗项目违法行为。上述行为违反了《医疗保障基金使用监督管理条例》第三十八条第（四）项的规定，并违法报销医保基金955.98元。</w:t>
      </w:r>
    </w:p>
    <w:p>
      <w:pPr>
        <w:keepNext w:val="0"/>
        <w:keepLines w:val="0"/>
        <w:pageBreakBefore w:val="0"/>
        <w:widowControl/>
        <w:kinsoku/>
        <w:wordWrap/>
        <w:overflowPunct/>
        <w:topLinePunct/>
        <w:autoSpaceDE/>
        <w:autoSpaceDN w:val="0"/>
        <w:bidi w:val="0"/>
        <w:adjustRightInd w:val="0"/>
        <w:snapToGrid w:val="0"/>
        <w:spacing w:line="594" w:lineRule="exact"/>
        <w:ind w:firstLine="640" w:firstLineChars="200"/>
        <w:textAlignment w:val="auto"/>
        <w:rPr>
          <w:rFonts w:hint="eastAsia" w:ascii="方正黑体_GBK" w:hAnsi="方正黑体_GBK" w:eastAsia="方正黑体_GBK" w:cs="方正黑体_GBK"/>
          <w:color w:val="000000" w:themeColor="text1"/>
          <w:kern w:val="0"/>
          <w:sz w:val="32"/>
          <w:szCs w:val="32"/>
          <w:u w:val="none"/>
          <w:lang w:val="en-US" w:eastAsia="zh-CN"/>
          <w14:textFill>
            <w14:solidFill>
              <w14:schemeClr w14:val="tx1"/>
            </w14:solidFill>
          </w14:textFill>
        </w:rPr>
      </w:pPr>
      <w:r>
        <w:rPr>
          <w:rFonts w:hint="eastAsia" w:ascii="方正黑体_GBK" w:hAnsi="方正黑体_GBK" w:eastAsia="方正黑体_GBK" w:cs="方正黑体_GBK"/>
          <w:color w:val="000000" w:themeColor="text1"/>
          <w:kern w:val="0"/>
          <w:sz w:val="32"/>
          <w:szCs w:val="32"/>
          <w:u w:val="none"/>
          <w:lang w:val="en-US" w:eastAsia="zh-CN"/>
          <w14:textFill>
            <w14:solidFill>
              <w14:schemeClr w14:val="tx1"/>
            </w14:solidFill>
          </w14:textFill>
        </w:rPr>
        <w:t>三、过度检查</w:t>
      </w:r>
    </w:p>
    <w:p>
      <w:pPr>
        <w:keepNext w:val="0"/>
        <w:keepLines w:val="0"/>
        <w:pageBreakBefore w:val="0"/>
        <w:widowControl/>
        <w:kinsoku/>
        <w:wordWrap/>
        <w:overflowPunct/>
        <w:topLinePunct/>
        <w:autoSpaceDE/>
        <w:autoSpaceDN w:val="0"/>
        <w:bidi w:val="0"/>
        <w:adjustRightInd w:val="0"/>
        <w:snapToGrid w:val="0"/>
        <w:spacing w:line="594" w:lineRule="exact"/>
        <w:ind w:firstLine="640" w:firstLineChars="200"/>
        <w:textAlignment w:val="auto"/>
        <w:rPr>
          <w:rFonts w:hint="eastAsia" w:ascii="Times New Roman" w:hAnsi="Times New Roman" w:eastAsia="方正仿宋_GBK" w:cs="Times New Roman"/>
          <w:color w:val="000000" w:themeColor="text1"/>
          <w:kern w:val="0"/>
          <w:sz w:val="32"/>
          <w:szCs w:val="32"/>
          <w:u w:val="none"/>
          <w:lang w:val="en-US" w:eastAsia="zh-CN"/>
          <w14:textFill>
            <w14:solidFill>
              <w14:schemeClr w14:val="tx1"/>
            </w14:solidFill>
          </w14:textFill>
        </w:rPr>
      </w:pPr>
      <w:r>
        <w:rPr>
          <w:rFonts w:hint="eastAsia" w:ascii="Times New Roman" w:hAnsi="Times New Roman" w:eastAsia="方正仿宋_GBK" w:cs="Times New Roman"/>
          <w:color w:val="000000" w:themeColor="text1"/>
          <w:kern w:val="0"/>
          <w:sz w:val="32"/>
          <w:szCs w:val="32"/>
          <w:u w:val="none"/>
          <w:lang w:val="en-US" w:eastAsia="zh-CN"/>
          <w14:textFill>
            <w14:solidFill>
              <w14:schemeClr w14:val="tx1"/>
            </w14:solidFill>
          </w14:textFill>
        </w:rPr>
        <w:t>你单位在2021年1月1日至2022年12月31日期间，在对患者进行诊疗过程中，将标测心电图、频谱心电图与常规心电图、血清碳酸氢盐（HCO3）测定与电解质、血清前白蛋白测定与肝功能、心肌型脂肪酸结合蛋白检测与血脂、HIV-P24抗原测定与艾滋、梅毒打包检查，其行为违反诊疗规范，属于过度检查的违法行为。上述行为违反了《医疗保障基金使用监督管理条例》第三十八条第（二）项的规定，并违法报销医保基金47616.04元。</w:t>
      </w:r>
    </w:p>
    <w:p>
      <w:pPr>
        <w:keepNext w:val="0"/>
        <w:keepLines w:val="0"/>
        <w:pageBreakBefore w:val="0"/>
        <w:widowControl/>
        <w:kinsoku/>
        <w:wordWrap/>
        <w:overflowPunct/>
        <w:topLinePunct/>
        <w:autoSpaceDE/>
        <w:autoSpaceDN w:val="0"/>
        <w:bidi w:val="0"/>
        <w:adjustRightInd w:val="0"/>
        <w:snapToGrid w:val="0"/>
        <w:spacing w:line="594" w:lineRule="exact"/>
        <w:ind w:firstLine="640" w:firstLineChars="200"/>
        <w:textAlignment w:val="auto"/>
        <w:rPr>
          <w:rFonts w:hint="eastAsia" w:ascii="方正黑体_GBK" w:hAnsi="方正黑体_GBK" w:eastAsia="方正黑体_GBK" w:cs="方正黑体_GBK"/>
          <w:color w:val="000000" w:themeColor="text1"/>
          <w:kern w:val="0"/>
          <w:sz w:val="32"/>
          <w:szCs w:val="32"/>
          <w:u w:val="none"/>
          <w:lang w:val="en-US" w:eastAsia="zh-CN"/>
          <w14:textFill>
            <w14:solidFill>
              <w14:schemeClr w14:val="tx1"/>
            </w14:solidFill>
          </w14:textFill>
        </w:rPr>
      </w:pPr>
      <w:r>
        <w:rPr>
          <w:rFonts w:hint="eastAsia" w:ascii="方正黑体_GBK" w:hAnsi="方正黑体_GBK" w:eastAsia="方正黑体_GBK" w:cs="方正黑体_GBK"/>
          <w:color w:val="000000" w:themeColor="text1"/>
          <w:kern w:val="0"/>
          <w:sz w:val="32"/>
          <w:szCs w:val="32"/>
          <w:u w:val="none"/>
          <w:lang w:val="en-US" w:eastAsia="zh-CN"/>
          <w14:textFill>
            <w14:solidFill>
              <w14:schemeClr w14:val="tx1"/>
            </w14:solidFill>
          </w14:textFill>
        </w:rPr>
        <w:t>四、过度诊疗</w:t>
      </w:r>
    </w:p>
    <w:p>
      <w:pPr>
        <w:keepNext w:val="0"/>
        <w:keepLines w:val="0"/>
        <w:pageBreakBefore w:val="0"/>
        <w:widowControl/>
        <w:kinsoku/>
        <w:wordWrap/>
        <w:overflowPunct/>
        <w:topLinePunct/>
        <w:autoSpaceDE/>
        <w:autoSpaceDN w:val="0"/>
        <w:bidi w:val="0"/>
        <w:adjustRightInd w:val="0"/>
        <w:snapToGrid w:val="0"/>
        <w:spacing w:line="594" w:lineRule="exact"/>
        <w:ind w:firstLine="640" w:firstLineChars="200"/>
        <w:textAlignment w:val="auto"/>
        <w:rPr>
          <w:rFonts w:hint="eastAsia" w:ascii="Times New Roman" w:hAnsi="Times New Roman" w:eastAsia="方正仿宋_GBK" w:cs="Times New Roman"/>
          <w:color w:val="000000" w:themeColor="text1"/>
          <w:kern w:val="0"/>
          <w:sz w:val="32"/>
          <w:szCs w:val="32"/>
          <w:u w:val="none"/>
          <w:lang w:val="en-US" w:eastAsia="zh-CN"/>
          <w14:textFill>
            <w14:solidFill>
              <w14:schemeClr w14:val="tx1"/>
            </w14:solidFill>
          </w14:textFill>
        </w:rPr>
      </w:pPr>
      <w:r>
        <w:rPr>
          <w:rFonts w:hint="eastAsia" w:ascii="Times New Roman" w:hAnsi="Times New Roman" w:eastAsia="方正仿宋_GBK" w:cs="Times New Roman"/>
          <w:color w:val="000000" w:themeColor="text1"/>
          <w:kern w:val="0"/>
          <w:sz w:val="32"/>
          <w:szCs w:val="32"/>
          <w:u w:val="none"/>
          <w:lang w:val="en-US" w:eastAsia="zh-CN"/>
          <w14:textFill>
            <w14:solidFill>
              <w14:schemeClr w14:val="tx1"/>
            </w14:solidFill>
          </w14:textFill>
        </w:rPr>
        <w:t>你单位在2021年1月1日至2022年12月31日期间，在对患者进行诊疗过程中，将血氧饱和度监测与心电监测打包收费，其行为违反诊疗规范，属于过度诊疗的违法行为。上述行为违反了《医疗保障基金使用监督管理条例》第三十八条第（二）项的规定，并违法报销医保基金13116.64元。</w:t>
      </w:r>
    </w:p>
    <w:p>
      <w:pPr>
        <w:keepNext w:val="0"/>
        <w:keepLines w:val="0"/>
        <w:pageBreakBefore w:val="0"/>
        <w:widowControl/>
        <w:kinsoku/>
        <w:wordWrap/>
        <w:overflowPunct/>
        <w:topLinePunct/>
        <w:autoSpaceDE/>
        <w:autoSpaceDN w:val="0"/>
        <w:bidi w:val="0"/>
        <w:adjustRightInd w:val="0"/>
        <w:snapToGrid w:val="0"/>
        <w:spacing w:line="594" w:lineRule="exact"/>
        <w:ind w:firstLine="640" w:firstLineChars="200"/>
        <w:textAlignment w:val="auto"/>
        <w:rPr>
          <w:rFonts w:hint="eastAsia" w:ascii="方正黑体_GBK" w:hAnsi="方正黑体_GBK" w:eastAsia="方正黑体_GBK" w:cs="方正黑体_GBK"/>
          <w:color w:val="000000" w:themeColor="text1"/>
          <w:kern w:val="0"/>
          <w:sz w:val="32"/>
          <w:szCs w:val="32"/>
          <w:u w:val="none"/>
          <w:lang w:val="en-US" w:eastAsia="zh-CN"/>
          <w14:textFill>
            <w14:solidFill>
              <w14:schemeClr w14:val="tx1"/>
            </w14:solidFill>
          </w14:textFill>
        </w:rPr>
      </w:pPr>
      <w:r>
        <w:rPr>
          <w:rFonts w:hint="eastAsia" w:ascii="方正黑体_GBK" w:hAnsi="方正黑体_GBK" w:eastAsia="方正黑体_GBK" w:cs="方正黑体_GBK"/>
          <w:color w:val="000000" w:themeColor="text1"/>
          <w:kern w:val="0"/>
          <w:sz w:val="32"/>
          <w:szCs w:val="32"/>
          <w:u w:val="none"/>
          <w:lang w:val="en-US" w:eastAsia="zh-CN"/>
          <w14:textFill>
            <w14:solidFill>
              <w14:schemeClr w14:val="tx1"/>
            </w14:solidFill>
          </w14:textFill>
        </w:rPr>
        <w:t>五、将不属于医疗保障基金支付范围的医药费用纳入医疗保障基金结算</w:t>
      </w:r>
    </w:p>
    <w:p>
      <w:pPr>
        <w:keepNext w:val="0"/>
        <w:keepLines w:val="0"/>
        <w:pageBreakBefore w:val="0"/>
        <w:widowControl/>
        <w:kinsoku/>
        <w:wordWrap/>
        <w:overflowPunct/>
        <w:topLinePunct/>
        <w:autoSpaceDE/>
        <w:autoSpaceDN w:val="0"/>
        <w:bidi w:val="0"/>
        <w:adjustRightInd w:val="0"/>
        <w:snapToGrid w:val="0"/>
        <w:spacing w:line="594" w:lineRule="exact"/>
        <w:ind w:firstLine="640" w:firstLineChars="200"/>
        <w:textAlignment w:val="auto"/>
        <w:rPr>
          <w:rFonts w:hint="eastAsia" w:ascii="Times New Roman" w:hAnsi="Times New Roman" w:eastAsia="方正仿宋_GBK" w:cs="Times New Roman"/>
          <w:color w:val="000000" w:themeColor="text1"/>
          <w:kern w:val="0"/>
          <w:sz w:val="32"/>
          <w:szCs w:val="32"/>
          <w:u w:val="none"/>
          <w:lang w:val="en-US" w:eastAsia="zh-CN"/>
          <w14:textFill>
            <w14:solidFill>
              <w14:schemeClr w14:val="tx1"/>
            </w14:solidFill>
          </w14:textFill>
        </w:rPr>
      </w:pPr>
      <w:r>
        <w:rPr>
          <w:rFonts w:hint="eastAsia" w:ascii="Times New Roman" w:hAnsi="Times New Roman" w:eastAsia="方正仿宋_GBK" w:cs="Times New Roman"/>
          <w:color w:val="000000" w:themeColor="text1"/>
          <w:kern w:val="0"/>
          <w:sz w:val="32"/>
          <w:szCs w:val="32"/>
          <w:u w:val="none"/>
          <w:lang w:val="en-US" w:eastAsia="zh-CN"/>
          <w14:textFill>
            <w14:solidFill>
              <w14:schemeClr w14:val="tx1"/>
            </w14:solidFill>
          </w14:textFill>
        </w:rPr>
        <w:t>你单位在2021年1月1日至2022年12月31日期间，在对患者进行诊疗过程中，将不属于医疗保障基金支付范围的足背外伤瘢痕、睾丸鞘膜翻转术、中医肛肠类手术收取的手术中使用高频电刀费用纳入医疗保障基金结算，其行为属于将不属于医疗保障基金支付范围的医药费用纳入医疗保障基金结算。上述行为违反了《医疗保障基金使用监督管理条例》第三十八条第（六）项的规定，并违法报销医保基金4046.9元。</w:t>
      </w:r>
    </w:p>
    <w:p>
      <w:pPr>
        <w:keepNext w:val="0"/>
        <w:keepLines w:val="0"/>
        <w:pageBreakBefore w:val="0"/>
        <w:widowControl/>
        <w:kinsoku/>
        <w:wordWrap/>
        <w:overflowPunct/>
        <w:topLinePunct/>
        <w:autoSpaceDE/>
        <w:autoSpaceDN w:val="0"/>
        <w:bidi w:val="0"/>
        <w:adjustRightInd w:val="0"/>
        <w:snapToGrid w:val="0"/>
        <w:spacing w:line="594" w:lineRule="exact"/>
        <w:ind w:firstLine="640" w:firstLineChars="200"/>
        <w:textAlignment w:val="auto"/>
        <w:rPr>
          <w:rFonts w:hint="eastAsia" w:ascii="方正黑体_GBK" w:hAnsi="方正黑体_GBK" w:eastAsia="方正黑体_GBK" w:cs="方正黑体_GBK"/>
          <w:color w:val="000000" w:themeColor="text1"/>
          <w:kern w:val="0"/>
          <w:sz w:val="32"/>
          <w:szCs w:val="32"/>
          <w:u w:val="none"/>
          <w:lang w:val="en-US" w:eastAsia="zh-CN"/>
          <w14:textFill>
            <w14:solidFill>
              <w14:schemeClr w14:val="tx1"/>
            </w14:solidFill>
          </w14:textFill>
        </w:rPr>
      </w:pPr>
      <w:r>
        <w:rPr>
          <w:rFonts w:hint="eastAsia" w:ascii="方正黑体_GBK" w:hAnsi="方正黑体_GBK" w:eastAsia="方正黑体_GBK" w:cs="方正黑体_GBK"/>
          <w:color w:val="000000" w:themeColor="text1"/>
          <w:kern w:val="0"/>
          <w:sz w:val="32"/>
          <w:szCs w:val="32"/>
          <w:u w:val="none"/>
          <w:lang w:val="en-US" w:eastAsia="zh-CN"/>
          <w14:textFill>
            <w14:solidFill>
              <w14:schemeClr w14:val="tx1"/>
            </w14:solidFill>
          </w14:textFill>
        </w:rPr>
        <w:t>六、重复收费</w:t>
      </w:r>
    </w:p>
    <w:p>
      <w:pPr>
        <w:keepNext w:val="0"/>
        <w:keepLines w:val="0"/>
        <w:pageBreakBefore w:val="0"/>
        <w:widowControl/>
        <w:kinsoku/>
        <w:wordWrap/>
        <w:overflowPunct/>
        <w:topLinePunct/>
        <w:autoSpaceDE/>
        <w:autoSpaceDN w:val="0"/>
        <w:bidi w:val="0"/>
        <w:adjustRightInd w:val="0"/>
        <w:snapToGrid w:val="0"/>
        <w:spacing w:line="594" w:lineRule="exact"/>
        <w:ind w:firstLine="640" w:firstLineChars="200"/>
        <w:textAlignment w:val="auto"/>
        <w:rPr>
          <w:rFonts w:hint="eastAsia" w:ascii="Times New Roman" w:hAnsi="Times New Roman" w:eastAsia="方正仿宋_GBK" w:cs="Times New Roman"/>
          <w:color w:val="000000" w:themeColor="text1"/>
          <w:kern w:val="0"/>
          <w:sz w:val="32"/>
          <w:szCs w:val="32"/>
          <w:u w:val="none"/>
          <w:lang w:val="en-US" w:eastAsia="zh-CN"/>
          <w14:textFill>
            <w14:solidFill>
              <w14:schemeClr w14:val="tx1"/>
            </w14:solidFill>
          </w14:textFill>
        </w:rPr>
      </w:pPr>
      <w:r>
        <w:rPr>
          <w:rFonts w:hint="eastAsia" w:ascii="Times New Roman" w:hAnsi="Times New Roman" w:eastAsia="方正仿宋_GBK" w:cs="Times New Roman"/>
          <w:color w:val="000000" w:themeColor="text1"/>
          <w:kern w:val="0"/>
          <w:sz w:val="32"/>
          <w:szCs w:val="32"/>
          <w:u w:val="none"/>
          <w:lang w:val="en-US" w:eastAsia="zh-CN"/>
          <w14:textFill>
            <w14:solidFill>
              <w14:schemeClr w14:val="tx1"/>
            </w14:solidFill>
          </w14:textFill>
        </w:rPr>
        <w:t>你单位在2021年1月1日至2022年12月31日期间，在对患者进行诊疗过程中，将全身麻醉项目内涵中含气管插管术、椎管内麻醉内涵中含椎管内置管术另行收费，属于重复收费的违法行为。上述行为违反了《医疗保障基金使用监督管理条例》第三十八条第（三）项的规定，并违法报销医保基金5569.35元。</w:t>
      </w:r>
    </w:p>
    <w:p>
      <w:pPr>
        <w:keepNext w:val="0"/>
        <w:keepLines w:val="0"/>
        <w:pageBreakBefore w:val="0"/>
        <w:widowControl/>
        <w:kinsoku/>
        <w:wordWrap/>
        <w:overflowPunct/>
        <w:topLinePunct/>
        <w:autoSpaceDE/>
        <w:autoSpaceDN w:val="0"/>
        <w:bidi w:val="0"/>
        <w:adjustRightInd w:val="0"/>
        <w:snapToGrid w:val="0"/>
        <w:spacing w:line="594" w:lineRule="exact"/>
        <w:ind w:firstLine="643" w:firstLineChars="200"/>
        <w:textAlignment w:val="auto"/>
        <w:rPr>
          <w:rFonts w:hint="default" w:ascii="Times New Roman" w:hAnsi="Times New Roman" w:eastAsia="方正仿宋_GBK" w:cs="Times New Roman"/>
          <w:color w:val="000000" w:themeColor="text1"/>
          <w:kern w:val="0"/>
          <w:sz w:val="32"/>
          <w:szCs w:val="32"/>
          <w:u w:val="none"/>
          <w:lang w:val="en-US" w:eastAsia="zh-CN"/>
          <w14:textFill>
            <w14:solidFill>
              <w14:schemeClr w14:val="tx1"/>
            </w14:solidFill>
          </w14:textFill>
        </w:rPr>
      </w:pPr>
      <w:r>
        <w:rPr>
          <w:rFonts w:hint="eastAsia" w:ascii="Times New Roman" w:hAnsi="Times New Roman" w:eastAsia="方正仿宋_GBK" w:cs="Times New Roman"/>
          <w:b/>
          <w:bCs/>
          <w:color w:val="000000" w:themeColor="text1"/>
          <w:kern w:val="0"/>
          <w:sz w:val="32"/>
          <w:szCs w:val="32"/>
          <w:u w:val="none"/>
          <w:lang w:val="en-US" w:eastAsia="zh-CN"/>
          <w14:textFill>
            <w14:solidFill>
              <w14:schemeClr w14:val="tx1"/>
            </w14:solidFill>
          </w14:textFill>
        </w:rPr>
        <w:t>以上违法事实，</w:t>
      </w:r>
      <w:r>
        <w:rPr>
          <w:rFonts w:hint="eastAsia" w:ascii="Times New Roman" w:hAnsi="Times New Roman" w:eastAsia="方正仿宋_GBK" w:cs="Times New Roman"/>
          <w:color w:val="000000" w:themeColor="text1"/>
          <w:kern w:val="0"/>
          <w:sz w:val="32"/>
          <w:szCs w:val="32"/>
          <w:u w:val="none"/>
          <w:lang w:val="en-US" w:eastAsia="zh-CN"/>
          <w14:textFill>
            <w14:solidFill>
              <w14:schemeClr w14:val="tx1"/>
            </w14:solidFill>
          </w14:textFill>
        </w:rPr>
        <w:t>有《重庆市医疗保障局现场检查通知书》、巫溪县新城医院现场检查笔录、检查情况确认表（第二飞行检查组）、飞行检查交接单、飞行检查情况反馈报告、医疗保障基金飞行检查情况反馈表、违规明细表、疑点明细表、飞行检查执法文书、现场检查情况确认表等证据为凭。</w:t>
      </w:r>
    </w:p>
    <w:bookmarkEnd w:id="0"/>
    <w:p>
      <w:pPr>
        <w:keepNext w:val="0"/>
        <w:keepLines w:val="0"/>
        <w:pageBreakBefore w:val="0"/>
        <w:widowControl/>
        <w:kinsoku/>
        <w:wordWrap/>
        <w:overflowPunct/>
        <w:topLinePunct/>
        <w:autoSpaceDE/>
        <w:autoSpaceDN w:val="0"/>
        <w:bidi w:val="0"/>
        <w:adjustRightInd w:val="0"/>
        <w:snapToGrid w:val="0"/>
        <w:spacing w:line="594" w:lineRule="exact"/>
        <w:ind w:firstLine="640" w:firstLineChars="200"/>
        <w:textAlignment w:val="auto"/>
        <w:rPr>
          <w:rFonts w:hint="eastAsia" w:ascii="Times New Roman" w:hAnsi="Times New Roman" w:eastAsia="方正仿宋_GBK" w:cs="Times New Roman"/>
          <w:color w:val="000000" w:themeColor="text1"/>
          <w:kern w:val="0"/>
          <w:sz w:val="32"/>
          <w:szCs w:val="32"/>
          <w:u w:val="none"/>
          <w:lang w:val="en-US" w:eastAsia="zh-CN"/>
          <w14:textFill>
            <w14:solidFill>
              <w14:schemeClr w14:val="tx1"/>
            </w14:solidFill>
          </w14:textFill>
        </w:rPr>
      </w:pPr>
      <w:r>
        <w:rPr>
          <w:rFonts w:hint="eastAsia" w:ascii="Times New Roman" w:hAnsi="Times New Roman" w:eastAsia="方正仿宋_GBK" w:cs="Times New Roman"/>
          <w:color w:val="000000" w:themeColor="text1"/>
          <w:kern w:val="0"/>
          <w:sz w:val="32"/>
          <w:szCs w:val="32"/>
          <w:u w:val="none"/>
          <w:lang w:val="en-US" w:eastAsia="zh-CN"/>
          <w14:textFill>
            <w14:solidFill>
              <w14:schemeClr w14:val="tx1"/>
            </w14:solidFill>
          </w14:textFill>
        </w:rPr>
        <w:t xml:space="preserve">本机关调查终结后于2024年1月3日向你单位依法送达了《行政处罚事先告知书》，告知了你单位享有陈述、申辩或者听证的权利，你单位未在法定期限内书面申请听证。  </w:t>
      </w:r>
    </w:p>
    <w:p>
      <w:pPr>
        <w:keepNext w:val="0"/>
        <w:keepLines w:val="0"/>
        <w:pageBreakBefore w:val="0"/>
        <w:widowControl/>
        <w:kinsoku/>
        <w:wordWrap/>
        <w:overflowPunct/>
        <w:topLinePunct/>
        <w:autoSpaceDE/>
        <w:autoSpaceDN w:val="0"/>
        <w:bidi w:val="0"/>
        <w:adjustRightInd w:val="0"/>
        <w:snapToGrid w:val="0"/>
        <w:spacing w:line="594" w:lineRule="exact"/>
        <w:ind w:firstLine="640" w:firstLineChars="200"/>
        <w:textAlignment w:val="auto"/>
        <w:rPr>
          <w:rFonts w:hint="eastAsia" w:ascii="Times New Roman" w:hAnsi="Times New Roman" w:eastAsia="方正仿宋_GBK" w:cs="Times New Roman"/>
          <w:color w:val="000000" w:themeColor="text1"/>
          <w:kern w:val="0"/>
          <w:sz w:val="32"/>
          <w:szCs w:val="32"/>
          <w:u w:val="none"/>
          <w:lang w:val="en-US" w:eastAsia="zh-CN"/>
          <w14:textFill>
            <w14:solidFill>
              <w14:schemeClr w14:val="tx1"/>
            </w14:solidFill>
          </w14:textFill>
        </w:rPr>
      </w:pPr>
      <w:r>
        <w:rPr>
          <w:rFonts w:hint="eastAsia" w:ascii="Times New Roman" w:hAnsi="Times New Roman" w:eastAsia="方正仿宋_GBK" w:cs="Times New Roman"/>
          <w:color w:val="000000" w:themeColor="text1"/>
          <w:kern w:val="0"/>
          <w:sz w:val="32"/>
          <w:szCs w:val="32"/>
          <w:u w:val="none"/>
          <w:lang w:val="en-US" w:eastAsia="zh-CN"/>
          <w14:textFill>
            <w14:solidFill>
              <w14:schemeClr w14:val="tx1"/>
            </w14:solidFill>
          </w14:textFill>
        </w:rPr>
        <w:t>综上，根据《医疗保障基金使用监督管理条例》第三十八条、第三十八条第（二）、（三）、（四）、（六）、（七）项的规定。本机关依法对你单位作出如下行政处罚决定：</w:t>
      </w:r>
    </w:p>
    <w:p>
      <w:pPr>
        <w:keepNext w:val="0"/>
        <w:keepLines w:val="0"/>
        <w:pageBreakBefore w:val="0"/>
        <w:widowControl/>
        <w:kinsoku/>
        <w:wordWrap/>
        <w:overflowPunct/>
        <w:topLinePunct/>
        <w:autoSpaceDE/>
        <w:autoSpaceDN w:val="0"/>
        <w:bidi w:val="0"/>
        <w:adjustRightInd w:val="0"/>
        <w:snapToGrid w:val="0"/>
        <w:spacing w:line="594" w:lineRule="exact"/>
        <w:ind w:firstLine="640" w:firstLineChars="200"/>
        <w:textAlignment w:val="auto"/>
        <w:rPr>
          <w:rFonts w:hint="eastAsia" w:ascii="Times New Roman" w:hAnsi="Times New Roman" w:eastAsia="方正仿宋_GBK" w:cs="Times New Roman"/>
          <w:color w:val="000000" w:themeColor="text1"/>
          <w:kern w:val="0"/>
          <w:sz w:val="32"/>
          <w:szCs w:val="32"/>
          <w:u w:val="none"/>
          <w:lang w:val="en-US" w:eastAsia="zh-CN"/>
          <w14:textFill>
            <w14:solidFill>
              <w14:schemeClr w14:val="tx1"/>
            </w14:solidFill>
          </w14:textFill>
        </w:rPr>
      </w:pPr>
      <w:r>
        <w:rPr>
          <w:rFonts w:hint="eastAsia" w:ascii="Times New Roman" w:hAnsi="Times New Roman" w:eastAsia="方正仿宋_GBK" w:cs="Times New Roman"/>
          <w:color w:val="000000" w:themeColor="text1"/>
          <w:kern w:val="0"/>
          <w:sz w:val="32"/>
          <w:szCs w:val="32"/>
          <w:u w:val="none"/>
          <w:lang w:val="en-US" w:eastAsia="zh-CN"/>
          <w14:textFill>
            <w14:solidFill>
              <w14:schemeClr w14:val="tx1"/>
            </w14:solidFill>
          </w14:textFill>
        </w:rPr>
        <w:t>责令你单位退回违法报销医保基金91803.85元（其中退回居民医保基金72919.64元，退回职工医保基金18884.21元），处罚款91803.85元。</w:t>
      </w:r>
    </w:p>
    <w:p>
      <w:pPr>
        <w:keepNext w:val="0"/>
        <w:keepLines w:val="0"/>
        <w:pageBreakBefore w:val="0"/>
        <w:widowControl/>
        <w:kinsoku/>
        <w:wordWrap/>
        <w:overflowPunct/>
        <w:topLinePunct/>
        <w:autoSpaceDE/>
        <w:autoSpaceDN w:val="0"/>
        <w:bidi w:val="0"/>
        <w:adjustRightInd w:val="0"/>
        <w:snapToGrid w:val="0"/>
        <w:spacing w:line="594" w:lineRule="exact"/>
        <w:ind w:firstLine="640" w:firstLineChars="200"/>
        <w:textAlignment w:val="auto"/>
        <w:rPr>
          <w:rFonts w:hint="default" w:ascii="Times New Roman" w:hAnsi="Times New Roman" w:eastAsia="方正仿宋_GBK" w:cs="Times New Roman"/>
          <w:color w:val="000000" w:themeColor="text1"/>
          <w:kern w:val="0"/>
          <w:sz w:val="32"/>
          <w:szCs w:val="32"/>
          <w:u w:val="none"/>
          <w:lang w:val="en-US" w:eastAsia="zh-CN"/>
          <w14:textFill>
            <w14:solidFill>
              <w14:schemeClr w14:val="tx1"/>
            </w14:solidFill>
          </w14:textFill>
        </w:rPr>
      </w:pPr>
      <w:r>
        <w:rPr>
          <w:rFonts w:hint="eastAsia" w:ascii="Times New Roman" w:hAnsi="Times New Roman" w:eastAsia="方正仿宋_GBK" w:cs="Times New Roman"/>
          <w:color w:val="000000" w:themeColor="text1"/>
          <w:kern w:val="0"/>
          <w:sz w:val="32"/>
          <w:szCs w:val="32"/>
          <w:u w:val="none"/>
          <w:lang w:val="en-US" w:eastAsia="zh-CN"/>
          <w14:textFill>
            <w14:solidFill>
              <w14:schemeClr w14:val="tx1"/>
            </w14:solidFill>
          </w14:textFill>
        </w:rPr>
        <w:t>当事人应在收到本处罚决定书之日起十五日内将责令退回的居民医保基金72919.64元退回到居民医保支出户，收款银行：重庆农村商业银行巫溪支行，户名：巫溪县医疗保障局，账号：4001010120010009254；将责令退回的职工医保基金18884.21元退回到职工医保支出户，收款银行：重庆银行股份有限公司巫溪支行，户名：巫溪县医疗保障局，账号：920101040002431。</w:t>
      </w:r>
    </w:p>
    <w:p>
      <w:pPr>
        <w:keepNext w:val="0"/>
        <w:keepLines w:val="0"/>
        <w:pageBreakBefore w:val="0"/>
        <w:widowControl/>
        <w:kinsoku/>
        <w:wordWrap/>
        <w:overflowPunct/>
        <w:topLinePunct/>
        <w:autoSpaceDE/>
        <w:autoSpaceDN w:val="0"/>
        <w:bidi w:val="0"/>
        <w:adjustRightInd w:val="0"/>
        <w:snapToGrid w:val="0"/>
        <w:spacing w:line="594" w:lineRule="exact"/>
        <w:ind w:firstLine="640" w:firstLineChars="200"/>
        <w:textAlignment w:val="auto"/>
        <w:rPr>
          <w:rFonts w:hint="eastAsia" w:ascii="Times New Roman" w:hAnsi="Times New Roman" w:eastAsia="方正仿宋_GBK" w:cs="Times New Roman"/>
          <w:color w:val="000000" w:themeColor="text1"/>
          <w:kern w:val="0"/>
          <w:sz w:val="32"/>
          <w:szCs w:val="32"/>
          <w:u w:val="none"/>
          <w:lang w:val="en-US" w:eastAsia="zh-CN"/>
          <w14:textFill>
            <w14:solidFill>
              <w14:schemeClr w14:val="tx1"/>
            </w14:solidFill>
          </w14:textFill>
        </w:rPr>
      </w:pPr>
      <w:r>
        <w:rPr>
          <w:rFonts w:hint="eastAsia" w:ascii="Times New Roman" w:hAnsi="Times New Roman" w:eastAsia="方正仿宋_GBK" w:cs="Times New Roman"/>
          <w:color w:val="000000" w:themeColor="text1"/>
          <w:kern w:val="0"/>
          <w:sz w:val="32"/>
          <w:szCs w:val="32"/>
          <w:u w:val="none"/>
          <w:lang w:val="en-US" w:eastAsia="zh-CN"/>
          <w14:textFill>
            <w14:solidFill>
              <w14:schemeClr w14:val="tx1"/>
            </w14:solidFill>
          </w14:textFill>
        </w:rPr>
        <w:t xml:space="preserve">当事人应在收到本处罚决定书之日起十五日内到巫溪县医疗保障局财务科开具重庆市政府非税收入缴款订单并缴纳罚款。逾期不缴纳罚款的，依据《行政处罚法》第七十二条第一项的规定，每日按罚款数额的百分之三加处罚款。                                                                                     </w:t>
      </w:r>
    </w:p>
    <w:p>
      <w:pPr>
        <w:keepNext w:val="0"/>
        <w:keepLines w:val="0"/>
        <w:pageBreakBefore w:val="0"/>
        <w:widowControl/>
        <w:kinsoku/>
        <w:wordWrap/>
        <w:overflowPunct/>
        <w:topLinePunct/>
        <w:autoSpaceDE/>
        <w:autoSpaceDN w:val="0"/>
        <w:bidi w:val="0"/>
        <w:adjustRightInd w:val="0"/>
        <w:snapToGrid w:val="0"/>
        <w:spacing w:line="594" w:lineRule="exact"/>
        <w:ind w:firstLine="640" w:firstLineChars="200"/>
        <w:textAlignment w:val="auto"/>
        <w:rPr>
          <w:rFonts w:hint="eastAsia" w:ascii="Times New Roman" w:hAnsi="Times New Roman" w:eastAsia="方正仿宋_GBK" w:cs="Times New Roman"/>
          <w:color w:val="000000" w:themeColor="text1"/>
          <w:kern w:val="0"/>
          <w:sz w:val="32"/>
          <w:szCs w:val="32"/>
          <w:u w:val="none"/>
          <w:lang w:val="en-US" w:eastAsia="zh-CN"/>
          <w14:textFill>
            <w14:solidFill>
              <w14:schemeClr w14:val="tx1"/>
            </w14:solidFill>
          </w14:textFill>
        </w:rPr>
      </w:pPr>
      <w:r>
        <w:rPr>
          <w:rFonts w:hint="eastAsia" w:ascii="Times New Roman" w:hAnsi="Times New Roman" w:eastAsia="方正仿宋_GBK" w:cs="Times New Roman"/>
          <w:color w:val="000000" w:themeColor="text1"/>
          <w:kern w:val="0"/>
          <w:sz w:val="32"/>
          <w:szCs w:val="32"/>
          <w:u w:val="none"/>
          <w:lang w:val="en-US" w:eastAsia="zh-CN"/>
          <w14:textFill>
            <w14:solidFill>
              <w14:schemeClr w14:val="tx1"/>
            </w14:solidFill>
          </w14:textFill>
        </w:rPr>
        <w:t>当事人如不服本处罚决定，可在收到本处罚决定书之日起六十日内向重庆市医疗保障局或者巫溪县人民政府申请行政复议，也可在收到本处罚决定书之日六个月内依法向巫溪县人民法院提起行政诉讼。</w:t>
      </w:r>
    </w:p>
    <w:p>
      <w:pPr>
        <w:keepNext w:val="0"/>
        <w:keepLines w:val="0"/>
        <w:pageBreakBefore w:val="0"/>
        <w:widowControl/>
        <w:kinsoku/>
        <w:wordWrap/>
        <w:overflowPunct/>
        <w:topLinePunct/>
        <w:autoSpaceDE/>
        <w:autoSpaceDN w:val="0"/>
        <w:bidi w:val="0"/>
        <w:adjustRightInd w:val="0"/>
        <w:snapToGrid w:val="0"/>
        <w:spacing w:line="594" w:lineRule="exact"/>
        <w:ind w:firstLine="640" w:firstLineChars="200"/>
        <w:textAlignment w:val="auto"/>
        <w:rPr>
          <w:rFonts w:hint="eastAsia" w:ascii="Times New Roman" w:hAnsi="Times New Roman" w:eastAsia="方正仿宋_GBK" w:cs="Times New Roman"/>
          <w:color w:val="000000" w:themeColor="text1"/>
          <w:kern w:val="0"/>
          <w:sz w:val="32"/>
          <w:szCs w:val="32"/>
          <w:u w:val="none"/>
          <w:lang w:val="en-US" w:eastAsia="zh-CN"/>
          <w14:textFill>
            <w14:solidFill>
              <w14:schemeClr w14:val="tx1"/>
            </w14:solidFill>
          </w14:textFill>
        </w:rPr>
      </w:pPr>
      <w:r>
        <w:rPr>
          <w:rFonts w:hint="eastAsia" w:ascii="Times New Roman" w:hAnsi="Times New Roman" w:eastAsia="方正仿宋_GBK" w:cs="Times New Roman"/>
          <w:color w:val="000000" w:themeColor="text1"/>
          <w:kern w:val="0"/>
          <w:sz w:val="32"/>
          <w:szCs w:val="32"/>
          <w:u w:val="none"/>
          <w:lang w:val="en-US" w:eastAsia="zh-CN"/>
          <w14:textFill>
            <w14:solidFill>
              <w14:schemeClr w14:val="tx1"/>
            </w14:solidFill>
          </w14:textFill>
        </w:rPr>
        <w:t>逾期不申请行政复议，不提起行政诉讼，又不履行本决定的，本机关将依法申请人民法院强制执行。</w:t>
      </w:r>
    </w:p>
    <w:p>
      <w:pPr>
        <w:keepNext w:val="0"/>
        <w:keepLines w:val="0"/>
        <w:pageBreakBefore w:val="0"/>
        <w:widowControl/>
        <w:kinsoku/>
        <w:wordWrap/>
        <w:overflowPunct/>
        <w:topLinePunct/>
        <w:autoSpaceDE/>
        <w:autoSpaceDN w:val="0"/>
        <w:bidi w:val="0"/>
        <w:adjustRightInd w:val="0"/>
        <w:snapToGrid w:val="0"/>
        <w:spacing w:line="594" w:lineRule="exact"/>
        <w:ind w:firstLine="640" w:firstLineChars="200"/>
        <w:textAlignment w:val="auto"/>
        <w:rPr>
          <w:rFonts w:hint="eastAsia" w:ascii="Times New Roman" w:hAnsi="Times New Roman" w:eastAsia="方正仿宋_GBK" w:cs="Times New Roman"/>
          <w:color w:val="000000" w:themeColor="text1"/>
          <w:kern w:val="0"/>
          <w:sz w:val="32"/>
          <w:szCs w:val="32"/>
          <w:u w:val="none"/>
          <w:lang w:val="en-US" w:eastAsia="zh-CN"/>
          <w14:textFill>
            <w14:solidFill>
              <w14:schemeClr w14:val="tx1"/>
            </w14:solidFill>
          </w14:textFill>
        </w:rPr>
      </w:pPr>
    </w:p>
    <w:p>
      <w:pPr>
        <w:keepNext w:val="0"/>
        <w:keepLines w:val="0"/>
        <w:pageBreakBefore w:val="0"/>
        <w:widowControl/>
        <w:kinsoku/>
        <w:wordWrap/>
        <w:overflowPunct/>
        <w:topLinePunct/>
        <w:autoSpaceDE/>
        <w:autoSpaceDN w:val="0"/>
        <w:bidi w:val="0"/>
        <w:adjustRightInd w:val="0"/>
        <w:snapToGrid w:val="0"/>
        <w:spacing w:line="594" w:lineRule="exact"/>
        <w:ind w:firstLine="5120" w:firstLineChars="1600"/>
        <w:textAlignment w:val="auto"/>
        <w:rPr>
          <w:rFonts w:hint="eastAsia" w:ascii="Times New Roman" w:hAnsi="Times New Roman" w:eastAsia="方正仿宋_GBK" w:cs="Times New Roman"/>
          <w:color w:val="000000" w:themeColor="text1"/>
          <w:kern w:val="0"/>
          <w:sz w:val="32"/>
          <w:szCs w:val="32"/>
          <w:u w:val="none"/>
          <w:lang w:val="en-US" w:eastAsia="zh-CN"/>
          <w14:textFill>
            <w14:solidFill>
              <w14:schemeClr w14:val="tx1"/>
            </w14:solidFill>
          </w14:textFill>
        </w:rPr>
      </w:pPr>
      <w:r>
        <w:rPr>
          <w:rFonts w:hint="eastAsia" w:ascii="Times New Roman" w:hAnsi="Times New Roman" w:eastAsia="方正仿宋_GBK" w:cs="Times New Roman"/>
          <w:color w:val="000000" w:themeColor="text1"/>
          <w:kern w:val="0"/>
          <w:sz w:val="32"/>
          <w:szCs w:val="32"/>
          <w:u w:val="none"/>
          <w:lang w:val="en-US" w:eastAsia="zh-CN"/>
          <w14:textFill>
            <w14:solidFill>
              <w14:schemeClr w14:val="tx1"/>
            </w14:solidFill>
          </w14:textFill>
        </w:rPr>
        <w:t>巫溪县医疗保障局</w:t>
      </w:r>
    </w:p>
    <w:p>
      <w:pPr>
        <w:keepNext w:val="0"/>
        <w:keepLines w:val="0"/>
        <w:pageBreakBefore w:val="0"/>
        <w:widowControl/>
        <w:kinsoku/>
        <w:wordWrap/>
        <w:overflowPunct/>
        <w:topLinePunct/>
        <w:autoSpaceDE/>
        <w:autoSpaceDN w:val="0"/>
        <w:bidi w:val="0"/>
        <w:adjustRightInd w:val="0"/>
        <w:snapToGrid w:val="0"/>
        <w:spacing w:line="594" w:lineRule="exact"/>
        <w:ind w:firstLine="5440" w:firstLineChars="1700"/>
        <w:textAlignment w:val="auto"/>
        <w:rPr>
          <w:rFonts w:hint="eastAsia" w:ascii="Times New Roman" w:hAnsi="Times New Roman" w:eastAsia="方正仿宋_GBK" w:cs="Times New Roman"/>
          <w:color w:val="000000" w:themeColor="text1"/>
          <w:kern w:val="0"/>
          <w:sz w:val="32"/>
          <w:szCs w:val="32"/>
          <w:u w:val="none"/>
          <w:lang w:val="en-US" w:eastAsia="zh-CN"/>
          <w14:textFill>
            <w14:solidFill>
              <w14:schemeClr w14:val="tx1"/>
            </w14:solidFill>
          </w14:textFill>
        </w:rPr>
      </w:pPr>
      <w:r>
        <w:rPr>
          <w:rFonts w:hint="eastAsia" w:ascii="Times New Roman" w:hAnsi="Times New Roman" w:eastAsia="方正仿宋_GBK" w:cs="Times New Roman"/>
          <w:color w:val="000000" w:themeColor="text1"/>
          <w:kern w:val="0"/>
          <w:sz w:val="32"/>
          <w:szCs w:val="32"/>
          <w:u w:val="none"/>
          <w:lang w:val="en-US" w:eastAsia="zh-CN"/>
          <w14:textFill>
            <w14:solidFill>
              <w14:schemeClr w14:val="tx1"/>
            </w14:solidFill>
          </w14:textFill>
        </w:rPr>
        <w:t>2024年1月3日</w:t>
      </w:r>
    </w:p>
    <w:p>
      <w:pPr>
        <w:pStyle w:val="2"/>
        <w:ind w:firstLine="640" w:firstLineChars="200"/>
        <w:rPr>
          <w:rFonts w:hint="eastAsia" w:ascii="Times New Roman" w:hAnsi="Times New Roman" w:eastAsia="方正仿宋_GBK" w:cs="Times New Roman"/>
          <w:color w:val="000000" w:themeColor="text1"/>
          <w:kern w:val="0"/>
          <w:sz w:val="32"/>
          <w:szCs w:val="32"/>
          <w:u w:val="none"/>
          <w:lang w:val="en-US" w:eastAsia="zh-CN" w:bidi="ar-SA"/>
          <w14:textFill>
            <w14:solidFill>
              <w14:schemeClr w14:val="tx1"/>
            </w14:solidFill>
          </w14:textFill>
        </w:rPr>
      </w:pPr>
      <w:r>
        <w:rPr>
          <w:rFonts w:hint="eastAsia" w:ascii="Times New Roman" w:hAnsi="Times New Roman" w:eastAsia="方正仿宋_GBK" w:cs="Times New Roman"/>
          <w:color w:val="000000" w:themeColor="text1"/>
          <w:kern w:val="0"/>
          <w:sz w:val="32"/>
          <w:szCs w:val="32"/>
          <w:u w:val="none"/>
          <w:lang w:val="en-US" w:eastAsia="zh-CN" w:bidi="ar-SA"/>
          <w14:textFill>
            <w14:solidFill>
              <w14:schemeClr w14:val="tx1"/>
            </w14:solidFill>
          </w14:textFill>
        </w:rPr>
        <w:t>（此件公开）</w:t>
      </w: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RlMTI0ZmZkNWVkNDk2ZTg4NWYwOTQyMjQxMmY4NGEifQ=="/>
  </w:docVars>
  <w:rsids>
    <w:rsidRoot w:val="00000000"/>
    <w:rsid w:val="09AD76C1"/>
    <w:rsid w:val="0A731B2C"/>
    <w:rsid w:val="0A9823A8"/>
    <w:rsid w:val="0B040F38"/>
    <w:rsid w:val="0D7E5390"/>
    <w:rsid w:val="0DC27595"/>
    <w:rsid w:val="0F7C198D"/>
    <w:rsid w:val="112135CA"/>
    <w:rsid w:val="15676236"/>
    <w:rsid w:val="16451E35"/>
    <w:rsid w:val="19C521E1"/>
    <w:rsid w:val="1A6A40A7"/>
    <w:rsid w:val="1B2E4A5A"/>
    <w:rsid w:val="1FA1743F"/>
    <w:rsid w:val="20B83D8E"/>
    <w:rsid w:val="21D638F0"/>
    <w:rsid w:val="228C14B5"/>
    <w:rsid w:val="22A37AA1"/>
    <w:rsid w:val="22F42447"/>
    <w:rsid w:val="23D05D45"/>
    <w:rsid w:val="274B16B6"/>
    <w:rsid w:val="278E5524"/>
    <w:rsid w:val="2F7B5625"/>
    <w:rsid w:val="2F886137"/>
    <w:rsid w:val="317F69D8"/>
    <w:rsid w:val="319D518F"/>
    <w:rsid w:val="3209729F"/>
    <w:rsid w:val="32FF33DA"/>
    <w:rsid w:val="393B6253"/>
    <w:rsid w:val="3BEF8D24"/>
    <w:rsid w:val="3C060504"/>
    <w:rsid w:val="3E091E6C"/>
    <w:rsid w:val="3FBF57E1"/>
    <w:rsid w:val="3FFF39F2"/>
    <w:rsid w:val="411C4E0E"/>
    <w:rsid w:val="444F0053"/>
    <w:rsid w:val="47DF3564"/>
    <w:rsid w:val="4BBD2F84"/>
    <w:rsid w:val="4EAD27FC"/>
    <w:rsid w:val="4FF52F06"/>
    <w:rsid w:val="525B2602"/>
    <w:rsid w:val="53EC2715"/>
    <w:rsid w:val="54FA159C"/>
    <w:rsid w:val="553D520A"/>
    <w:rsid w:val="55EFAE69"/>
    <w:rsid w:val="56E01431"/>
    <w:rsid w:val="5E14F83B"/>
    <w:rsid w:val="5FEFC965"/>
    <w:rsid w:val="5FFFA756"/>
    <w:rsid w:val="605A4EEC"/>
    <w:rsid w:val="61A247DD"/>
    <w:rsid w:val="6454463B"/>
    <w:rsid w:val="66821692"/>
    <w:rsid w:val="669804F0"/>
    <w:rsid w:val="677389D8"/>
    <w:rsid w:val="677CB23C"/>
    <w:rsid w:val="67C4AB9D"/>
    <w:rsid w:val="69353AD2"/>
    <w:rsid w:val="6A3E1074"/>
    <w:rsid w:val="6A5F3B07"/>
    <w:rsid w:val="6B7F7316"/>
    <w:rsid w:val="6BFE6836"/>
    <w:rsid w:val="6DCFF63C"/>
    <w:rsid w:val="6E934195"/>
    <w:rsid w:val="717838CE"/>
    <w:rsid w:val="757B0117"/>
    <w:rsid w:val="77C13BD0"/>
    <w:rsid w:val="77FF2992"/>
    <w:rsid w:val="78C338C8"/>
    <w:rsid w:val="79EE3332"/>
    <w:rsid w:val="7ACF4261"/>
    <w:rsid w:val="7D282745"/>
    <w:rsid w:val="7DBC38C6"/>
    <w:rsid w:val="7DD71015"/>
    <w:rsid w:val="7F0E20BC"/>
    <w:rsid w:val="7F3C8F6E"/>
    <w:rsid w:val="7F9BDE41"/>
    <w:rsid w:val="7FE78B7F"/>
    <w:rsid w:val="7FFF2A2C"/>
    <w:rsid w:val="7FFFF176"/>
    <w:rsid w:val="966A5A11"/>
    <w:rsid w:val="B6B08A6E"/>
    <w:rsid w:val="DF5C2638"/>
    <w:rsid w:val="E78F959E"/>
    <w:rsid w:val="E7FAA3E1"/>
    <w:rsid w:val="EE7DB7A3"/>
    <w:rsid w:val="F35A743E"/>
    <w:rsid w:val="F53DD1D5"/>
    <w:rsid w:val="F7BB367E"/>
    <w:rsid w:val="F9FBDDDD"/>
    <w:rsid w:val="FA6F09A6"/>
    <w:rsid w:val="FAFC6D75"/>
    <w:rsid w:val="FBEF329F"/>
    <w:rsid w:val="FF3F27FA"/>
    <w:rsid w:val="FF7B3FB2"/>
    <w:rsid w:val="FFDF19CC"/>
    <w:rsid w:val="FFDF5D34"/>
    <w:rsid w:val="FFEC0C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toc 5"/>
    <w:basedOn w:val="1"/>
    <w:next w:val="1"/>
    <w:autoRedefine/>
    <w:qFormat/>
    <w:uiPriority w:val="0"/>
    <w:pPr>
      <w:ind w:left="1680" w:leftChars="800"/>
    </w:pPr>
    <w:rPr>
      <w:rFonts w:ascii="Times New Roman" w:hAnsi="Times New Roman" w:eastAsia="方正仿宋_GBK" w:cs="Times New Roman"/>
      <w:sz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1711</Words>
  <Characters>1898</Characters>
  <Lines>0</Lines>
  <Paragraphs>0</Paragraphs>
  <TotalTime>1</TotalTime>
  <ScaleCrop>false</ScaleCrop>
  <LinksUpToDate>false</LinksUpToDate>
  <CharactersWithSpaces>2128</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2022-04-29T08:31:00Z</dcterms:created>
  <dc:creator>cxdn</dc:creator>
  <cp:lastModifiedBy>温星星</cp:lastModifiedBy>
  <cp:lastPrinted>2024-01-04T00:37:00Z</cp:lastPrinted>
  <dcterms:modified xsi:type="dcterms:W3CDTF">2024-04-16T01:53:38Z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8CFF821A225643359159E382268AFF15_13</vt:lpwstr>
  </property>
  <property fmtid="{D5CDD505-2E9C-101B-9397-08002B2CF9AE}" pid="4" name="commondata">
    <vt:lpwstr>eyJoZGlkIjoiZjc3MmIwODZmMmI5ZDk2ZWY4OGU3MTJlYjY0ZDRiYTEifQ==</vt:lpwstr>
  </property>
</Properties>
</file>