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巫溪县医药价格和招标采购监督指导中心</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textAlignment w:val="auto"/>
        <w:rPr>
          <w:rFonts w:hint="default" w:ascii="Times New Roman" w:hAnsi="Times New Roman" w:cs="Times New Roman"/>
          <w:sz w:val="27"/>
          <w:szCs w:val="27"/>
          <w:shd w:val="clear" w:color="auto" w:fill="FFFF00"/>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pacing w:beforeAutospacing="0" w:afterAutospacing="0" w:line="578" w:lineRule="exact"/>
        <w:ind w:firstLine="640" w:firstLineChars="200"/>
        <w:textAlignment w:val="auto"/>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napToGrid w:val="0"/>
        <w:spacing w:beforeAutospacing="0" w:afterAutospacing="0" w:line="578" w:lineRule="exact"/>
        <w:ind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承担拟订全县医药价格及医药招标采购制度规范的具体事务性工作，承担监督、指导医药招标采购的具体事务性工作，承担医药成本调查统计、医药价格监测分析、医药价格信息发布、医药价格政策咨询等服务性工作，完成县医保局交办的其他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楷体_GBK" w:cs="Times New Roman"/>
          <w:sz w:val="32"/>
          <w:szCs w:val="32"/>
        </w:rPr>
      </w:pPr>
      <w:r>
        <w:rPr>
          <w:rStyle w:val="8"/>
          <w:rFonts w:hint="default" w:ascii="Times New Roman" w:hAnsi="Times New Roman" w:eastAsia="方正楷体_GBK" w:cs="Times New Roman"/>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仿宋" w:cs="Times New Roman"/>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根据《中共巫溪县委机构编制委员会关于设立巫溪县医药价格和招标采购监督指导中心的批复》巫溪委编委</w:t>
      </w:r>
      <w:r>
        <w:rPr>
          <w:rFonts w:hint="default" w:ascii="Times New Roman" w:hAnsi="Times New Roman" w:eastAsia="方正仿宋_GBK" w:cs="Times New Roman"/>
          <w:kern w:val="2"/>
          <w:sz w:val="32"/>
          <w:szCs w:val="32"/>
          <w:lang w:val="en-US" w:eastAsia="zh-CN" w:bidi="ar"/>
        </w:rPr>
        <w:t>〔2020〕5</w:t>
      </w:r>
      <w:r>
        <w:rPr>
          <w:rFonts w:hint="eastAsia" w:ascii="方正仿宋_GBK" w:hAnsi="方正仿宋_GBK" w:eastAsia="方正仿宋_GBK" w:cs="方正仿宋_GBK"/>
          <w:kern w:val="2"/>
          <w:sz w:val="32"/>
          <w:szCs w:val="32"/>
          <w:lang w:val="en-US" w:eastAsia="zh-CN" w:bidi="ar"/>
        </w:rPr>
        <w:t>号文件规定，将在县卫生健康委所属事业单位巫溪县卫生财务集中核算中心挂牌的巫溪县基本药物采购服务中心划入县医保局，更名为巫溪县医药价格和招标采购监督指导中心，为县医保局管理的副科级公益一类财政全额拨款事业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度收入总计51.81万元，支出总计</w:t>
      </w:r>
      <w:r>
        <w:rPr>
          <w:rFonts w:hint="default" w:ascii="Times New Roman" w:hAnsi="Times New Roman" w:eastAsia="方正仿宋_GBK" w:cs="Times New Roman"/>
          <w:sz w:val="32"/>
          <w:szCs w:val="32"/>
        </w:rPr>
        <w:t>51.81</w:t>
      </w:r>
      <w:r>
        <w:rPr>
          <w:rFonts w:hint="default" w:ascii="Times New Roman" w:hAnsi="Times New Roman" w:eastAsia="方正仿宋_GBK" w:cs="Times New Roman"/>
          <w:sz w:val="32"/>
          <w:szCs w:val="32"/>
          <w:shd w:val="clear" w:color="auto" w:fill="FFFFFF"/>
        </w:rPr>
        <w:t>万元。收、支与2023年度相比，增加51.81万元，增长100.0%，主要原因</w:t>
      </w:r>
      <w:r>
        <w:rPr>
          <w:rFonts w:hint="default" w:ascii="Times New Roman" w:hAnsi="Times New Roman" w:eastAsia="方正仿宋_GBK" w:cs="Times New Roman"/>
          <w:sz w:val="32"/>
          <w:szCs w:val="32"/>
          <w:shd w:val="clear" w:color="auto" w:fill="FFFFFF"/>
          <w:lang w:eastAsia="zh-CN"/>
        </w:rPr>
        <w:t>是本单位为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度收入合计51.81万元，与2023年度相比，增加51.81万元，增长100.0%，主要原因是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51.81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51.81</w:t>
      </w:r>
      <w:r>
        <w:rPr>
          <w:rFonts w:hint="default" w:ascii="Times New Roman" w:hAnsi="Times New Roman" w:eastAsia="方正仿宋_GBK" w:cs="Times New Roman"/>
          <w:sz w:val="32"/>
          <w:szCs w:val="32"/>
          <w:shd w:val="clear" w:color="auto" w:fill="FFFFFF"/>
        </w:rPr>
        <w:t>万元，与2023年度相比，增加51.81万元，增长100.0%，主要原因是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51.81</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本年预算全部实行零结转，结余资金已由财政追减当年指标。</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度财政拨款收、支总计51.81万元。与202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年相比，财政拨款收、支总计各增加51.81万元，增长100.0%。主要原因是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51.81</w:t>
      </w:r>
      <w:r>
        <w:rPr>
          <w:rFonts w:hint="default" w:ascii="Times New Roman" w:hAnsi="Times New Roman" w:eastAsia="方正仿宋_GBK" w:cs="Times New Roman"/>
          <w:sz w:val="32"/>
          <w:szCs w:val="32"/>
          <w:shd w:val="clear" w:color="auto" w:fill="FFFFFF"/>
        </w:rPr>
        <w:t>万元，与2023年度相比，增加51.81万元，增长100.0%。主要原因是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较年初预算数减少2.60万元，下降4.8%。主要原因是</w:t>
      </w:r>
      <w:r>
        <w:rPr>
          <w:rFonts w:hint="default" w:ascii="Times New Roman" w:hAnsi="Times New Roman" w:eastAsia="方正仿宋_GBK" w:cs="Times New Roman"/>
          <w:sz w:val="32"/>
          <w:szCs w:val="32"/>
          <w:shd w:val="clear" w:color="auto" w:fill="FFFFFF"/>
          <w:lang w:eastAsia="zh-CN"/>
        </w:rPr>
        <w:t>本年退休两名工作人员，在职人员减少，</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51.81</w:t>
      </w:r>
      <w:r>
        <w:rPr>
          <w:rFonts w:hint="default" w:ascii="Times New Roman" w:hAnsi="Times New Roman" w:eastAsia="方正仿宋_GBK" w:cs="Times New Roman"/>
          <w:sz w:val="32"/>
          <w:szCs w:val="32"/>
          <w:shd w:val="clear" w:color="auto" w:fill="FFFFFF"/>
        </w:rPr>
        <w:t>万元，与2023年度相比，增加51.81万元，增长100.0%。主要原因是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较年初预算数减少2.60万元，下降4.8%。主要原因是</w:t>
      </w:r>
      <w:r>
        <w:rPr>
          <w:rFonts w:hint="default" w:ascii="Times New Roman" w:hAnsi="Times New Roman" w:eastAsia="方正仿宋_GBK" w:cs="Times New Roman"/>
          <w:sz w:val="32"/>
          <w:szCs w:val="32"/>
          <w:shd w:val="clear" w:color="auto" w:fill="FFFFFF"/>
          <w:lang w:eastAsia="zh-CN"/>
        </w:rPr>
        <w:t>一是功能科目</w:t>
      </w:r>
      <w:r>
        <w:rPr>
          <w:rFonts w:hint="default" w:ascii="Times New Roman" w:hAnsi="Times New Roman" w:eastAsia="方正仿宋_GBK" w:cs="Times New Roman"/>
          <w:sz w:val="32"/>
          <w:szCs w:val="32"/>
          <w:shd w:val="clear" w:color="auto" w:fill="FFFFFF"/>
          <w:lang w:val="en-US" w:eastAsia="zh-CN"/>
        </w:rPr>
        <w:t>2080501行政单位离退休支出增加0.35万元；二是功能科目2101501行政运行支出减少2.95万元，</w:t>
      </w:r>
      <w:r>
        <w:rPr>
          <w:rFonts w:hint="default" w:ascii="Times New Roman" w:hAnsi="Times New Roman" w:eastAsia="方正仿宋_GBK" w:cs="Times New Roman"/>
          <w:sz w:val="32"/>
          <w:szCs w:val="32"/>
          <w:shd w:val="clear" w:color="auto" w:fill="FFFFFF"/>
          <w:lang w:eastAsia="zh-CN"/>
        </w:rPr>
        <w:t>这样一增一减从而引起本单位年末决算支出数比年初预算数减少</w:t>
      </w:r>
      <w:r>
        <w:rPr>
          <w:rFonts w:hint="default" w:ascii="Times New Roman" w:hAnsi="Times New Roman" w:eastAsia="方正仿宋_GBK" w:cs="Times New Roman"/>
          <w:sz w:val="32"/>
          <w:szCs w:val="32"/>
          <w:shd w:val="clear" w:color="auto" w:fill="FFFFFF"/>
          <w:lang w:val="en-US" w:eastAsia="zh-CN"/>
        </w:rPr>
        <w:t>2.60万元</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本年预算全部实行零结转。</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5.85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11.29</w:t>
      </w:r>
      <w:r>
        <w:rPr>
          <w:rFonts w:hint="default" w:ascii="Times New Roman" w:hAnsi="Times New Roman" w:eastAsia="方正仿宋_GBK" w:cs="Times New Roman"/>
          <w:sz w:val="32"/>
          <w:szCs w:val="32"/>
          <w:shd w:val="clear" w:color="auto" w:fill="FFFFFF"/>
        </w:rPr>
        <w:t>%，较年初预算数增加0.35万元，增长6.4%，主要原因是</w:t>
      </w:r>
      <w:r>
        <w:rPr>
          <w:rFonts w:hint="default" w:ascii="Times New Roman" w:hAnsi="Times New Roman" w:eastAsia="方正仿宋_GBK" w:cs="Times New Roman"/>
          <w:sz w:val="32"/>
          <w:szCs w:val="32"/>
          <w:shd w:val="clear" w:color="auto" w:fill="FFFFFF"/>
          <w:lang w:eastAsia="zh-CN"/>
        </w:rPr>
        <w:t>决算时功能科目</w:t>
      </w:r>
      <w:r>
        <w:rPr>
          <w:rFonts w:hint="default" w:ascii="Times New Roman" w:hAnsi="Times New Roman" w:eastAsia="方正仿宋_GBK" w:cs="Times New Roman"/>
          <w:sz w:val="32"/>
          <w:szCs w:val="32"/>
          <w:shd w:val="clear" w:color="auto" w:fill="FFFFFF"/>
          <w:lang w:val="en-US" w:eastAsia="zh-CN"/>
        </w:rPr>
        <w:t>2080501行政单位离退休费支出增加0.35万元。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43.21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83.40</w:t>
      </w:r>
      <w:r>
        <w:rPr>
          <w:rFonts w:hint="default" w:ascii="Times New Roman" w:hAnsi="Times New Roman" w:eastAsia="方正仿宋_GBK" w:cs="Times New Roman"/>
          <w:sz w:val="32"/>
          <w:szCs w:val="32"/>
          <w:shd w:val="clear" w:color="auto" w:fill="FFFFFF"/>
        </w:rPr>
        <w:t>%，较年初预算数减少2.96万元，下降6.4%，主要原因是</w:t>
      </w:r>
      <w:r>
        <w:rPr>
          <w:rFonts w:hint="default" w:ascii="Times New Roman" w:hAnsi="Times New Roman" w:eastAsia="方正仿宋_GBK" w:cs="Times New Roman"/>
          <w:sz w:val="32"/>
          <w:szCs w:val="32"/>
          <w:shd w:val="clear" w:color="auto" w:fill="FFFFFF"/>
          <w:lang w:eastAsia="zh-CN"/>
        </w:rPr>
        <w:t>决算时功能科目</w:t>
      </w:r>
      <w:r>
        <w:rPr>
          <w:rFonts w:hint="default" w:ascii="Times New Roman" w:hAnsi="Times New Roman" w:eastAsia="方正仿宋_GBK" w:cs="Times New Roman"/>
          <w:sz w:val="32"/>
          <w:szCs w:val="32"/>
          <w:shd w:val="clear" w:color="auto" w:fill="FFFFFF"/>
          <w:lang w:val="en-US" w:eastAsia="zh-CN"/>
        </w:rPr>
        <w:t>2101501行政运行支出减少2.96万元。</w:t>
      </w:r>
    </w:p>
    <w:p>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住房保障支出2.75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5.31</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51.81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48.23</w:t>
      </w:r>
      <w:r>
        <w:rPr>
          <w:rFonts w:hint="default" w:ascii="Times New Roman" w:hAnsi="Times New Roman" w:eastAsia="方正仿宋_GBK" w:cs="Times New Roman"/>
          <w:sz w:val="32"/>
          <w:szCs w:val="32"/>
          <w:shd w:val="clear" w:color="auto" w:fill="FFFFFF"/>
        </w:rPr>
        <w:t>万元，与2023年度相比，增加48.23万元，增长100.0%，主要原因是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eastAsia="zh-CN"/>
        </w:rPr>
        <w:t>基本工资、津贴补贴、绩效工资、机关事业单位基本养老保险费、职工基本医疗保险缴费、职业现金缴费、住房公积金、其他社会保障缴费等。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3.58</w:t>
      </w:r>
      <w:r>
        <w:rPr>
          <w:rFonts w:hint="default" w:ascii="Times New Roman" w:hAnsi="Times New Roman" w:eastAsia="方正仿宋_GBK" w:cs="Times New Roman"/>
          <w:sz w:val="32"/>
          <w:szCs w:val="32"/>
          <w:shd w:val="clear" w:color="auto" w:fill="FFFFFF"/>
        </w:rPr>
        <w:t>万元，与2023年度相比，增加3.58万元，增长100.0%，主要原因是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办公费、水费、邮电费、物管费、差旅费、维护费、公务接待费、工会经费、其他交通费用、其他商品和服务支出。</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 本单位2024年度无国有资本经营预算财政拨款支出。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0.16</w:t>
      </w:r>
      <w:r>
        <w:rPr>
          <w:rFonts w:hint="default" w:ascii="Times New Roman" w:hAnsi="Times New Roman" w:eastAsia="方正仿宋_GBK" w:cs="Times New Roman"/>
          <w:sz w:val="32"/>
          <w:szCs w:val="32"/>
          <w:shd w:val="clear" w:color="auto" w:fill="FFFFFF"/>
        </w:rPr>
        <w:t>万元，较年初预算数减少0.34万元，下降68.0%，主要原因是</w:t>
      </w:r>
      <w:r>
        <w:rPr>
          <w:rFonts w:hint="default" w:ascii="Times New Roman" w:hAnsi="Times New Roman" w:eastAsia="方正仿宋_GBK" w:cs="Times New Roman"/>
          <w:sz w:val="32"/>
          <w:szCs w:val="32"/>
          <w:shd w:val="clear" w:color="auto" w:fill="FFFFFF"/>
          <w:lang w:eastAsia="zh-CN"/>
        </w:rPr>
        <w:t>我部门严格遵守中央八项规定精神，响应过紧日子号召，压缩三公经费支出</w:t>
      </w:r>
      <w:r>
        <w:rPr>
          <w:rFonts w:hint="default" w:ascii="Times New Roman" w:hAnsi="Times New Roman" w:eastAsia="方正仿宋_GBK" w:cs="Times New Roman"/>
          <w:sz w:val="32"/>
          <w:szCs w:val="32"/>
          <w:shd w:val="clear" w:color="auto" w:fill="FFFFFF"/>
        </w:rPr>
        <w:t>。较上年支出数增加0.16万元，增长100.0%，主要原因是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0.16</w:t>
      </w:r>
      <w:r>
        <w:rPr>
          <w:rFonts w:hint="default" w:ascii="Times New Roman" w:hAnsi="Times New Roman" w:eastAsia="方正仿宋_GBK" w:cs="Times New Roman"/>
          <w:sz w:val="32"/>
          <w:szCs w:val="32"/>
          <w:shd w:val="clear" w:color="auto" w:fill="FFFFFF"/>
        </w:rPr>
        <w:t>万元，主要用于</w:t>
      </w:r>
      <w:r>
        <w:rPr>
          <w:rFonts w:hint="eastAsia" w:ascii="Times New Roman" w:hAnsi="Times New Roman" w:eastAsia="方正仿宋_GBK" w:cs="Times New Roman"/>
          <w:sz w:val="32"/>
          <w:szCs w:val="32"/>
          <w:shd w:val="clear" w:color="auto" w:fill="FFFFFF"/>
          <w:lang w:eastAsia="zh-CN"/>
        </w:rPr>
        <w:t>招标采购方面的公务接待</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费用支出较年初预算数减少0.34万元，下降68.0%，主要原因是</w:t>
      </w:r>
      <w:r>
        <w:rPr>
          <w:rFonts w:hint="default" w:ascii="Times New Roman" w:hAnsi="Times New Roman" w:eastAsia="方正仿宋_GBK" w:cs="Times New Roman"/>
          <w:sz w:val="32"/>
          <w:szCs w:val="32"/>
          <w:shd w:val="clear" w:color="auto" w:fill="FFFFFF"/>
          <w:lang w:eastAsia="zh-CN"/>
        </w:rPr>
        <w:t>响应过紧日子号召，压缩公务接待费支出。</w:t>
      </w:r>
      <w:r>
        <w:rPr>
          <w:rFonts w:hint="default" w:ascii="Times New Roman" w:hAnsi="Times New Roman" w:eastAsia="方正仿宋_GBK" w:cs="Times New Roman"/>
          <w:sz w:val="32"/>
          <w:szCs w:val="32"/>
          <w:shd w:val="clear" w:color="auto" w:fill="FFFFFF"/>
        </w:rPr>
        <w:t>较上年支出数增加0.16万元，增长100.0%，主要原因是</w:t>
      </w:r>
      <w:r>
        <w:rPr>
          <w:rFonts w:hint="default" w:ascii="Times New Roman" w:hAnsi="Times New Roman" w:eastAsia="方正仿宋_GBK" w:cs="Times New Roman"/>
          <w:sz w:val="32"/>
          <w:szCs w:val="32"/>
          <w:shd w:val="clear" w:color="auto" w:fill="FFFFFF"/>
          <w:lang w:eastAsia="zh-CN"/>
        </w:rPr>
        <w:t>本单位为</w:t>
      </w:r>
      <w:r>
        <w:rPr>
          <w:rFonts w:hint="default" w:ascii="Times New Roman" w:hAnsi="Times New Roman" w:eastAsia="方正仿宋_GBK" w:cs="Times New Roman"/>
          <w:sz w:val="32"/>
          <w:szCs w:val="32"/>
          <w:shd w:val="clear" w:color="auto" w:fill="FFFFFF"/>
          <w:lang w:val="en-US" w:eastAsia="zh-CN"/>
        </w:rPr>
        <w:t>2024年新增单位，无上年数，所以增长100%</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35</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45.83</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因</w:t>
      </w:r>
      <w:r>
        <w:rPr>
          <w:rFonts w:hint="default" w:ascii="Times New Roman" w:hAnsi="Times New Roman" w:eastAsia="方正仿宋_GBK" w:cs="Times New Roman"/>
          <w:sz w:val="32"/>
          <w:szCs w:val="32"/>
          <w:shd w:val="clear" w:color="auto" w:fill="FFFFFF"/>
          <w:lang w:eastAsia="zh-CN"/>
        </w:rPr>
        <w:t>本单位为县医疗保障局下属事业单位</w:t>
      </w:r>
      <w:r>
        <w:rPr>
          <w:rFonts w:hint="default" w:ascii="Times New Roman" w:hAnsi="Times New Roman" w:eastAsia="方正仿宋_GBK" w:cs="Times New Roman"/>
          <w:sz w:val="32"/>
          <w:szCs w:val="32"/>
          <w:shd w:val="clear" w:color="auto" w:fill="FFFFFF"/>
        </w:rPr>
        <w:t>，我单位资产未纳入部门决算报表。</w:t>
      </w:r>
    </w:p>
    <w:p>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黑体_GBK" w:hAnsi="方正黑体_GBK" w:eastAsia="方正黑体_GBK" w:cs="方正黑体_GBK"/>
          <w:b w:val="0"/>
          <w:bCs w:val="0"/>
          <w:kern w:val="0"/>
          <w:sz w:val="32"/>
          <w:szCs w:val="32"/>
          <w:shd w:val="clear" w:fill="FFFFFF"/>
        </w:rPr>
      </w:pPr>
      <w:r>
        <w:rPr>
          <w:rFonts w:hint="eastAsia" w:ascii="方正黑体_GBK" w:hAnsi="方正黑体_GBK" w:eastAsia="方正黑体_GBK" w:cs="方正黑体_GBK"/>
          <w:b w:val="0"/>
          <w:bCs w:val="0"/>
          <w:kern w:val="0"/>
          <w:sz w:val="32"/>
          <w:szCs w:val="32"/>
          <w:shd w:val="clear" w:fill="FFFFFF"/>
        </w:rPr>
        <w:t>（一）单位自评情况</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根据预算绩效管理要求，我单位属于县</w:t>
      </w:r>
      <w:r>
        <w:rPr>
          <w:rFonts w:hint="eastAsia" w:ascii="Times New Roman" w:hAnsi="Times New Roman" w:eastAsia="方正仿宋_GBK" w:cs="Times New Roman"/>
          <w:kern w:val="0"/>
          <w:sz w:val="32"/>
          <w:szCs w:val="32"/>
          <w:shd w:val="clear" w:color="auto" w:fill="FFFFFF"/>
          <w:lang w:val="en-US" w:eastAsia="zh-CN" w:bidi="ar-SA"/>
        </w:rPr>
        <w:t>医疗保障</w:t>
      </w:r>
      <w:r>
        <w:rPr>
          <w:rFonts w:hint="default" w:ascii="Times New Roman" w:hAnsi="Times New Roman" w:eastAsia="方正仿宋_GBK" w:cs="Times New Roman"/>
          <w:kern w:val="0"/>
          <w:sz w:val="32"/>
          <w:szCs w:val="32"/>
          <w:shd w:val="clear" w:color="auto" w:fill="FFFFFF"/>
          <w:lang w:val="en-US" w:eastAsia="zh-CN" w:bidi="ar-SA"/>
        </w:rPr>
        <w:t>局下属事业单位，部门整体绩效自评由县</w:t>
      </w:r>
      <w:r>
        <w:rPr>
          <w:rFonts w:hint="eastAsia" w:ascii="Times New Roman" w:hAnsi="Times New Roman" w:eastAsia="方正仿宋_GBK" w:cs="Times New Roman"/>
          <w:kern w:val="0"/>
          <w:sz w:val="32"/>
          <w:szCs w:val="32"/>
          <w:shd w:val="clear" w:color="auto" w:fill="FFFFFF"/>
          <w:lang w:val="en-US" w:eastAsia="zh-CN" w:bidi="ar-SA"/>
        </w:rPr>
        <w:t>医疗保障</w:t>
      </w:r>
      <w:r>
        <w:rPr>
          <w:rFonts w:hint="default" w:ascii="Times New Roman" w:hAnsi="Times New Roman" w:eastAsia="方正仿宋_GBK" w:cs="Times New Roman"/>
          <w:kern w:val="0"/>
          <w:sz w:val="32"/>
          <w:szCs w:val="32"/>
          <w:shd w:val="clear" w:color="auto" w:fill="FFFFFF"/>
          <w:lang w:val="en-US" w:eastAsia="zh-CN" w:bidi="ar-SA"/>
        </w:rPr>
        <w:t>局统一开展。我单位本年无一、二级项目。</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val="en-US" w:eastAsia="zh-CN"/>
        </w:rPr>
        <w:t>2024年我部门未组织开展绩效评价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bCs/>
          <w:kern w:val="0"/>
          <w:sz w:val="32"/>
          <w:szCs w:val="32"/>
          <w:shd w:val="clear" w:fill="FFFFFF"/>
          <w:lang w:val="en-US" w:eastAsia="zh-CN" w:bidi="ar"/>
        </w:rPr>
        <w:t>（三）财政绩效评价情况</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Style w:val="8"/>
          <w:rFonts w:hint="default" w:ascii="Times New Roman" w:hAnsi="Times New Roman" w:eastAsia="黑体" w:cs="Times New Roman"/>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fill="FFFFFF"/>
          <w:lang w:val="en-US" w:eastAsia="zh-CN"/>
        </w:rPr>
        <w:t>2024年县财政未委托第三方对我部门开展绩效评价。</w:t>
      </w: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val="0"/>
          <w:kern w:val="0"/>
          <w:sz w:val="32"/>
          <w:szCs w:val="32"/>
          <w:shd w:val="clear" w:fill="FFFFFF"/>
          <w:lang w:val="en-US" w:eastAsia="zh-CN" w:bidi="ar"/>
        </w:rPr>
      </w:pPr>
      <w:r>
        <w:rPr>
          <w:rFonts w:hint="eastAsia" w:ascii="方正黑体_GBK" w:hAnsi="方正黑体_GBK" w:eastAsia="方正黑体_GBK" w:cs="方正黑体_GBK"/>
          <w:b w:val="0"/>
          <w:bCs w:val="0"/>
          <w:kern w:val="0"/>
          <w:sz w:val="32"/>
          <w:szCs w:val="32"/>
          <w:shd w:val="clear" w:fill="FFFFFF"/>
          <w:lang w:val="en-US" w:eastAsia="zh-CN" w:bidi="ar"/>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（一）财政拨款收入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（二）</w:t>
      </w:r>
      <w:r>
        <w:rPr>
          <w:rStyle w:val="8"/>
          <w:rFonts w:hint="default" w:ascii="方正楷体_GBK" w:hAnsi="方正楷体_GBK" w:eastAsia="方正楷体_GBK" w:cs="方正楷体_GBK"/>
          <w:b w:val="0"/>
          <w:bCs/>
          <w:sz w:val="32"/>
          <w:szCs w:val="32"/>
          <w:shd w:val="clear" w:color="auto" w:fill="FFFFFF"/>
          <w:lang w:val="en-US" w:eastAsia="zh-CN" w:bidi="ar-SA"/>
        </w:rPr>
        <w:t>事业收入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w:t>
      </w:r>
      <w:r>
        <w:rPr>
          <w:rStyle w:val="8"/>
          <w:rFonts w:hint="eastAsia" w:ascii="方正仿宋_GBK" w:hAnsi="方正仿宋_GBK" w:eastAsia="方正仿宋_GBK" w:cs="方正仿宋_GBK"/>
          <w:b w:val="0"/>
          <w:bCs/>
          <w:sz w:val="32"/>
          <w:szCs w:val="32"/>
          <w:shd w:val="clear" w:color="auto" w:fill="FFFFFF"/>
          <w:lang w:val="en-US" w:eastAsia="zh-CN" w:bidi="ar-SA"/>
        </w:rPr>
        <w:t>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（三）</w:t>
      </w:r>
      <w:r>
        <w:rPr>
          <w:rStyle w:val="8"/>
          <w:rFonts w:hint="default" w:ascii="方正楷体_GBK" w:hAnsi="方正楷体_GBK" w:eastAsia="方正楷体_GBK" w:cs="方正楷体_GBK"/>
          <w:b w:val="0"/>
          <w:bCs/>
          <w:sz w:val="32"/>
          <w:szCs w:val="32"/>
          <w:shd w:val="clear" w:color="auto" w:fill="FFFFFF"/>
          <w:lang w:val="en-US" w:eastAsia="zh-CN" w:bidi="ar-SA"/>
        </w:rPr>
        <w:t>经营收入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（四）</w:t>
      </w:r>
      <w:r>
        <w:rPr>
          <w:rStyle w:val="8"/>
          <w:rFonts w:hint="default" w:ascii="方正楷体_GBK" w:hAnsi="方正楷体_GBK" w:eastAsia="方正楷体_GBK" w:cs="方正楷体_GBK"/>
          <w:b w:val="0"/>
          <w:bCs/>
          <w:sz w:val="32"/>
          <w:szCs w:val="32"/>
          <w:shd w:val="clear" w:color="auto" w:fill="FFFFFF"/>
          <w:lang w:val="en-US" w:eastAsia="zh-CN" w:bidi="ar-SA"/>
        </w:rPr>
        <w:t>其他收入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（五）</w:t>
      </w:r>
      <w:r>
        <w:rPr>
          <w:rStyle w:val="8"/>
          <w:rFonts w:hint="default" w:ascii="方正楷体_GBK" w:hAnsi="方正楷体_GBK" w:eastAsia="方正楷体_GBK" w:cs="方正楷体_GBK"/>
          <w:b w:val="0"/>
          <w:bCs/>
          <w:sz w:val="32"/>
          <w:szCs w:val="32"/>
          <w:shd w:val="clear" w:color="auto" w:fill="FFFFFF"/>
          <w:lang w:val="en-US" w:eastAsia="zh-CN" w:bidi="ar-SA"/>
        </w:rPr>
        <w:t>使用非财政拨款结余</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（六）</w:t>
      </w:r>
      <w:r>
        <w:rPr>
          <w:rStyle w:val="8"/>
          <w:rFonts w:hint="default" w:ascii="方正楷体_GBK" w:hAnsi="方正楷体_GBK" w:eastAsia="方正楷体_GBK" w:cs="方正楷体_GBK"/>
          <w:b w:val="0"/>
          <w:bCs/>
          <w:sz w:val="32"/>
          <w:szCs w:val="32"/>
          <w:shd w:val="clear" w:color="auto" w:fill="FFFFFF"/>
          <w:lang w:val="en-US" w:eastAsia="zh-CN" w:bidi="ar-SA"/>
        </w:rPr>
        <w:t>年初结转和结余</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（七）</w:t>
      </w:r>
      <w:r>
        <w:rPr>
          <w:rStyle w:val="8"/>
          <w:rFonts w:hint="default" w:ascii="方正楷体_GBK" w:hAnsi="方正楷体_GBK" w:eastAsia="方正楷体_GBK" w:cs="方正楷体_GBK"/>
          <w:b w:val="0"/>
          <w:bCs/>
          <w:sz w:val="32"/>
          <w:szCs w:val="32"/>
          <w:shd w:val="clear" w:color="auto" w:fill="FFFFFF"/>
          <w:lang w:val="en-US" w:eastAsia="zh-CN" w:bidi="ar-SA"/>
        </w:rPr>
        <w:t>结余分配</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（八）</w:t>
      </w:r>
      <w:r>
        <w:rPr>
          <w:rStyle w:val="8"/>
          <w:rFonts w:hint="default" w:ascii="方正楷体_GBK" w:hAnsi="方正楷体_GBK" w:eastAsia="方正楷体_GBK" w:cs="方正楷体_GBK"/>
          <w:b w:val="0"/>
          <w:bCs/>
          <w:sz w:val="32"/>
          <w:szCs w:val="32"/>
          <w:shd w:val="clear" w:color="auto" w:fill="FFFFFF"/>
          <w:lang w:val="en-US" w:eastAsia="zh-CN" w:bidi="ar-SA"/>
        </w:rPr>
        <w:t>年末结转和结余</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（九）</w:t>
      </w:r>
      <w:r>
        <w:rPr>
          <w:rStyle w:val="8"/>
          <w:rFonts w:hint="default" w:ascii="方正楷体_GBK" w:hAnsi="方正楷体_GBK" w:eastAsia="方正楷体_GBK" w:cs="方正楷体_GBK"/>
          <w:b w:val="0"/>
          <w:bCs/>
          <w:sz w:val="32"/>
          <w:szCs w:val="32"/>
          <w:shd w:val="clear" w:color="auto" w:fill="FFFFFF"/>
          <w:lang w:val="en-US" w:eastAsia="zh-CN" w:bidi="ar-SA"/>
        </w:rPr>
        <w:t>基本支出</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w:t>
      </w:r>
      <w:r>
        <w:rPr>
          <w:rStyle w:val="8"/>
          <w:rFonts w:hint="default" w:ascii="方正楷体_GBK" w:hAnsi="方正楷体_GBK" w:eastAsia="方正楷体_GBK" w:cs="方正楷体_GBK"/>
          <w:b w:val="0"/>
          <w:bCs/>
          <w:sz w:val="32"/>
          <w:szCs w:val="32"/>
          <w:shd w:val="clear" w:color="auto" w:fill="FFFFFF"/>
          <w:lang w:val="en-US" w:eastAsia="zh-CN" w:bidi="ar-SA"/>
        </w:rPr>
        <w:t>项目支出</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（十一）经营支出</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（十二）</w:t>
      </w:r>
      <w:r>
        <w:rPr>
          <w:rStyle w:val="8"/>
          <w:rFonts w:hint="default" w:ascii="方正楷体_GBK" w:hAnsi="方正楷体_GBK" w:eastAsia="方正楷体_GBK" w:cs="方正楷体_GBK"/>
          <w:b w:val="0"/>
          <w:bCs/>
          <w:sz w:val="32"/>
          <w:szCs w:val="32"/>
          <w:shd w:val="clear" w:color="auto" w:fill="FFFFFF"/>
          <w:lang w:val="en-US" w:eastAsia="zh-CN" w:bidi="ar-SA"/>
        </w:rPr>
        <w:t>“三公”经费</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（十三）</w:t>
      </w:r>
      <w:r>
        <w:rPr>
          <w:rStyle w:val="8"/>
          <w:rFonts w:hint="default" w:ascii="方正楷体_GBK" w:hAnsi="方正楷体_GBK" w:eastAsia="方正楷体_GBK" w:cs="方正楷体_GBK"/>
          <w:b w:val="0"/>
          <w:bCs/>
          <w:sz w:val="32"/>
          <w:szCs w:val="32"/>
          <w:shd w:val="clear" w:color="auto" w:fill="FFFFFF"/>
          <w:lang w:val="en-US" w:eastAsia="zh-CN" w:bidi="ar-SA"/>
        </w:rPr>
        <w:t>机关运行经费</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（十四）</w:t>
      </w:r>
      <w:r>
        <w:rPr>
          <w:rStyle w:val="8"/>
          <w:rFonts w:hint="default" w:ascii="方正楷体_GBK" w:hAnsi="方正楷体_GBK" w:eastAsia="方正楷体_GBK" w:cs="方正楷体_GBK"/>
          <w:b w:val="0"/>
          <w:bCs/>
          <w:sz w:val="32"/>
          <w:szCs w:val="32"/>
          <w:shd w:val="clear" w:color="auto" w:fill="FFFFFF"/>
          <w:lang w:val="en-US" w:eastAsia="zh-CN" w:bidi="ar-SA"/>
        </w:rPr>
        <w:t>工资福利支出（支出经济分类科目类级）</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78" w:lineRule="exact"/>
        <w:ind w:leftChars="200"/>
        <w:textAlignment w:val="auto"/>
        <w:rPr>
          <w:rStyle w:val="8"/>
          <w:rFonts w:hint="eastAsia"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78" w:lineRule="exact"/>
        <w:ind w:left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（十六）</w:t>
      </w:r>
      <w:r>
        <w:rPr>
          <w:rStyle w:val="8"/>
          <w:rFonts w:hint="default" w:ascii="方正楷体_GBK" w:hAnsi="方正楷体_GBK" w:eastAsia="方正楷体_GBK" w:cs="方正楷体_GBK"/>
          <w:b w:val="0"/>
          <w:bCs/>
          <w:sz w:val="32"/>
          <w:szCs w:val="32"/>
          <w:shd w:val="clear" w:color="auto" w:fill="FFFFFF"/>
          <w:lang w:val="en-US" w:eastAsia="zh-CN" w:bidi="ar-SA"/>
        </w:rPr>
        <w:t>对个人和家庭的补助（支出经济分类科目类级）</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反映用于对个人和家庭的补助支出。</w:t>
      </w:r>
    </w:p>
    <w:p>
      <w:pPr>
        <w:pStyle w:val="10"/>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78" w:lineRule="exact"/>
        <w:ind w:leftChars="200"/>
        <w:textAlignment w:val="auto"/>
        <w:rPr>
          <w:rStyle w:val="8"/>
          <w:rFonts w:hint="default" w:ascii="方正楷体_GBK" w:hAnsi="方正楷体_GBK" w:eastAsia="方正楷体_GBK" w:cs="方正楷体_GBK"/>
          <w:b w:val="0"/>
          <w:bCs/>
          <w:sz w:val="32"/>
          <w:szCs w:val="32"/>
          <w:shd w:val="clear" w:color="auto" w:fill="FFFFFF"/>
          <w:lang w:val="en-US" w:eastAsia="zh-CN" w:bidi="ar-SA"/>
        </w:rPr>
      </w:pPr>
      <w:r>
        <w:rPr>
          <w:rStyle w:val="8"/>
          <w:rFonts w:hint="eastAsia" w:ascii="方正楷体_GBK" w:hAnsi="方正楷体_GBK" w:eastAsia="方正楷体_GBK" w:cs="方正楷体_GBK"/>
          <w:b w:val="0"/>
          <w:bCs/>
          <w:sz w:val="32"/>
          <w:szCs w:val="32"/>
          <w:shd w:val="clear" w:color="auto" w:fill="FFFFFF"/>
          <w:lang w:val="en-US" w:eastAsia="zh-CN" w:bidi="ar-SA"/>
        </w:rPr>
        <w:t>（十七）</w:t>
      </w:r>
      <w:r>
        <w:rPr>
          <w:rStyle w:val="8"/>
          <w:rFonts w:hint="default" w:ascii="方正楷体_GBK" w:hAnsi="方正楷体_GBK" w:eastAsia="方正楷体_GBK" w:cs="方正楷体_GBK"/>
          <w:b w:val="0"/>
          <w:bCs/>
          <w:sz w:val="32"/>
          <w:szCs w:val="32"/>
          <w:shd w:val="clear" w:color="auto" w:fill="FFFFFF"/>
          <w:lang w:val="en-US" w:eastAsia="zh-CN" w:bidi="ar-SA"/>
        </w:rPr>
        <w:t>其他资本性支出（支出经济分类科目类级）</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left="0" w:leftChars="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黑体_GBK" w:hAnsi="方正黑体_GBK" w:eastAsia="方正黑体_GBK" w:cs="方正黑体_GBK"/>
          <w:kern w:val="0"/>
          <w:sz w:val="32"/>
          <w:szCs w:val="32"/>
        </w:rPr>
      </w:pPr>
      <w:r>
        <w:rPr>
          <w:rStyle w:val="8"/>
          <w:rFonts w:hint="eastAsia" w:ascii="方正黑体_GBK" w:hAnsi="方正黑体_GBK" w:eastAsia="方正黑体_GBK" w:cs="方正黑体_GBK"/>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本单位决算公开信息反馈和联系方式：023-</w:t>
      </w:r>
      <w:r>
        <w:rPr>
          <w:rFonts w:hint="default" w:ascii="Times New Roman" w:hAnsi="Times New Roman" w:eastAsia="方正仿宋_GBK" w:cs="Times New Roman"/>
          <w:kern w:val="0"/>
          <w:sz w:val="32"/>
          <w:szCs w:val="32"/>
          <w:shd w:val="clear" w:fill="FFFFFF"/>
          <w:lang w:val="en-US" w:eastAsia="zh-CN"/>
        </w:rPr>
        <w:t>51528455 邹恬</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1"/>
          <w:rFonts w:hint="eastAsia" w:ascii="方正仿宋_GBK" w:hAnsi="方正仿宋_GBK" w:eastAsia="方正仿宋_GBK" w:cs="方正仿宋_GBK"/>
          <w:b/>
          <w:bCs/>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巫溪县医药价格和招标采购监督指导中心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51.81</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巫溪县医药价格和招标采购监督指导中心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51.81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51.81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医疗保障管理事务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2101550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巫溪县医药价格和招标采购监督指导中心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51.81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51.81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医疗保障管理事务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2101550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巫溪县医药价格和招标采购监督指导中心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巫溪县医药价格和招标采购监督指导中心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43.21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43.21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医疗保障管理事务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2101550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巫溪县医药价格和招标采购监督指导中心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48.23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13.37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0.08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48.23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3.58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巫溪县医药价格和招标采购监督指导中心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方正仿宋_GBK" w:hAnsi="方正仿宋_GBK" w:eastAsia="方正仿宋_GBK" w:cs="方正仿宋_GBK"/>
          <w:kern w:val="0"/>
          <w:sz w:val="32"/>
          <w:szCs w:val="32"/>
          <w:shd w:val="clear" w:fill="FFFFFF"/>
          <w:lang w:val="en-US" w:eastAsia="zh-CN" w:bidi="ar-SA"/>
        </w:rPr>
        <w:t>本年无政府性基金预算财政拨款收入，故本表无数据</w:t>
      </w: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巫溪县医药价格和招标采购监督指导中心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ind w:firstLine="320" w:firstLineChars="1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本年无国有资本经营预算财政拨款收入，故本表无数据</w:t>
      </w:r>
    </w:p>
    <w:p>
      <w:pPr>
        <w:numPr>
          <w:ilvl w:val="0"/>
          <w:numId w:val="0"/>
        </w:numPr>
        <w:rPr>
          <w:rFonts w:hint="eastAsia" w:ascii="宋体" w:hAnsi="宋体" w:eastAsia="宋体" w:cs="宋体"/>
          <w:sz w:val="21"/>
          <w:szCs w:val="21"/>
        </w:rPr>
      </w:pPr>
      <w:bookmarkStart w:id="0" w:name="_GoBack"/>
      <w:bookmarkEnd w:id="0"/>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巫溪县医药价格和招标采购监督指导中心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0.16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0.16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0.16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0.42</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2037EB8"/>
    <w:rsid w:val="03D77FB2"/>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49C766F"/>
    <w:rsid w:val="1580711B"/>
    <w:rsid w:val="189B0D0B"/>
    <w:rsid w:val="194A1770"/>
    <w:rsid w:val="19917D9C"/>
    <w:rsid w:val="19B906A4"/>
    <w:rsid w:val="19E716B5"/>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2B3058A"/>
    <w:rsid w:val="3337290D"/>
    <w:rsid w:val="352930DB"/>
    <w:rsid w:val="35573069"/>
    <w:rsid w:val="35646B08"/>
    <w:rsid w:val="358C217E"/>
    <w:rsid w:val="359F188C"/>
    <w:rsid w:val="362D2433"/>
    <w:rsid w:val="363A20E1"/>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C47B1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896995"/>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DE20C7"/>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02990"/>
    <w:rsid w:val="6DE346AB"/>
    <w:rsid w:val="6E271104"/>
    <w:rsid w:val="6F7F6A2D"/>
    <w:rsid w:val="6FB442D1"/>
    <w:rsid w:val="6FFB2E76"/>
    <w:rsid w:val="71666558"/>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DBF58667"/>
    <w:rsid w:val="F67F0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7711</Words>
  <Characters>21008</Characters>
  <Lines>161</Lines>
  <Paragraphs>45</Paragraphs>
  <TotalTime>0</TotalTime>
  <ScaleCrop>false</ScaleCrop>
  <LinksUpToDate>false</LinksUpToDate>
  <CharactersWithSpaces>21460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2025-09-16T08:41:42Z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9EDAFD8FD9424A54844071572B3E9A06_13</vt:lpwstr>
  </property>
</Properties>
</file>