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color w:val="auto"/>
          <w:sz w:val="44"/>
          <w:szCs w:val="44"/>
          <w:vertAlign w:val="baseline"/>
          <w:lang w:val="en-US" w:eastAsia="zh-CN"/>
        </w:rPr>
      </w:pPr>
      <w:r>
        <w:rPr>
          <w:rFonts w:hint="eastAsia" w:ascii="Times New Roman" w:hAnsi="Times New Roman" w:eastAsia="方正小标宋_GBK" w:cs="Times New Roman"/>
          <w:color w:val="auto"/>
          <w:sz w:val="44"/>
          <w:szCs w:val="44"/>
          <w:vertAlign w:val="baseline"/>
          <w:lang w:eastAsia="zh-CN"/>
        </w:rPr>
        <w:t>巫溪</w:t>
      </w:r>
      <w:r>
        <w:rPr>
          <w:rFonts w:hint="default" w:ascii="Times New Roman" w:hAnsi="Times New Roman" w:eastAsia="方正小标宋_GBK" w:cs="Times New Roman"/>
          <w:color w:val="auto"/>
          <w:sz w:val="44"/>
          <w:szCs w:val="44"/>
          <w:vertAlign w:val="baseline"/>
          <w:lang w:eastAsia="zh-CN"/>
        </w:rPr>
        <w:t>县应急管理局</w:t>
      </w:r>
      <w:r>
        <w:rPr>
          <w:rFonts w:hint="default" w:ascii="Times New Roman" w:hAnsi="Times New Roman" w:eastAsia="方正小标宋_GBK" w:cs="Times New Roman"/>
          <w:color w:val="auto"/>
          <w:sz w:val="44"/>
          <w:szCs w:val="44"/>
          <w:vertAlign w:val="baseline"/>
          <w:lang w:val="en-US" w:eastAsia="zh-CN"/>
        </w:rPr>
        <w:t>202</w:t>
      </w:r>
      <w:r>
        <w:rPr>
          <w:rFonts w:hint="eastAsia" w:ascii="Times New Roman" w:hAnsi="Times New Roman" w:eastAsia="方正小标宋_GBK" w:cs="Times New Roman"/>
          <w:color w:val="auto"/>
          <w:sz w:val="44"/>
          <w:szCs w:val="44"/>
          <w:vertAlign w:val="baseline"/>
          <w:lang w:val="en-US" w:eastAsia="zh-CN"/>
        </w:rPr>
        <w:t>4</w:t>
      </w:r>
      <w:r>
        <w:rPr>
          <w:rFonts w:hint="default" w:ascii="Times New Roman" w:hAnsi="Times New Roman" w:eastAsia="方正小标宋_GBK" w:cs="Times New Roman"/>
          <w:color w:val="auto"/>
          <w:sz w:val="44"/>
          <w:szCs w:val="44"/>
          <w:vertAlign w:val="baseline"/>
          <w:lang w:val="en-US" w:eastAsia="zh-CN"/>
        </w:rPr>
        <w:t>年行政处罚情况</w:t>
      </w:r>
    </w:p>
    <w:p>
      <w:pPr>
        <w:jc w:val="center"/>
        <w:rPr>
          <w:rFonts w:hint="eastAsia" w:ascii="Times New Roman" w:hAnsi="Times New Roman" w:eastAsia="方正小标宋_GBK" w:cs="Times New Roman"/>
          <w:color w:val="auto"/>
          <w:sz w:val="44"/>
          <w:szCs w:val="44"/>
          <w:vertAlign w:val="baseline"/>
          <w:lang w:val="en-US" w:eastAsia="zh-CN"/>
        </w:rPr>
      </w:pPr>
      <w:r>
        <w:rPr>
          <w:rFonts w:hint="eastAsia" w:ascii="Times New Roman" w:hAnsi="Times New Roman" w:eastAsia="方正小标宋_GBK" w:cs="Times New Roman"/>
          <w:color w:val="auto"/>
          <w:sz w:val="44"/>
          <w:szCs w:val="44"/>
          <w:vertAlign w:val="baseline"/>
          <w:lang w:val="en-US" w:eastAsia="zh-CN"/>
        </w:rPr>
        <w:t>（1月）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1440"/>
        <w:gridCol w:w="1875"/>
        <w:gridCol w:w="1305"/>
        <w:gridCol w:w="1815"/>
        <w:gridCol w:w="1740"/>
        <w:gridCol w:w="1845"/>
        <w:gridCol w:w="1095"/>
        <w:gridCol w:w="106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lang w:eastAsia="zh-CN"/>
              </w:rPr>
              <w:t>序号</w:t>
            </w:r>
          </w:p>
        </w:tc>
        <w:tc>
          <w:tcPr>
            <w:tcW w:w="14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行政处罚决定书文号</w:t>
            </w:r>
          </w:p>
        </w:tc>
        <w:tc>
          <w:tcPr>
            <w:tcW w:w="187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案件名称</w:t>
            </w:r>
          </w:p>
        </w:tc>
        <w:tc>
          <w:tcPr>
            <w:tcW w:w="130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违法企业名称</w:t>
            </w:r>
          </w:p>
        </w:tc>
        <w:tc>
          <w:tcPr>
            <w:tcW w:w="181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主要违法事实</w:t>
            </w:r>
          </w:p>
        </w:tc>
        <w:tc>
          <w:tcPr>
            <w:tcW w:w="1740"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作出行政处罚的法律依据</w:t>
            </w:r>
          </w:p>
        </w:tc>
        <w:tc>
          <w:tcPr>
            <w:tcW w:w="1845" w:type="dxa"/>
            <w:vAlign w:val="center"/>
          </w:tcPr>
          <w:p>
            <w:pPr>
              <w:spacing w:line="240" w:lineRule="auto"/>
              <w:jc w:val="center"/>
              <w:rPr>
                <w:rFonts w:hint="eastAsia" w:ascii="Times New Roman" w:hAnsi="Times New Roman" w:eastAsia="宋体" w:cs="Times New Roman"/>
                <w:b/>
                <w:bCs/>
                <w:i w:val="0"/>
                <w:iCs w:val="0"/>
                <w:caps w:val="0"/>
                <w:color w:val="auto"/>
                <w:spacing w:val="0"/>
                <w:kern w:val="2"/>
                <w:sz w:val="21"/>
                <w:szCs w:val="21"/>
                <w:shd w:val="clear" w:fill="FFFFFF"/>
                <w:lang w:val="en-US" w:eastAsia="zh-CN" w:bidi="ar-SA"/>
              </w:rPr>
            </w:pPr>
            <w:r>
              <w:rPr>
                <w:rStyle w:val="5"/>
                <w:rFonts w:hint="default" w:ascii="Times New Roman" w:hAnsi="Times New Roman" w:eastAsia="宋体" w:cs="Times New Roman"/>
                <w:b/>
                <w:bCs/>
                <w:i w:val="0"/>
                <w:iCs w:val="0"/>
                <w:caps w:val="0"/>
                <w:color w:val="auto"/>
                <w:spacing w:val="0"/>
                <w:sz w:val="21"/>
                <w:szCs w:val="21"/>
                <w:shd w:val="clear" w:fill="FFFFFF"/>
              </w:rPr>
              <w:t>行政处罚的内容</w:t>
            </w:r>
          </w:p>
        </w:tc>
        <w:tc>
          <w:tcPr>
            <w:tcW w:w="1095"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eastAsia" w:ascii="Times New Roman" w:hAnsi="Times New Roman" w:eastAsia="宋体" w:cs="Times New Roman"/>
                <w:b/>
                <w:bCs/>
                <w:i w:val="0"/>
                <w:iCs w:val="0"/>
                <w:caps w:val="0"/>
                <w:color w:val="auto"/>
                <w:spacing w:val="0"/>
                <w:sz w:val="21"/>
                <w:szCs w:val="21"/>
                <w:shd w:val="clear" w:fill="FFFFFF"/>
                <w:lang w:val="en-US" w:eastAsia="zh-CN"/>
              </w:rPr>
              <w:t>处罚时间</w:t>
            </w:r>
          </w:p>
        </w:tc>
        <w:tc>
          <w:tcPr>
            <w:tcW w:w="1065"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eastAsia" w:ascii="Times New Roman" w:hAnsi="Times New Roman" w:eastAsia="宋体" w:cs="Times New Roman"/>
                <w:b/>
                <w:bCs/>
                <w:i w:val="0"/>
                <w:iCs w:val="0"/>
                <w:caps w:val="0"/>
                <w:color w:val="auto"/>
                <w:spacing w:val="0"/>
                <w:sz w:val="21"/>
                <w:szCs w:val="21"/>
                <w:shd w:val="clear" w:fill="FFFFFF"/>
                <w:lang w:val="en-US" w:eastAsia="zh-CN"/>
              </w:rPr>
              <w:t>处罚单位</w:t>
            </w:r>
          </w:p>
        </w:tc>
        <w:tc>
          <w:tcPr>
            <w:tcW w:w="1020" w:type="dxa"/>
            <w:vAlign w:val="center"/>
          </w:tcPr>
          <w:p>
            <w:pPr>
              <w:spacing w:line="240" w:lineRule="auto"/>
              <w:jc w:val="center"/>
              <w:rPr>
                <w:rStyle w:val="5"/>
                <w:rFonts w:hint="eastAsia" w:ascii="Times New Roman" w:hAnsi="Times New Roman" w:eastAsia="宋体" w:cs="Times New Roman"/>
                <w:b/>
                <w:bCs/>
                <w:i w:val="0"/>
                <w:iCs w:val="0"/>
                <w:caps w:val="0"/>
                <w:color w:val="auto"/>
                <w:spacing w:val="0"/>
                <w:sz w:val="21"/>
                <w:szCs w:val="21"/>
                <w:shd w:val="clear" w:fill="FFFFFF"/>
                <w:lang w:val="en-US" w:eastAsia="zh-CN"/>
              </w:rPr>
            </w:pPr>
            <w:r>
              <w:rPr>
                <w:rStyle w:val="5"/>
                <w:rFonts w:hint="default" w:ascii="Times New Roman" w:hAnsi="Times New Roman" w:eastAsia="宋体" w:cs="Times New Roman"/>
                <w:b/>
                <w:bCs/>
                <w:i w:val="0"/>
                <w:iCs w:val="0"/>
                <w:caps w:val="0"/>
                <w:color w:val="auto"/>
                <w:spacing w:val="0"/>
                <w:sz w:val="21"/>
                <w:szCs w:val="21"/>
                <w:shd w:val="clear" w:fill="FFFFFF"/>
                <w:lang w:val="en-US" w:eastAsia="zh-CN"/>
              </w:rPr>
              <w:t>信息核对人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1</w:t>
            </w:r>
          </w:p>
        </w:tc>
        <w:tc>
          <w:tcPr>
            <w:tcW w:w="1440"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 (巫溪)应急罚〔2023〕</w:t>
            </w:r>
            <w:r>
              <w:rPr>
                <w:rFonts w:hint="eastAsia" w:ascii="仿宋_GB2312" w:hAnsi="仿宋_GB2312" w:eastAsia="仿宋_GB2312" w:cs="仿宋_GB2312"/>
                <w:sz w:val="24"/>
                <w:szCs w:val="24"/>
                <w:u w:val="none"/>
                <w:lang w:val="en-US" w:eastAsia="zh-CN"/>
              </w:rPr>
              <w:t>31</w:t>
            </w:r>
            <w:r>
              <w:rPr>
                <w:rFonts w:hint="eastAsia" w:ascii="仿宋_GB2312" w:hAnsi="仿宋_GB2312" w:eastAsia="仿宋_GB2312" w:cs="仿宋_GB2312"/>
                <w:sz w:val="24"/>
                <w:szCs w:val="24"/>
                <w:u w:val="none"/>
                <w:lang w:eastAsia="zh-CN"/>
              </w:rPr>
              <w:t xml:space="preserve">号   </w:t>
            </w:r>
          </w:p>
        </w:tc>
        <w:tc>
          <w:tcPr>
            <w:tcW w:w="187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 xml:space="preserve"> </w:t>
            </w:r>
            <w:bookmarkStart w:id="0" w:name="CASE_NAME"/>
            <w:r>
              <w:rPr>
                <w:rFonts w:hint="eastAsia" w:ascii="仿宋_GB2312" w:hAnsi="仿宋_GB2312" w:eastAsia="仿宋_GB2312" w:cs="仿宋_GB2312"/>
                <w:sz w:val="24"/>
                <w:szCs w:val="24"/>
                <w:u w:val="none"/>
                <w:lang w:eastAsia="zh-CN"/>
              </w:rPr>
              <w:t>巫溪县二队百货店超量储存烟花爆竹案</w:t>
            </w:r>
            <w:bookmarkEnd w:id="0"/>
            <w:r>
              <w:rPr>
                <w:rFonts w:hint="eastAsia" w:ascii="仿宋_GB2312" w:hAnsi="仿宋_GB2312" w:eastAsia="仿宋_GB2312" w:cs="仿宋_GB2312"/>
                <w:sz w:val="24"/>
                <w:szCs w:val="24"/>
                <w:u w:val="none"/>
                <w:lang w:eastAsia="zh-CN"/>
              </w:rPr>
              <w:t xml:space="preserve">         </w:t>
            </w:r>
          </w:p>
        </w:tc>
        <w:tc>
          <w:tcPr>
            <w:tcW w:w="130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巫溪县二队百货店</w:t>
            </w:r>
          </w:p>
        </w:tc>
        <w:tc>
          <w:tcPr>
            <w:tcW w:w="181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位于巫溪县上磺镇上磺村二社巫恩路烟花爆竹零售店库房内储存烟花爆竹数量超出许可证载明的限量，且达100%以上。</w:t>
            </w:r>
          </w:p>
        </w:tc>
        <w:tc>
          <w:tcPr>
            <w:tcW w:w="1740" w:type="dxa"/>
            <w:vAlign w:val="center"/>
          </w:tcPr>
          <w:p>
            <w:pPr>
              <w:jc w:val="both"/>
              <w:rPr>
                <w:rFonts w:hint="eastAsia" w:ascii="仿宋_GB2312" w:hAnsi="仿宋_GB2312" w:eastAsia="仿宋_GB2312" w:cs="仿宋_GB2312"/>
                <w:sz w:val="24"/>
                <w:szCs w:val="24"/>
                <w:u w:val="none"/>
                <w:lang w:val="en-US" w:eastAsia="zh-CN"/>
              </w:rPr>
            </w:pPr>
            <w:bookmarkStart w:id="1" w:name="BASIC_LAW"/>
            <w:r>
              <w:rPr>
                <w:rFonts w:hint="eastAsia" w:ascii="仿宋_GB2312" w:hAnsi="仿宋_GB2312" w:eastAsia="仿宋_GB2312" w:cs="仿宋_GB2312"/>
                <w:sz w:val="24"/>
                <w:szCs w:val="24"/>
                <w:u w:val="none"/>
                <w:lang w:eastAsia="zh-CN"/>
              </w:rPr>
              <w:t>《烟花爆竹经营许可实施办法》第三十五条第一款第二项和《重庆市安全生产行政处罚裁量基准》裁量细则第四节第40项第三档</w:t>
            </w:r>
            <w:bookmarkEnd w:id="1"/>
          </w:p>
        </w:tc>
        <w:tc>
          <w:tcPr>
            <w:tcW w:w="1845" w:type="dxa"/>
            <w:vAlign w:val="center"/>
          </w:tcPr>
          <w:p>
            <w:pPr>
              <w:jc w:val="both"/>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eastAsia="zh-CN"/>
              </w:rPr>
              <w:t>处人民币</w:t>
            </w:r>
            <w:r>
              <w:rPr>
                <w:rFonts w:hint="eastAsia" w:ascii="仿宋_GB2312" w:hAnsi="仿宋_GB2312" w:eastAsia="仿宋_GB2312" w:cs="仿宋_GB2312"/>
                <w:sz w:val="24"/>
                <w:szCs w:val="24"/>
                <w:u w:val="none"/>
                <w:lang w:val="en-US" w:eastAsia="zh-CN"/>
              </w:rPr>
              <w:t>5</w:t>
            </w:r>
            <w:r>
              <w:rPr>
                <w:rFonts w:hint="eastAsia" w:ascii="仿宋_GB2312" w:hAnsi="仿宋_GB2312" w:eastAsia="仿宋_GB2312" w:cs="仿宋_GB2312"/>
                <w:sz w:val="24"/>
                <w:szCs w:val="24"/>
                <w:u w:val="none"/>
                <w:lang w:eastAsia="zh-CN"/>
              </w:rPr>
              <w:t>000.00元（伍仟元整）罚款的行政处罚</w:t>
            </w:r>
          </w:p>
        </w:tc>
        <w:tc>
          <w:tcPr>
            <w:tcW w:w="1095" w:type="dxa"/>
            <w:vAlign w:val="center"/>
          </w:tcPr>
          <w:p>
            <w:pPr>
              <w:jc w:val="center"/>
              <w:rPr>
                <w:rFonts w:hint="default"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2024年1月9日</w:t>
            </w:r>
          </w:p>
        </w:tc>
        <w:tc>
          <w:tcPr>
            <w:tcW w:w="1065"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巫溪县应急管理局</w:t>
            </w:r>
          </w:p>
        </w:tc>
        <w:tc>
          <w:tcPr>
            <w:tcW w:w="1020" w:type="dxa"/>
            <w:vAlign w:val="center"/>
          </w:tcPr>
          <w:p>
            <w:pPr>
              <w:jc w:val="center"/>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none"/>
                <w:lang w:val="en-US" w:eastAsia="zh-CN"/>
              </w:rPr>
              <w:t>刘小燕</w:t>
            </w:r>
          </w:p>
        </w:tc>
      </w:tr>
    </w:tbl>
    <w:p>
      <w:pPr>
        <w:rPr>
          <w:rFonts w:hint="eastAsia" w:ascii="Times New Roman" w:hAnsi="Times New Roman" w:eastAsia="方正小标宋_GBK" w:cs="Times New Roman"/>
          <w:color w:val="auto"/>
          <w:sz w:val="44"/>
          <w:szCs w:val="44"/>
          <w:vertAlign w:val="baselin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97666A"/>
    <w:rsid w:val="065648B6"/>
    <w:rsid w:val="0F6737DF"/>
    <w:rsid w:val="13410A74"/>
    <w:rsid w:val="1AF91176"/>
    <w:rsid w:val="21E83B15"/>
    <w:rsid w:val="238C0DC0"/>
    <w:rsid w:val="2B205A44"/>
    <w:rsid w:val="345E285E"/>
    <w:rsid w:val="34B45835"/>
    <w:rsid w:val="49C8410F"/>
    <w:rsid w:val="4DE465C8"/>
    <w:rsid w:val="5897666A"/>
    <w:rsid w:val="5CA546F2"/>
    <w:rsid w:val="61877CA4"/>
    <w:rsid w:val="68A145FF"/>
    <w:rsid w:val="69555325"/>
    <w:rsid w:val="6A4D29E3"/>
    <w:rsid w:val="6B2F5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paragraph" w:customStyle="1" w:styleId="6">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2023-10-30T08:35:00Z</dcterms:created>
  <dc:creator>Administrator</dc:creator>
  <cp:lastModifiedBy>Administrator</cp:lastModifiedBy>
  <dcterms:modified xsi:type="dcterms:W3CDTF">2024-01-10T01:23:51Z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