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eastAsia="zh-CN"/>
        </w:rPr>
        <w:t>巫溪</w:t>
      </w:r>
      <w:r>
        <w:rPr>
          <w:rFonts w:hint="default" w:ascii="Times New Roman" w:hAnsi="Times New Roman" w:eastAsia="方正小标宋_GBK" w:cs="Times New Roman"/>
          <w:color w:val="auto"/>
          <w:sz w:val="44"/>
          <w:szCs w:val="44"/>
          <w:vertAlign w:val="baseline"/>
          <w:lang w:eastAsia="zh-CN"/>
        </w:rPr>
        <w:t>县应急管理局</w:t>
      </w:r>
      <w:r>
        <w:rPr>
          <w:rFonts w:hint="default" w:ascii="Times New Roman" w:hAnsi="Times New Roman" w:eastAsia="方正小标宋_GBK" w:cs="Times New Roman"/>
          <w:color w:val="auto"/>
          <w:sz w:val="44"/>
          <w:szCs w:val="44"/>
          <w:vertAlign w:val="baseline"/>
          <w:lang w:val="en-US" w:eastAsia="zh-CN"/>
        </w:rPr>
        <w:t>202</w:t>
      </w:r>
      <w:r>
        <w:rPr>
          <w:rFonts w:hint="eastAsia" w:ascii="Times New Roman" w:hAnsi="Times New Roman" w:eastAsia="方正小标宋_GBK" w:cs="Times New Roman"/>
          <w:color w:val="auto"/>
          <w:sz w:val="44"/>
          <w:szCs w:val="44"/>
          <w:vertAlign w:val="baseline"/>
          <w:lang w:val="en-US" w:eastAsia="zh-CN"/>
        </w:rPr>
        <w:t>4</w:t>
      </w:r>
      <w:r>
        <w:rPr>
          <w:rFonts w:hint="default" w:ascii="Times New Roman" w:hAnsi="Times New Roman" w:eastAsia="方正小标宋_GBK" w:cs="Times New Roman"/>
          <w:color w:val="auto"/>
          <w:sz w:val="44"/>
          <w:szCs w:val="44"/>
          <w:vertAlign w:val="baseline"/>
          <w:lang w:val="en-US" w:eastAsia="zh-CN"/>
        </w:rPr>
        <w:t>年行政处罚情况</w:t>
      </w:r>
      <w:bookmarkStart w:id="1" w:name="_GoBack"/>
      <w:bookmarkEnd w:id="1"/>
    </w:p>
    <w:p>
      <w:pPr>
        <w:jc w:val="center"/>
        <w:rPr>
          <w:rFonts w:hint="eastAsia"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val="en-US" w:eastAsia="zh-CN"/>
        </w:rPr>
        <w:t>（3月）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64"/>
        <w:gridCol w:w="1776"/>
        <w:gridCol w:w="1440"/>
        <w:gridCol w:w="2126"/>
        <w:gridCol w:w="1740"/>
        <w:gridCol w:w="1845"/>
        <w:gridCol w:w="1095"/>
        <w:gridCol w:w="1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lang w:eastAsia="zh-CN"/>
              </w:rPr>
              <w:t>序号</w:t>
            </w:r>
          </w:p>
        </w:tc>
        <w:tc>
          <w:tcPr>
            <w:tcW w:w="1464"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行政处罚决定书文号</w:t>
            </w:r>
          </w:p>
        </w:tc>
        <w:tc>
          <w:tcPr>
            <w:tcW w:w="177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案件名称</w:t>
            </w:r>
          </w:p>
        </w:tc>
        <w:tc>
          <w:tcPr>
            <w:tcW w:w="14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违法企业名称</w:t>
            </w:r>
          </w:p>
        </w:tc>
        <w:tc>
          <w:tcPr>
            <w:tcW w:w="212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主要违法事实</w:t>
            </w:r>
          </w:p>
        </w:tc>
        <w:tc>
          <w:tcPr>
            <w:tcW w:w="17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作出行政处罚的法律依据</w:t>
            </w:r>
          </w:p>
        </w:tc>
        <w:tc>
          <w:tcPr>
            <w:tcW w:w="1845"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行政处罚的内容</w:t>
            </w:r>
          </w:p>
        </w:tc>
        <w:tc>
          <w:tcPr>
            <w:tcW w:w="109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处罚时间</w:t>
            </w:r>
          </w:p>
        </w:tc>
        <w:tc>
          <w:tcPr>
            <w:tcW w:w="106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处罚单位</w:t>
            </w:r>
          </w:p>
        </w:tc>
        <w:tc>
          <w:tcPr>
            <w:tcW w:w="1020"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default" w:ascii="Times New Roman" w:hAnsi="Times New Roman" w:eastAsia="宋体" w:cs="Times New Roman"/>
                <w:b/>
                <w:bCs/>
                <w:i w:val="0"/>
                <w:iCs w:val="0"/>
                <w:caps w:val="0"/>
                <w:color w:val="auto"/>
                <w:spacing w:val="0"/>
                <w:sz w:val="21"/>
                <w:szCs w:val="21"/>
                <w:shd w:val="clear" w:fill="FFFFFF"/>
                <w:lang w:val="en-US" w:eastAsia="zh-CN"/>
              </w:rPr>
              <w:t>信息核对人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464"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 xml:space="preserve"> (巫溪)应急罚〔202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3</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 xml:space="preserve"> </w:t>
            </w:r>
            <w:bookmarkStart w:id="0" w:name="CASE_NAME"/>
            <w:r>
              <w:rPr>
                <w:rFonts w:hint="eastAsia" w:ascii="仿宋_GB2312" w:hAnsi="仿宋_GB2312" w:eastAsia="仿宋_GB2312" w:cs="仿宋_GB2312"/>
                <w:sz w:val="24"/>
                <w:szCs w:val="24"/>
                <w:u w:val="none"/>
                <w:lang w:eastAsia="zh-CN"/>
              </w:rPr>
              <w:t>姚秀丽将烟花爆竹储存在经营许可载明以外的场所案</w:t>
            </w:r>
            <w:bookmarkEnd w:id="0"/>
            <w:r>
              <w:rPr>
                <w:rFonts w:hint="eastAsia" w:ascii="仿宋_GB2312" w:hAnsi="仿宋_GB2312" w:eastAsia="仿宋_GB2312" w:cs="仿宋_GB2312"/>
                <w:sz w:val="24"/>
                <w:szCs w:val="24"/>
                <w:u w:val="none"/>
                <w:lang w:eastAsia="zh-CN"/>
              </w:rPr>
              <w:t xml:space="preserve">          </w:t>
            </w:r>
          </w:p>
        </w:tc>
        <w:tc>
          <w:tcPr>
            <w:tcW w:w="1440"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姚秀丽</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将烟花爆竹存放在上磺镇和谐四街夏某房屋内，不属于许可载明的烟花爆竹储存场所</w:t>
            </w:r>
          </w:p>
        </w:tc>
        <w:tc>
          <w:tcPr>
            <w:tcW w:w="1740"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《烟花爆竹经营许可实施办法》第三十五条第一款第一项</w:t>
            </w:r>
          </w:p>
        </w:tc>
        <w:tc>
          <w:tcPr>
            <w:tcW w:w="1845"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给予处人民币</w:t>
            </w:r>
            <w:r>
              <w:rPr>
                <w:rFonts w:hint="eastAsia" w:ascii="仿宋_GB2312" w:hAnsi="仿宋_GB2312" w:eastAsia="仿宋_GB2312" w:cs="仿宋_GB2312"/>
                <w:sz w:val="24"/>
                <w:szCs w:val="24"/>
                <w:u w:val="none"/>
                <w:lang w:val="en-US" w:eastAsia="zh-CN"/>
              </w:rPr>
              <w:t>2500</w:t>
            </w:r>
            <w:r>
              <w:rPr>
                <w:rFonts w:hint="eastAsia" w:ascii="仿宋_GB2312" w:hAnsi="仿宋_GB2312" w:eastAsia="仿宋_GB2312" w:cs="仿宋_GB2312"/>
                <w:sz w:val="24"/>
                <w:szCs w:val="24"/>
                <w:u w:val="none"/>
                <w:lang w:eastAsia="zh-CN"/>
              </w:rPr>
              <w:t>.00元（贰仟伍佰元整）罚款的行政处罚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3月1日</w:t>
            </w:r>
          </w:p>
        </w:tc>
        <w:tc>
          <w:tcPr>
            <w:tcW w:w="1065"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p>
        </w:tc>
        <w:tc>
          <w:tcPr>
            <w:tcW w:w="1464"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巫溪县刘良菊副食店销售非法烟花爆竹案</w:t>
            </w:r>
          </w:p>
        </w:tc>
        <w:tc>
          <w:tcPr>
            <w:tcW w:w="14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巫溪县刘良菊副食店</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销售非法烟花爆竹，且已销售</w:t>
            </w:r>
            <w:r>
              <w:rPr>
                <w:rFonts w:hint="eastAsia" w:ascii="仿宋_GB2312" w:hAnsi="仿宋_GB2312" w:eastAsia="仿宋_GB2312" w:cs="仿宋_GB2312"/>
                <w:sz w:val="24"/>
                <w:szCs w:val="24"/>
                <w:u w:val="none"/>
                <w:lang w:val="en-US" w:eastAsia="zh-CN"/>
              </w:rPr>
              <w:t>100元非法爆竹制品</w:t>
            </w:r>
          </w:p>
        </w:tc>
        <w:tc>
          <w:tcPr>
            <w:tcW w:w="17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《烟花爆竹安全管理条例》第二十条第二款</w:t>
            </w:r>
          </w:p>
        </w:tc>
        <w:tc>
          <w:tcPr>
            <w:tcW w:w="1845"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给予处人民币</w:t>
            </w:r>
            <w:r>
              <w:rPr>
                <w:rFonts w:hint="eastAsia" w:ascii="仿宋_GB2312" w:hAnsi="仿宋_GB2312" w:eastAsia="仿宋_GB2312" w:cs="仿宋_GB2312"/>
                <w:sz w:val="24"/>
                <w:szCs w:val="24"/>
                <w:u w:val="none"/>
                <w:lang w:val="en-US" w:eastAsia="zh-CN"/>
              </w:rPr>
              <w:t>2000</w:t>
            </w:r>
            <w:r>
              <w:rPr>
                <w:rFonts w:hint="eastAsia" w:ascii="仿宋_GB2312" w:hAnsi="仿宋_GB2312" w:eastAsia="仿宋_GB2312" w:cs="仿宋_GB2312"/>
                <w:sz w:val="24"/>
                <w:szCs w:val="24"/>
                <w:u w:val="none"/>
                <w:lang w:eastAsia="zh-CN"/>
              </w:rPr>
              <w:t>.00元（贰仟</w:t>
            </w:r>
            <w:r>
              <w:rPr>
                <w:rFonts w:hint="eastAsia" w:ascii="仿宋_GB2312" w:hAnsi="仿宋_GB2312" w:eastAsia="仿宋_GB2312" w:cs="仿宋_GB2312"/>
                <w:sz w:val="24"/>
                <w:szCs w:val="24"/>
                <w:u w:val="none"/>
                <w:lang w:val="en-US" w:eastAsia="zh-CN"/>
              </w:rPr>
              <w:t>0</w:t>
            </w:r>
            <w:r>
              <w:rPr>
                <w:rFonts w:hint="eastAsia" w:ascii="仿宋_GB2312" w:hAnsi="仿宋_GB2312" w:eastAsia="仿宋_GB2312" w:cs="仿宋_GB2312"/>
                <w:sz w:val="24"/>
                <w:szCs w:val="24"/>
                <w:u w:val="none"/>
                <w:lang w:eastAsia="zh-CN"/>
              </w:rPr>
              <w:t>元整）罚款；没收非法财物；没收违法所得</w:t>
            </w:r>
            <w:r>
              <w:rPr>
                <w:rFonts w:hint="eastAsia" w:ascii="仿宋_GB2312" w:hAnsi="仿宋_GB2312" w:eastAsia="仿宋_GB2312" w:cs="仿宋_GB2312"/>
                <w:sz w:val="24"/>
                <w:szCs w:val="24"/>
                <w:u w:val="none"/>
                <w:lang w:val="en-US" w:eastAsia="zh-CN"/>
              </w:rPr>
              <w:t>100.00元（壹佰元整）</w:t>
            </w:r>
            <w:r>
              <w:rPr>
                <w:rFonts w:hint="eastAsia" w:ascii="仿宋_GB2312" w:hAnsi="仿宋_GB2312" w:eastAsia="仿宋_GB2312" w:cs="仿宋_GB2312"/>
                <w:sz w:val="24"/>
                <w:szCs w:val="24"/>
                <w:u w:val="none"/>
                <w:lang w:eastAsia="zh-CN"/>
              </w:rPr>
              <w:t>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3月1日</w:t>
            </w:r>
          </w:p>
        </w:tc>
        <w:tc>
          <w:tcPr>
            <w:tcW w:w="1065"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w:t>
            </w:r>
          </w:p>
        </w:tc>
        <w:tc>
          <w:tcPr>
            <w:tcW w:w="1464"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5</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巫溪县宁河加油站违反安全管理规定</w:t>
            </w:r>
            <w:r>
              <w:rPr>
                <w:rFonts w:hint="eastAsia" w:ascii="仿宋_GB2312" w:hAnsi="仿宋_GB2312" w:eastAsia="仿宋_GB2312" w:cs="仿宋_GB2312"/>
                <w:sz w:val="24"/>
                <w:szCs w:val="24"/>
                <w:u w:val="none"/>
                <w:lang w:val="en-US" w:eastAsia="zh-CN"/>
              </w:rPr>
              <w:t xml:space="preserve"> 卸油案</w:t>
            </w:r>
          </w:p>
        </w:tc>
        <w:tc>
          <w:tcPr>
            <w:tcW w:w="14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巫溪县宁河加油站</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在卸载</w:t>
            </w:r>
            <w:r>
              <w:rPr>
                <w:rFonts w:hint="eastAsia" w:ascii="仿宋_GB2312" w:hAnsi="仿宋_GB2312" w:eastAsia="仿宋_GB2312" w:cs="仿宋_GB2312"/>
                <w:sz w:val="24"/>
                <w:szCs w:val="24"/>
                <w:u w:val="none"/>
                <w:lang w:val="en-US" w:eastAsia="zh-CN"/>
              </w:rPr>
              <w:t>92#汽油过程中，进入卸油区作业人员为先通过具有报警功能的人体静电释放装置消除人体静电从事卸油作业</w:t>
            </w:r>
          </w:p>
        </w:tc>
        <w:tc>
          <w:tcPr>
            <w:tcW w:w="17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《安全生产违法行为行政处罚办法》第四十五条第一款第一项</w:t>
            </w:r>
          </w:p>
        </w:tc>
        <w:tc>
          <w:tcPr>
            <w:tcW w:w="1845"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给予警告；处人民币</w:t>
            </w:r>
            <w:r>
              <w:rPr>
                <w:rFonts w:hint="eastAsia" w:ascii="仿宋_GB2312" w:hAnsi="仿宋_GB2312" w:eastAsia="仿宋_GB2312" w:cs="仿宋_GB2312"/>
                <w:sz w:val="24"/>
                <w:szCs w:val="24"/>
                <w:u w:val="none"/>
                <w:lang w:val="en-US" w:eastAsia="zh-CN"/>
              </w:rPr>
              <w:t>10000.00罚款的行政处罚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3.11</w:t>
            </w:r>
          </w:p>
        </w:tc>
        <w:tc>
          <w:tcPr>
            <w:tcW w:w="1065"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刘小燕</w:t>
            </w:r>
          </w:p>
        </w:tc>
      </w:tr>
    </w:tbl>
    <w:p>
      <w:pPr>
        <w:rPr>
          <w:rFonts w:hint="eastAsia" w:ascii="Times New Roman" w:hAnsi="Times New Roman" w:eastAsia="方正小标宋_GBK" w:cs="Times New Roman"/>
          <w:color w:val="auto"/>
          <w:sz w:val="44"/>
          <w:szCs w:val="44"/>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DQ3MWQyZDg0NmE5MGMyYzBkMDViYWM1NzRkMTcifQ=="/>
  </w:docVars>
  <w:rsids>
    <w:rsidRoot w:val="5897666A"/>
    <w:rsid w:val="065648B6"/>
    <w:rsid w:val="0F6737DF"/>
    <w:rsid w:val="13410A74"/>
    <w:rsid w:val="18FF7FC8"/>
    <w:rsid w:val="1AF91176"/>
    <w:rsid w:val="21E83B15"/>
    <w:rsid w:val="238C0DC0"/>
    <w:rsid w:val="2B205A44"/>
    <w:rsid w:val="34B45835"/>
    <w:rsid w:val="361A5518"/>
    <w:rsid w:val="49C8410F"/>
    <w:rsid w:val="4DE465C8"/>
    <w:rsid w:val="5897666A"/>
    <w:rsid w:val="5CA546F2"/>
    <w:rsid w:val="61877CA4"/>
    <w:rsid w:val="68A145FF"/>
    <w:rsid w:val="69555325"/>
    <w:rsid w:val="6A4D29E3"/>
    <w:rsid w:val="6B2F52DC"/>
    <w:rsid w:val="75BD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 w:type="paragraph" w:customStyle="1" w:styleId="6">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2023-10-30T08:35:00Z</dcterms:created>
  <dc:creator>Administrator</dc:creator>
  <cp:lastModifiedBy>AA平安综合金融~郑桃元</cp:lastModifiedBy>
  <dcterms:modified xsi:type="dcterms:W3CDTF">2024-03-12T07:26:13Z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DEBD844ECF964C888E148217BA7EA471_12</vt:lpwstr>
  </property>
</Properties>
</file>