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napToGrid/>
        <w:spacing w:before="0" w:beforeAutospacing="0" w:after="0" w:afterAutospacing="0" w:line="60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重庆市</w:t>
      </w:r>
      <w:r>
        <w:rPr>
          <w:rFonts w:ascii="方正小标宋_GBK" w:hAnsi="方正小标宋_GBK" w:eastAsia="方正小标宋_GBK" w:cs="方正小标宋_GBK"/>
          <w:sz w:val="44"/>
          <w:szCs w:val="44"/>
        </w:rPr>
        <w:t>巫溪县市政设施管理所</w:t>
      </w:r>
    </w:p>
    <w:p>
      <w:pPr>
        <w:pStyle w:val="9"/>
        <w:keepNext w:val="0"/>
        <w:keepLines w:val="0"/>
        <w:pageBreakBefore w:val="0"/>
        <w:widowControl/>
        <w:kinsoku/>
        <w:wordWrap/>
        <w:overflowPunct/>
        <w:topLinePunct w:val="0"/>
        <w:autoSpaceDN/>
        <w:bidi w:val="0"/>
        <w:adjustRightInd/>
        <w:snapToGrid/>
        <w:spacing w:before="0" w:beforeAutospacing="0" w:after="0" w:afterAutospacing="0" w:line="600" w:lineRule="exact"/>
        <w:jc w:val="center"/>
        <w:textAlignment w:val="auto"/>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2024</w:t>
      </w:r>
      <w:r>
        <w:rPr>
          <w:rFonts w:ascii="方正小标宋_GBK" w:hAnsi="方正小标宋_GBK" w:eastAsia="方正小标宋_GBK" w:cs="方正小标宋_GBK"/>
          <w:sz w:val="44"/>
          <w:szCs w:val="44"/>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left"/>
        <w:textAlignment w:val="auto"/>
        <w:rPr>
          <w:rStyle w:val="12"/>
          <w:rFonts w:hint="eastAsia" w:ascii="方正黑体_GBK" w:hAnsi="方正黑体_GBK" w:eastAsia="方正黑体_GBK" w:cs="方正黑体_GBK"/>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巫溪县市政设施管理所贯彻执</w:t>
      </w:r>
      <w:bookmarkStart w:id="0" w:name="_GoBack"/>
      <w:bookmarkEnd w:id="0"/>
      <w:r>
        <w:rPr>
          <w:rFonts w:hint="eastAsia" w:ascii="方正仿宋_GBK" w:hAnsi="方正仿宋_GBK" w:eastAsia="方正仿宋_GBK" w:cs="方正仿宋_GBK"/>
          <w:sz w:val="32"/>
          <w:szCs w:val="32"/>
          <w:lang w:val="en-US" w:eastAsia="zh-CN"/>
        </w:rPr>
        <w:t>行国家和地方关于市政基础设施维护、公用和城市管理的法律、法规和政策，围绕提升城市市政设施管理水平，提升人居环境，在履行职责过程中坚持和加强党对城市管理工作的集中统一领导，主要职能职责是：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1.负责城市道路、广场、照明设施、桥梁、隧道等市政基础设施的维护和管理工作。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2.参与市政设施建设工程质量监督管理和验收。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3.负责城区新建改造项目配套市政基础设施建设的监督和验收。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4.负责户外公共灯饰维护和管理。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1.综合办公室：负责办公室收文、发文工作、资料报送、资料整理归档、出纳、人事管理、安全资料、党建、完成上级交办的其它工作。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照明</w:t>
      </w:r>
      <w:r>
        <w:rPr>
          <w:rFonts w:hint="eastAsia" w:ascii="方正仿宋_GBK" w:hAnsi="方正仿宋_GBK" w:eastAsia="方正仿宋_GBK" w:cs="方正仿宋_GBK"/>
          <w:sz w:val="32"/>
          <w:szCs w:val="32"/>
          <w:lang w:val="en-US" w:eastAsia="zh-CN"/>
        </w:rPr>
        <w:t>办公室：负责城区照明设施维护管理，指导乡镇照明设施建设管理工作、完成上级交办的其它工作。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土建</w:t>
      </w:r>
      <w:r>
        <w:rPr>
          <w:rFonts w:hint="eastAsia" w:ascii="方正仿宋_GBK" w:hAnsi="方正仿宋_GBK" w:eastAsia="方正仿宋_GBK" w:cs="方正仿宋_GBK"/>
          <w:sz w:val="32"/>
          <w:szCs w:val="32"/>
          <w:lang w:val="en-US" w:eastAsia="zh-CN"/>
        </w:rPr>
        <w:t>办公室：负责城区道路桥梁及附属设施维护管理、完成上级交办的其它工作。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4．人员情况，本单位2024年在编人数为5人，均为事业人员，与上年数据持平。</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1.总体情况。2024年度收入总计702.96万元，支出总计702.96万元。收、支与2023年度相比，增加626.65万元，增长821.2%，主要原因是2024年以前我单位项目由主管部门编制，2024年起项目由本单位编制执行。</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收入情况。2024年度收入合计702.96万元，与2023年度相比，增加626.65万元，增长821.2%，主要原因是2024年以前我单位项目由主管部门编制，2024年起项目由本单位编制执行。其中：财政拨款收入702.96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支出情况。2024年度支出合计702.96万元，与2023年度相比，增加626.65万元，增长821.2%，主要原因是2024年以前我单位项目由主管部门编制，2024年起项目由本单位编制执行。其中：基本支出69.68万元，占9.91%；项目支出633.28万元，占90.09%；经营支出0.00万元，占0.00%。此外，结余分配0.00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4.结转结余情况。2024年度年末结转和结余0.00万元，与2023年度相比，无增减，主要原因是本单位2024年实行零结转。</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2024年度财政拨款收、支总计702.96万元。与2023年相比，财政拨款收、支总计各增加626.65万元，增长821.2%。主要原因是2024年以前我单位项目由主管部门编制，2024年起项目由本单位编制执行。</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收入情况。2024年度一般公共预算财政拨款收入702.96万元，与2023年度相比，增加626.65万元，增长821.2%。主要原因是2024年以前我单位项目由主管部门编制，2024年起项目由本单位编制执行。较年初预算数增加2.69万元，增长0.4%。主要原因是2024年年底财政结算我单位正式人员正常调资工资差额及补缴养老保险、职业年金差额单位部分。此外，年初财政拨款结转和结余0.00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支出情况。2024年度一般公共预算财政拨款支出702.96万元，与2023年度相比，增加626.65万元，增长821.2%。主要原因是2024年以前我单位项目由主管部门编制，2024年起项目由本单位编制执行。较年初预算数增加2.69万元，增长0.4%。主要原因是2024年年底补缴我单位正式人员养老保险、职业年金差额单位部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3.结转结余情况。2024年度年末一般公共预算财政拨款结转和结余0.00万元，与2023年度相比，无增减，主要原因是本单位为公益一类全额拨款事业单位，无除财政拨款以外的其他收入，故年底无结转结余情况。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4.比较情况。本单位2024年度一般公共预算财政拨款支出主要用于以下几个方面：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（1）社会保障与就业支出6.90万元，占0.98%，较年初预算数无增减，主要原因是我单位正式人员较上年无变化，故相关支出不变化。</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（2）卫生健康支出2.87万元，占0.41%，较年初预算数无增减，主要原因是我单位正式人员较上年无变化，故相关支出不变化。</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城乡社区支出689.73万元，占98.12%，较年初预算数增加2.69万元，增长0.4%，主要原因是2024年年底财政结算我单位正式人员补缴养老保险、职业年金差额单位部分时，下达指标为绩效工资，故相关凭证中取数在城乡社区支出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（4）住房保障支出3.45万元，占0.49%，较年初预算数无增减，主要原因是我单位正式人员较上年无变化，故相关支出不变化。</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2024年度一般公共财政拨款基本支出69.68万元。其中：人员经费64.17万元，与2023年度相比，减少6.03万元，下降8.6%，主要原因是2023年提前预发2023年部分超额绩效，故今年数据较上年减少。人员经费用途主要包括核发我单位正式人员工资、五险一金等相关福利待遇等费用。公用经费5.51万元，与2023年度相比，减少0.59万元，下降9.7%，主要原因是应财政要求逐年下降编制公用经费预算。公用经费用途主要包括办公费、租赁费、劳务费等费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本单位2024年度无政府性基金预算财政拨款收支。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本单位2024年度无国有资本经营预算财政拨款支出。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 （一）“三公”经费支出总体情况说明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2024年度“三公”经费支出共计0.19万元，较年初预算数无增减，主要原因是严格按预算执行相关支出。较上年支出数减少0.01万元，下降5.0%，主要原因是在于严格按预算控制执行，认真贯彻落实中央八项规定，压减“三公”经费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2024年度本单位因公出国（境）费用0.00万元，费用支出较年初预算数无增减，与2023年度相比无增减，</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2024年度本单位无因公出国（境），故未产生该费用。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公务车购置费0.00万元，费用支出较年初预算数无增减，与2023年度相比无增减，</w:t>
      </w:r>
      <w:r>
        <w:rPr>
          <w:rFonts w:hint="eastAsia" w:ascii="方正仿宋_GBK" w:hAnsi="方正仿宋_GBK" w:eastAsia="方正仿宋_GBK" w:cs="方正仿宋_GBK"/>
          <w:sz w:val="32"/>
          <w:szCs w:val="32"/>
        </w:rPr>
        <w:t>主要原因是</w:t>
      </w:r>
      <w:r>
        <w:rPr>
          <w:rFonts w:hint="eastAsia" w:ascii="方正仿宋_GBK" w:hAnsi="方正仿宋_GBK" w:eastAsia="方正仿宋_GBK" w:cs="方正仿宋_GBK"/>
          <w:sz w:val="32"/>
          <w:szCs w:val="32"/>
          <w:lang w:val="en-US" w:eastAsia="zh-CN"/>
        </w:rPr>
        <w:t>2024年度我单位未采购公务车，故未产生该费用。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公务车运行维护费0.00万元，费用支出较年初预算数无增减，较上年支出数无增减，主要原因是2024年度我单位未对公务车运行进行维护，故未产生该费用。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公务接待费0.19万元，主要用于接待上级来巫指导工作、周边区县相互交流学习市政设施工作经验。费用支出较年初预算数无增减。较上年支出数减少0.01万元，下降5.0%，主要原因是严格落实中央八项规定及县委、县政府会议要求，压减支出，公务接待费减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2024年度本单位因公出国（境）共计0个团组，0人；公务用车购置0辆，公务车保有量为0辆；国内公务接待5批次23人，其中：国内外事接待0批次，0人；国（境）外公务接待0批次，0人。2024年本单位人均接待费82.61元，车均购置费0万元，车均维护费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 （一）财政拨款会议费和培训费情况说明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本年度会议费支出0.00万元，与2023年度相比，无增减。本年度培训费支出0.00万元，与2023年度相比，无变化。</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按照部门决算列报口径，我单位不在机关运行经费统计范围之内，2024年度本单位机关运行经费支出0.00万元。机关运行经费较上年支出数无增减。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因我单位属于二级预算单位，国有资产占用使用情况由上级机关（巫溪县城市管理局）编制预算，因此我单位资产未纳入部门预算报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2024年度我单位未发生政府采购事项，无相关经费支出。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五、2024年度预算绩效管理情况说明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（一）单位自评情况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我单位为二级预算单位，部门整体绩效自评由汇总级单位填报，根据预算绩效管理要求，我单位对1个二级项目开展了绩效自评，涉及财政拨款项目支出资金633.28万元。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项目支出绩效自评表详见附件。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（二）部门绩效评价情况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我单位为二级预算单位，未开展部门绩效评价。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（三）财政绩效评价情况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仿宋_GBK" w:hAnsi="方正仿宋_GBK" w:eastAsia="方正仿宋_GBK" w:cs="方正仿宋_GBK"/>
          <w:sz w:val="32"/>
          <w:szCs w:val="32"/>
          <w:lang w:val="en-US" w:eastAsia="zh-CN"/>
        </w:rPr>
        <w:t>县财政局未委托第三方对我单位开展绩效评价。</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lang w:val="en-US" w:eastAsia="zh-CN"/>
        </w:rPr>
        <w:t>六、专业名词解释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（一）财政拨款收入</w:t>
      </w:r>
      <w:r>
        <w:rPr>
          <w:rFonts w:hint="eastAsia" w:ascii="方正仿宋_GBK" w:hAnsi="方正仿宋_GBK" w:eastAsia="方正仿宋_GBK" w:cs="方正仿宋_GBK"/>
          <w:sz w:val="32"/>
          <w:szCs w:val="32"/>
          <w:lang w:val="en-US" w:eastAsia="zh-CN"/>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（二）事业收入：</w:t>
      </w:r>
      <w:r>
        <w:rPr>
          <w:rFonts w:hint="eastAsia" w:ascii="方正仿宋_GBK" w:hAnsi="方正仿宋_GBK" w:eastAsia="方正仿宋_GBK" w:cs="方正仿宋_GBK"/>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（三）经营收入：</w:t>
      </w:r>
      <w:r>
        <w:rPr>
          <w:rFonts w:hint="eastAsia" w:ascii="方正仿宋_GBK" w:hAnsi="方正仿宋_GBK" w:eastAsia="方正仿宋_GBK" w:cs="方正仿宋_GBK"/>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（四）其他收入：</w:t>
      </w:r>
      <w:r>
        <w:rPr>
          <w:rFonts w:hint="eastAsia" w:ascii="方正仿宋_GBK" w:hAnsi="方正仿宋_GBK" w:eastAsia="方正仿宋_GBK" w:cs="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（五）使用非财政拨款结余：</w:t>
      </w:r>
      <w:r>
        <w:rPr>
          <w:rFonts w:hint="eastAsia" w:ascii="方正仿宋_GBK" w:hAnsi="方正仿宋_GBK" w:eastAsia="方正仿宋_GBK" w:cs="方正仿宋_GBK"/>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（六）年初结转和结余：</w:t>
      </w:r>
      <w:r>
        <w:rPr>
          <w:rFonts w:hint="eastAsia" w:ascii="方正仿宋_GBK" w:hAnsi="方正仿宋_GBK" w:eastAsia="方正仿宋_GBK" w:cs="方正仿宋_GBK"/>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（七）结余分配</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（八）年末结转和结余</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（九）基本支出：</w:t>
      </w:r>
      <w:r>
        <w:rPr>
          <w:rFonts w:hint="eastAsia" w:ascii="方正仿宋_GBK" w:hAnsi="方正仿宋_GBK"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（十）项目支出：</w:t>
      </w:r>
      <w:r>
        <w:rPr>
          <w:rFonts w:hint="eastAsia" w:ascii="方正仿宋_GBK" w:hAnsi="方正仿宋_GBK" w:eastAsia="方正仿宋_GBK" w:cs="方正仿宋_GBK"/>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（十一）经营支出</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（十二）“三公”经费：</w:t>
      </w:r>
      <w:r>
        <w:rPr>
          <w:rFonts w:hint="eastAsia" w:ascii="方正仿宋_GBK" w:hAnsi="方正仿宋_GBK" w:eastAsia="方正仿宋_GBK" w:cs="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（十三）机关运行经费：为</w:t>
      </w:r>
      <w:r>
        <w:rPr>
          <w:rFonts w:hint="eastAsia" w:ascii="方正仿宋_GBK" w:hAnsi="方正仿宋_GBK" w:eastAsia="方正仿宋_GBK" w:cs="方正仿宋_GBK"/>
          <w:sz w:val="32"/>
          <w:szCs w:val="32"/>
        </w:rPr>
        <w:t>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（十四）工资福利支出（支出经济分类科目类级）：</w:t>
      </w:r>
      <w:r>
        <w:rPr>
          <w:rFonts w:hint="eastAsia" w:ascii="方正仿宋_GBK" w:hAnsi="方正仿宋_GBK" w:eastAsia="方正仿宋_GBK" w:cs="方正仿宋_GBK"/>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（十五）商品和服务支出（支出经济分类科目类级）：反</w:t>
      </w:r>
      <w:r>
        <w:rPr>
          <w:rFonts w:hint="eastAsia" w:ascii="方正仿宋_GBK" w:hAnsi="方正仿宋_GBK" w:eastAsia="方正仿宋_GBK" w:cs="方正仿宋_GBK"/>
          <w:sz w:val="32"/>
          <w:szCs w:val="32"/>
        </w:rPr>
        <w:t>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（十六）对个人和家庭的补助（支出经济分类科目类级）：</w:t>
      </w:r>
      <w:r>
        <w:rPr>
          <w:rFonts w:hint="eastAsia" w:ascii="方正仿宋_GBK" w:hAnsi="方正仿宋_GBK" w:eastAsia="方正仿宋_GBK" w:cs="方正仿宋_GBK"/>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（十七）其他资本性支出（支出经济分类科目类级）</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七、决算公开联系方式及信息反馈渠道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本单位决算公开信息反馈和联系方式：023-</w:t>
      </w:r>
      <w:r>
        <w:rPr>
          <w:rFonts w:hint="eastAsia" w:ascii="方正仿宋_GBK" w:hAnsi="方正仿宋_GBK" w:eastAsia="方正仿宋_GBK" w:cs="方正仿宋_GBK"/>
          <w:sz w:val="32"/>
          <w:szCs w:val="32"/>
          <w:lang w:val="en-US" w:eastAsia="zh-CN"/>
        </w:rPr>
        <w:t>51520334</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附件：市政设施维修维护支出二级项目绩效自评表</w:t>
      </w:r>
    </w:p>
    <w:p>
      <w:pPr>
        <w:pStyle w:val="13"/>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Style w:val="15"/>
          <w:rFonts w:hint="eastAsia" w:ascii="方正仿宋_GBK" w:hAnsi="方正仿宋_GBK" w:eastAsia="方正仿宋_GBK" w:cs="方正仿宋_GBK"/>
          <w:b/>
          <w:bCs/>
          <w:sz w:val="32"/>
          <w:szCs w:val="32"/>
          <w:shd w:val="clear" w:fill="FFFF00"/>
          <w:lang w:val="en-US" w:eastAsia="zh-CN"/>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10"/>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巫溪县市政设施管理所</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702.96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689.73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702.96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702.96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702.96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702.96</w:t>
            </w:r>
          </w:p>
        </w:tc>
      </w:tr>
    </w:tbl>
    <w:p>
      <w:pPr>
        <w:pStyle w:val="13"/>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3"/>
        <w:numPr>
          <w:ilvl w:val="0"/>
          <w:numId w:val="0"/>
        </w:numPr>
        <w:autoSpaceDE w:val="0"/>
        <w:rPr>
          <w:rFonts w:hint="eastAsia" w:ascii="宋体" w:hAnsi="宋体" w:eastAsia="宋体" w:cs="宋体"/>
          <w:sz w:val="21"/>
          <w:szCs w:val="21"/>
          <w:lang w:val="en-US" w:eastAsia="zh-CN"/>
        </w:rPr>
      </w:pPr>
    </w:p>
    <w:tbl>
      <w:tblPr>
        <w:tblStyle w:val="10"/>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巫溪县市政设施管理所</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702.96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702.96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689.73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689.73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城乡社区公共设施</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689.73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689.73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2120399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其他城乡社区公共设施支出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689.73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689.73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巫溪县市政设施管理所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702.96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69.68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633.28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689.73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633.28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城乡社区公共设施</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689.73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633.28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2120399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其他城乡社区公共设施支出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689.73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633.28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巫溪县市政设施管理所</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702.96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689.73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689.73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702.96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702.96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702.96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702.96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702.96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702.96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巫溪县市政设施管理所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702.96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69.68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633.28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702.96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69.68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633.28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689.73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633.28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689.73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633.28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城乡社区公共设施</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689.73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633.28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689.73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633.28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其他城乡社区公共设施支出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689.73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633.28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689.73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633.28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2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巫溪县市政设施管理所</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64.17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16.42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31.22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0.21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64.17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5.51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10"/>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巫溪县市政设施管理所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jc w:val="both"/>
        <w:rPr>
          <w:rFonts w:hint="default" w:ascii="宋体" w:hAnsi="宋体" w:eastAsia="宋体" w:cs="宋体"/>
          <w:sz w:val="21"/>
          <w:szCs w:val="21"/>
          <w:lang w:val="en-US" w:eastAsia="zh-CN"/>
        </w:rPr>
      </w:pPr>
      <w:r>
        <w:rPr>
          <w:rFonts w:hint="eastAsia" w:cs="宋体"/>
          <w:sz w:val="21"/>
          <w:szCs w:val="21"/>
          <w:lang w:eastAsia="zh-CN"/>
        </w:rPr>
        <w:t>备注：本单位无该项收支，故此表无数据</w:t>
      </w:r>
      <w:r>
        <w:rPr>
          <w:rFonts w:hint="eastAsia" w:ascii="宋体" w:hAnsi="宋体" w:eastAsia="宋体" w:cs="宋体"/>
          <w:sz w:val="21"/>
          <w:szCs w:val="21"/>
        </w:rPr>
        <w:br w:type="page"/>
      </w:r>
    </w:p>
    <w:p>
      <w:pPr>
        <w:pStyle w:val="2"/>
        <w:rPr>
          <w:rFonts w:hint="eastAsia"/>
          <w:lang w:eastAsia="zh-CN"/>
        </w:rPr>
      </w:pPr>
    </w:p>
    <w:tbl>
      <w:tblPr>
        <w:tblStyle w:val="10"/>
        <w:tblW w:w="22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巫溪县市政设施管理所</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cs="宋体"/>
          <w:sz w:val="21"/>
          <w:szCs w:val="21"/>
          <w:lang w:eastAsia="zh-CN"/>
        </w:rPr>
        <w:t>备注：本单位无该项收支，故此表无数据</w:t>
      </w:r>
      <w:r>
        <w:rPr>
          <w:rFonts w:hint="eastAsia" w:ascii="宋体" w:hAnsi="宋体" w:eastAsia="宋体" w:cs="宋体"/>
          <w:sz w:val="21"/>
          <w:szCs w:val="21"/>
        </w:rPr>
        <w:br w:type="page"/>
      </w:r>
    </w:p>
    <w:tbl>
      <w:tblPr>
        <w:tblStyle w:val="10"/>
        <w:tblW w:w="203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巫溪县市政设施管理所</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0.19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0.19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0.19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23</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0.33</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3"/>
        <w:autoSpaceDE w:val="0"/>
        <w:ind w:firstLine="0" w:firstLineChars="0"/>
        <w:rPr>
          <w:rFonts w:hint="default" w:ascii="宋体" w:hAnsi="宋体" w:eastAsia="宋体" w:cs="宋体"/>
          <w:sz w:val="21"/>
          <w:szCs w:val="21"/>
        </w:rPr>
      </w:pPr>
    </w:p>
    <w:p>
      <w:pPr>
        <w:pStyle w:val="13"/>
        <w:autoSpaceDE w:val="0"/>
        <w:ind w:firstLine="0" w:firstLineChars="0"/>
        <w:rPr>
          <w:rFonts w:hint="default" w:ascii="宋体" w:hAnsi="宋体" w:eastAsia="宋体" w:cs="宋体"/>
          <w:sz w:val="21"/>
          <w:szCs w:val="21"/>
        </w:rPr>
      </w:pPr>
    </w:p>
    <w:p>
      <w:pPr>
        <w:pStyle w:val="13"/>
        <w:autoSpaceDE w:val="0"/>
        <w:ind w:firstLine="0" w:firstLineChars="0"/>
        <w:rPr>
          <w:rFonts w:hint="default" w:ascii="宋体" w:hAnsi="宋体" w:eastAsia="宋体" w:cs="宋体"/>
          <w:sz w:val="21"/>
          <w:szCs w:val="21"/>
        </w:rPr>
      </w:pPr>
    </w:p>
    <w:p>
      <w:pPr>
        <w:pStyle w:val="13"/>
        <w:autoSpaceDE w:val="0"/>
        <w:ind w:firstLine="0" w:firstLineChars="0"/>
        <w:rPr>
          <w:rFonts w:hint="default" w:ascii="宋体" w:hAnsi="宋体" w:eastAsia="宋体" w:cs="宋体"/>
          <w:sz w:val="21"/>
          <w:szCs w:val="21"/>
        </w:rPr>
      </w:pPr>
    </w:p>
    <w:p>
      <w:pPr>
        <w:pStyle w:val="13"/>
        <w:autoSpaceDE w:val="0"/>
        <w:ind w:firstLine="0" w:firstLineChars="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tbl>
      <w:tblPr>
        <w:tblStyle w:val="10"/>
        <w:tblW w:w="187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328"/>
        <w:gridCol w:w="1224"/>
        <w:gridCol w:w="1689"/>
        <w:gridCol w:w="1689"/>
        <w:gridCol w:w="1689"/>
        <w:gridCol w:w="1689"/>
        <w:gridCol w:w="1689"/>
        <w:gridCol w:w="1689"/>
        <w:gridCol w:w="1689"/>
        <w:gridCol w:w="1689"/>
        <w:gridCol w:w="1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18753"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18753"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状态：部门审核已审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jc w:val="center"/>
        </w:trPr>
        <w:tc>
          <w:tcPr>
            <w:tcW w:w="23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市政设施维修维护支出</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33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50023823T000003316959</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33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23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9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053-巫溪县城市管理局</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33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004-经建科</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33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周万军 </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6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13452781296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8753"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3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33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33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3378"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5,503,000.00 </w:t>
            </w:r>
          </w:p>
        </w:tc>
        <w:tc>
          <w:tcPr>
            <w:tcW w:w="3378"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5,503,000.00 </w:t>
            </w:r>
          </w:p>
        </w:tc>
        <w:tc>
          <w:tcPr>
            <w:tcW w:w="3378"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5,503,000.00 </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3378"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5,503,000.00 </w:t>
            </w:r>
          </w:p>
        </w:tc>
        <w:tc>
          <w:tcPr>
            <w:tcW w:w="3378"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5,503,000.00 </w:t>
            </w:r>
          </w:p>
        </w:tc>
        <w:tc>
          <w:tcPr>
            <w:tcW w:w="3378"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5,503,000.00 </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355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3378"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5,503,000.00 </w:t>
            </w:r>
          </w:p>
        </w:tc>
        <w:tc>
          <w:tcPr>
            <w:tcW w:w="3378"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5,503,000.00 </w:t>
            </w:r>
          </w:p>
        </w:tc>
        <w:tc>
          <w:tcPr>
            <w:tcW w:w="3378" w:type="dxa"/>
            <w:gridSpan w:val="2"/>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5,503,000.00 </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8753"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69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675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50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jc w:val="center"/>
        </w:trPr>
        <w:tc>
          <w:tcPr>
            <w:tcW w:w="6930"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合城市管理局落实“实施城市空间美化行动‘’，桥梁应检必检，桥头连接顺适，结构坚固安全，照明设施齐备完好，城市外观整洁美观，路面铺装坚实平整，道路行车舒适安全，照明设施完好率达到95%以上，道路设施完好率达到95%以上，达到《2023年重庆市城市综合管理工作考核方案》等指标考核任务要求.</w:t>
            </w:r>
          </w:p>
        </w:tc>
        <w:tc>
          <w:tcPr>
            <w:tcW w:w="675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jc w:val="left"/>
              <w:rPr>
                <w:rFonts w:hint="eastAsia" w:ascii="宋体" w:hAnsi="宋体" w:eastAsia="宋体" w:cs="宋体"/>
                <w:i w:val="0"/>
                <w:color w:val="000000"/>
                <w:sz w:val="22"/>
                <w:szCs w:val="22"/>
                <w:u w:val="none"/>
              </w:rPr>
            </w:pPr>
          </w:p>
        </w:tc>
        <w:tc>
          <w:tcPr>
            <w:tcW w:w="506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2024年完成桥梁检测及检测报告，桥头连接顺适，结构坚固安全，照明设施设备完好，城市外观整洁靓丽，路面铺装坚实平整，道路行车舒适安全，照明设施完好率达到96%，道路设施完好率达到95%。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8753"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23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23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道路设施完好率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23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安全隐患消除率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23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照明设施完好率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23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市民支持率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jc w:val="center"/>
        </w:trPr>
        <w:tc>
          <w:tcPr>
            <w:tcW w:w="23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市民满意度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bl>
    <w:p>
      <w:pPr>
        <w:pStyle w:val="13"/>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eA1UVNgAAAAKAQAADwAAAAAA&#10;AAABACAAAAA4AAAAZHJzL2Rvd25yZXYueG1sUEsBAhQAFAAAAAgAh07iQFtXOVw2AgAAYgQAAA4A&#10;AAAAAAAAAQAgAAAAPQEAAGRycy9lMm9Eb2MueG1sUEsFBgAAAAAGAAYAWQEAAOU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C41A91"/>
    <w:rsid w:val="06F80EE2"/>
    <w:rsid w:val="07001CCA"/>
    <w:rsid w:val="075678DB"/>
    <w:rsid w:val="08051BCA"/>
    <w:rsid w:val="084812B7"/>
    <w:rsid w:val="08887FC5"/>
    <w:rsid w:val="08BA052C"/>
    <w:rsid w:val="08DB07BA"/>
    <w:rsid w:val="09134C99"/>
    <w:rsid w:val="098305D0"/>
    <w:rsid w:val="09B72B6E"/>
    <w:rsid w:val="0A3851D8"/>
    <w:rsid w:val="0A5C4B69"/>
    <w:rsid w:val="0AEC3BC7"/>
    <w:rsid w:val="0B9335CE"/>
    <w:rsid w:val="0BAC1489"/>
    <w:rsid w:val="0C7927C4"/>
    <w:rsid w:val="0C9B098C"/>
    <w:rsid w:val="0D11728C"/>
    <w:rsid w:val="0D673E11"/>
    <w:rsid w:val="0DB50EFE"/>
    <w:rsid w:val="0DDA54E4"/>
    <w:rsid w:val="0DFE7425"/>
    <w:rsid w:val="0E3A5F83"/>
    <w:rsid w:val="0F367CCA"/>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3C0CA7"/>
    <w:rsid w:val="148E377E"/>
    <w:rsid w:val="14E804E7"/>
    <w:rsid w:val="1580711B"/>
    <w:rsid w:val="16970417"/>
    <w:rsid w:val="18335F1D"/>
    <w:rsid w:val="189B0D0B"/>
    <w:rsid w:val="194A1770"/>
    <w:rsid w:val="19917D9C"/>
    <w:rsid w:val="19B906A4"/>
    <w:rsid w:val="1A1F744B"/>
    <w:rsid w:val="1A4854EC"/>
    <w:rsid w:val="1AAC38DB"/>
    <w:rsid w:val="1B6F15B6"/>
    <w:rsid w:val="1BAA2EDC"/>
    <w:rsid w:val="1CE157EE"/>
    <w:rsid w:val="1D014A01"/>
    <w:rsid w:val="1D022362"/>
    <w:rsid w:val="1DD02307"/>
    <w:rsid w:val="1DD26311"/>
    <w:rsid w:val="1DF443A0"/>
    <w:rsid w:val="1EF67CA4"/>
    <w:rsid w:val="1FCD26AF"/>
    <w:rsid w:val="20642787"/>
    <w:rsid w:val="21556F04"/>
    <w:rsid w:val="22403BD3"/>
    <w:rsid w:val="24B92327"/>
    <w:rsid w:val="2533755C"/>
    <w:rsid w:val="26396DF4"/>
    <w:rsid w:val="270642A6"/>
    <w:rsid w:val="27167136"/>
    <w:rsid w:val="2736311D"/>
    <w:rsid w:val="27B23302"/>
    <w:rsid w:val="28E84B82"/>
    <w:rsid w:val="29310A5F"/>
    <w:rsid w:val="299947CC"/>
    <w:rsid w:val="29C37A35"/>
    <w:rsid w:val="29C95E09"/>
    <w:rsid w:val="2A076083"/>
    <w:rsid w:val="2A697EC4"/>
    <w:rsid w:val="2A73162E"/>
    <w:rsid w:val="2ACD2201"/>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3B843D1"/>
    <w:rsid w:val="352930DB"/>
    <w:rsid w:val="35573069"/>
    <w:rsid w:val="358C217E"/>
    <w:rsid w:val="359F188C"/>
    <w:rsid w:val="362D2433"/>
    <w:rsid w:val="36C9128A"/>
    <w:rsid w:val="36CEACC3"/>
    <w:rsid w:val="372F627B"/>
    <w:rsid w:val="37841E99"/>
    <w:rsid w:val="37A20571"/>
    <w:rsid w:val="37BF1123"/>
    <w:rsid w:val="37F26E25"/>
    <w:rsid w:val="38BE4696"/>
    <w:rsid w:val="39166507"/>
    <w:rsid w:val="39AA69F7"/>
    <w:rsid w:val="39B82A39"/>
    <w:rsid w:val="39F33306"/>
    <w:rsid w:val="3A0050C0"/>
    <w:rsid w:val="3A72247D"/>
    <w:rsid w:val="3B1705E5"/>
    <w:rsid w:val="3B18334B"/>
    <w:rsid w:val="3B36794F"/>
    <w:rsid w:val="3B544954"/>
    <w:rsid w:val="3B67325D"/>
    <w:rsid w:val="3BEC4ABF"/>
    <w:rsid w:val="3BF014AD"/>
    <w:rsid w:val="3C6A5B02"/>
    <w:rsid w:val="3D2757A1"/>
    <w:rsid w:val="3D3D4FC4"/>
    <w:rsid w:val="3DDF3AB1"/>
    <w:rsid w:val="3DE60B7E"/>
    <w:rsid w:val="3E1D0952"/>
    <w:rsid w:val="3E247234"/>
    <w:rsid w:val="3E42660A"/>
    <w:rsid w:val="3E7555B1"/>
    <w:rsid w:val="3F0527E5"/>
    <w:rsid w:val="3F16459E"/>
    <w:rsid w:val="3F3617F2"/>
    <w:rsid w:val="3F424B14"/>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9F46E3E"/>
    <w:rsid w:val="4AD70EE7"/>
    <w:rsid w:val="4B7951CB"/>
    <w:rsid w:val="4B7C315C"/>
    <w:rsid w:val="4BAB7F90"/>
    <w:rsid w:val="4C804ECE"/>
    <w:rsid w:val="4DAC4ACA"/>
    <w:rsid w:val="4F186D58"/>
    <w:rsid w:val="50EC262C"/>
    <w:rsid w:val="51E90EF2"/>
    <w:rsid w:val="522F6E0C"/>
    <w:rsid w:val="52463BA1"/>
    <w:rsid w:val="5325232B"/>
    <w:rsid w:val="53C0244D"/>
    <w:rsid w:val="53DD4D4E"/>
    <w:rsid w:val="53E578CE"/>
    <w:rsid w:val="543B029D"/>
    <w:rsid w:val="545D0246"/>
    <w:rsid w:val="554E5773"/>
    <w:rsid w:val="555A3CBC"/>
    <w:rsid w:val="55B16EF9"/>
    <w:rsid w:val="56530F5D"/>
    <w:rsid w:val="5842572D"/>
    <w:rsid w:val="596C2A61"/>
    <w:rsid w:val="5AE75037"/>
    <w:rsid w:val="5B58571C"/>
    <w:rsid w:val="5B8376C2"/>
    <w:rsid w:val="5B96133A"/>
    <w:rsid w:val="5C1336B7"/>
    <w:rsid w:val="5C263CE4"/>
    <w:rsid w:val="5C5D2777"/>
    <w:rsid w:val="5CF646E1"/>
    <w:rsid w:val="5D290C69"/>
    <w:rsid w:val="5D537F41"/>
    <w:rsid w:val="5EFA176D"/>
    <w:rsid w:val="5F0247F9"/>
    <w:rsid w:val="5F2D4A41"/>
    <w:rsid w:val="5F7B713F"/>
    <w:rsid w:val="601C34ED"/>
    <w:rsid w:val="6054424F"/>
    <w:rsid w:val="60A958A9"/>
    <w:rsid w:val="60D22ADB"/>
    <w:rsid w:val="61025A59"/>
    <w:rsid w:val="613D5BBC"/>
    <w:rsid w:val="61536C39"/>
    <w:rsid w:val="628D703C"/>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854754F"/>
    <w:rsid w:val="692172FD"/>
    <w:rsid w:val="69847953"/>
    <w:rsid w:val="6A10568B"/>
    <w:rsid w:val="6A3829EE"/>
    <w:rsid w:val="6B474EF5"/>
    <w:rsid w:val="6C103720"/>
    <w:rsid w:val="6C560CAE"/>
    <w:rsid w:val="6D0615E4"/>
    <w:rsid w:val="6D903FF5"/>
    <w:rsid w:val="6DA955B8"/>
    <w:rsid w:val="6DD41784"/>
    <w:rsid w:val="6DE346AB"/>
    <w:rsid w:val="6F0D2199"/>
    <w:rsid w:val="6F7F6A2D"/>
    <w:rsid w:val="6FB442D1"/>
    <w:rsid w:val="6FFB2E76"/>
    <w:rsid w:val="71C34D91"/>
    <w:rsid w:val="71ED38AA"/>
    <w:rsid w:val="720229AA"/>
    <w:rsid w:val="722A12B4"/>
    <w:rsid w:val="72DB435C"/>
    <w:rsid w:val="73BF5B68"/>
    <w:rsid w:val="73C117A4"/>
    <w:rsid w:val="750837F0"/>
    <w:rsid w:val="764F62AB"/>
    <w:rsid w:val="765C45EC"/>
    <w:rsid w:val="768A7619"/>
    <w:rsid w:val="76E14979"/>
    <w:rsid w:val="77EA362A"/>
    <w:rsid w:val="7875383E"/>
    <w:rsid w:val="796D60A4"/>
    <w:rsid w:val="79A031D5"/>
    <w:rsid w:val="79DF0321"/>
    <w:rsid w:val="7A1525F7"/>
    <w:rsid w:val="7A3E6CB6"/>
    <w:rsid w:val="7A680D2D"/>
    <w:rsid w:val="7B260559"/>
    <w:rsid w:val="7B420052"/>
    <w:rsid w:val="7BD06A28"/>
    <w:rsid w:val="7BFE2DA6"/>
    <w:rsid w:val="7C1E4CD7"/>
    <w:rsid w:val="7C3A7C0B"/>
    <w:rsid w:val="7C5248E4"/>
    <w:rsid w:val="7C566698"/>
    <w:rsid w:val="7FA960B8"/>
    <w:rsid w:val="7FB977D3"/>
    <w:rsid w:val="D67F1EE5"/>
    <w:rsid w:val="DE26B5B5"/>
    <w:rsid w:val="FBC302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Body Text"/>
    <w:basedOn w:val="1"/>
    <w:next w:val="5"/>
    <w:qFormat/>
    <w:uiPriority w:val="0"/>
    <w:pPr>
      <w:widowControl/>
      <w:spacing w:before="100" w:beforeAutospacing="1" w:after="100" w:afterAutospacing="1"/>
      <w:jc w:val="left"/>
    </w:pPr>
    <w:rPr>
      <w:rFonts w:ascii="宋体" w:hAnsi="宋体" w:cs="宋体"/>
      <w:kern w:val="0"/>
      <w:sz w:val="24"/>
    </w:rPr>
  </w:style>
  <w:style w:type="paragraph" w:styleId="5">
    <w:name w:val="toc 5"/>
    <w:basedOn w:val="1"/>
    <w:next w:val="1"/>
    <w:qFormat/>
    <w:uiPriority w:val="0"/>
    <w:pPr>
      <w:ind w:left="1680" w:leftChars="800"/>
    </w:p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basedOn w:val="11"/>
    <w:qFormat/>
    <w:uiPriority w:val="0"/>
    <w:rPr>
      <w:rFonts w:hint="default" w:ascii="Wingdings" w:hAnsi="Wingdings" w:cs="Wingdings"/>
      <w:b/>
      <w:bCs/>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7">
    <w:name w:val="样式 正文文本 + 首行缩进:  2 字符"/>
    <w:basedOn w:val="4"/>
    <w:qFormat/>
    <w:uiPriority w:val="0"/>
    <w:pPr>
      <w:outlineLvl w:val="1"/>
    </w:pPr>
    <w:rPr>
      <w:rFonts w:cs="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6285</Words>
  <Characters>7672</Characters>
  <Lines>161</Lines>
  <Paragraphs>45</Paragraphs>
  <TotalTime>17</TotalTime>
  <ScaleCrop>false</ScaleCrop>
  <LinksUpToDate>false</LinksUpToDate>
  <CharactersWithSpaces>8048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GreatWall</cp:lastModifiedBy>
  <dcterms:modified xsi:type="dcterms:W3CDTF">2025-09-23T15:47:57Z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A60699BED1AB2D07074ED268F55E5243</vt:lpwstr>
  </property>
  <property fmtid="{D5CDD505-2E9C-101B-9397-08002B2CF9AE}" pid="4" name="KSOTemplateDocerSaveRecord">
    <vt:lpwstr>eyJoZGlkIjoiYTFlODY3YzQzNjk3MDgyMTJkOGFjZDQzYWFmMmI3MWIiLCJ1c2VySWQiOiIxNzIwMDE5NTM4In0=</vt:lpwstr>
  </property>
</Properties>
</file>