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hint="eastAsia" w:ascii="方正小标宋_GBK" w:hAnsi="方正小标宋_GBK" w:eastAsia="方正小标宋_GBK" w:cs="方正小标宋_GBK"/>
          <w:sz w:val="44"/>
          <w:szCs w:val="44"/>
        </w:rPr>
        <w:t>巫溪县城市管理综合行政执法支队</w:t>
      </w:r>
    </w:p>
    <w:p>
      <w:pPr>
        <w:pStyle w:val="7"/>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sz w:val="27"/>
          <w:szCs w:val="27"/>
          <w:shd w:val="clear" w:color="auto" w:fill="FFFF00"/>
        </w:rPr>
      </w:pPr>
      <w:bookmarkStart w:id="0" w:name="_GoBack"/>
      <w:bookmarkEnd w:id="0"/>
      <w:r>
        <w:rPr>
          <w:rFonts w:hint="eastAsia" w:ascii="方正小标宋_GBK" w:hAnsi="方正小标宋_GBK" w:eastAsia="方正小标宋_GBK" w:cs="方正小标宋_GBK"/>
          <w:sz w:val="44"/>
          <w:szCs w:val="44"/>
          <w:shd w:val="clear" w:color="auto" w:fill="FFFFFF"/>
        </w:rPr>
        <w:t>2024年度决算公开说明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2" w:firstLineChars="200"/>
        <w:textAlignment w:val="auto"/>
        <w:rPr>
          <w:rStyle w:val="10"/>
          <w:rFonts w:hint="eastAsia" w:ascii="方正黑体_GBK" w:hAnsi="方正黑体_GBK" w:eastAsia="方正黑体_GBK" w:cs="方正黑体_GBK"/>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7"/>
        <w:keepNext w:val="0"/>
        <w:keepLines w:val="0"/>
        <w:pageBreakBefore w:val="0"/>
        <w:shd w:val="clear" w:color="auto" w:fill="FFFFFF"/>
        <w:kinsoku/>
        <w:wordWrap/>
        <w:overflowPunct/>
        <w:topLinePunct w:val="0"/>
        <w:autoSpaceDE/>
        <w:autoSpaceDN/>
        <w:bidi w:val="0"/>
        <w:adjustRightInd/>
        <w:spacing w:beforeAutospacing="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（一）职能职责</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巫溪县城市管理</w:t>
      </w:r>
      <w:r>
        <w:rPr>
          <w:rFonts w:hint="eastAsia" w:ascii="方正仿宋_GBK" w:hAnsi="方正仿宋_GBK" w:eastAsia="方正仿宋_GBK" w:cs="方正仿宋_GBK"/>
          <w:color w:val="auto"/>
          <w:sz w:val="32"/>
          <w:szCs w:val="32"/>
          <w:highlight w:val="none"/>
          <w:lang w:val="en-US" w:eastAsia="zh-CN"/>
        </w:rPr>
        <w:t>综合行政执法支队</w:t>
      </w:r>
      <w:r>
        <w:rPr>
          <w:rFonts w:hint="eastAsia" w:ascii="方正仿宋_GBK" w:hAnsi="方正仿宋_GBK" w:eastAsia="方正仿宋_GBK" w:cs="方正仿宋_GBK"/>
          <w:color w:val="auto"/>
          <w:sz w:val="32"/>
          <w:szCs w:val="32"/>
          <w:highlight w:val="none"/>
        </w:rPr>
        <w:t>贯彻落实党中央、国务院和市委 、市政府关于城市管理工作的方针政策和决策部署以及县委、县政府的工作部署，在履行职责过程中坚持和加强党对城市管理工作的集中统一领导。主要职责是：</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（1）贯彻执行有关城市管理行政执法的法律、法规、规章和方针政策，依法接受委托集中行使城市管理综合行政执法范围内的行政执法职能。</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（2）承担市政公用、市容环卫、城市供水排水、园林绿化等城市管理相关的行政执法职能。</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（3）承担城区规划城镇建设用地范围内的城市违法建筑执法职责。</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（4）承担环境保护管理方面城市露天烧烤污染、城市焚烧沥青塑料垃圾等烟尘和城市恶臭污染、露天焚烧秸秆落叶、纸钱等烟尘污染的行政执法职能。</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（5）承担市场监管方面城市户外公共场所无照经营、违规设置户外广告的行政执法职能，承担城市户外公共场所食品销售和餐饮摊点无证经营的行政执法职能。</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（6）承担交通管理方面侵占城市道路的行政执法职能。</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（7）承担水务管理方面向城市河道倾倒废弃物和垃圾的行政执法职能。</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（8）负责城市管理综合行政执法违法违规案件查处。负责城市管理综合行政执法队伍纠察工作，承办城市管理综合行政执法专项整治行动和重大执法活动。</w:t>
      </w:r>
    </w:p>
    <w:p>
      <w:pPr>
        <w:keepNext w:val="0"/>
        <w:keepLines w:val="0"/>
        <w:pageBreakBefore w:val="0"/>
        <w:kinsoku/>
        <w:wordWrap/>
        <w:overflowPunct/>
        <w:topLinePunct w:val="0"/>
        <w:autoSpaceDE/>
        <w:autoSpaceDN/>
        <w:bidi w:val="0"/>
        <w:adjustRightInd/>
        <w:snapToGrid w:val="0"/>
        <w:spacing w:beforeAutospacing="0" w:afterAutospacing="0" w:line="594"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（9）组织推进城市管理综合行政执法信息化建设。</w:t>
      </w:r>
    </w:p>
    <w:p>
      <w:pPr>
        <w:pStyle w:val="15"/>
        <w:keepNext w:val="0"/>
        <w:keepLines w:val="0"/>
        <w:pageBreakBefore w:val="0"/>
        <w:kinsoku/>
        <w:wordWrap/>
        <w:overflowPunct/>
        <w:topLinePunct w:val="0"/>
        <w:autoSpaceDE/>
        <w:autoSpaceDN/>
        <w:bidi w:val="0"/>
        <w:adjustRightInd/>
        <w:spacing w:beforeAutospacing="0" w:afterAutospacing="0" w:line="594" w:lineRule="exact"/>
        <w:ind w:firstLine="640" w:firstLineChars="200"/>
        <w:textAlignment w:val="auto"/>
        <w:rPr>
          <w:rStyle w:val="10"/>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color w:val="auto"/>
          <w:sz w:val="32"/>
          <w:szCs w:val="32"/>
          <w:highlight w:val="none"/>
          <w:lang w:val="en-US" w:eastAsia="zh-CN"/>
        </w:rPr>
        <w:t>（10）完成县委、县政府和县城管局交办的其他任务。</w:t>
      </w:r>
    </w:p>
    <w:p>
      <w:pPr>
        <w:pStyle w:val="7"/>
        <w:keepNext w:val="0"/>
        <w:keepLines w:val="0"/>
        <w:pageBreakBefore w:val="0"/>
        <w:shd w:val="clear" w:color="auto" w:fill="FFFFFF"/>
        <w:kinsoku/>
        <w:wordWrap/>
        <w:overflowPunct/>
        <w:topLinePunct w:val="0"/>
        <w:autoSpaceDE/>
        <w:autoSpaceDN/>
        <w:bidi w:val="0"/>
        <w:adjustRightInd/>
        <w:spacing w:beforeAutospacing="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（二）机构设置</w:t>
      </w:r>
    </w:p>
    <w:p>
      <w:pPr>
        <w:keepNext w:val="0"/>
        <w:keepLines w:val="0"/>
        <w:pageBreakBefore w:val="0"/>
        <w:kinsoku/>
        <w:wordWrap/>
        <w:overflowPunct/>
        <w:topLinePunct w:val="0"/>
        <w:autoSpaceDE/>
        <w:autoSpaceDN/>
        <w:bidi w:val="0"/>
        <w:adjustRightInd/>
        <w:spacing w:beforeAutospacing="0" w:afterAutospacing="0" w:line="594" w:lineRule="exact"/>
        <w:ind w:firstLine="640" w:firstLineChars="200"/>
        <w:textAlignment w:val="auto"/>
        <w:rPr>
          <w:rStyle w:val="10"/>
          <w:rFonts w:hint="default" w:ascii="楷体" w:hAnsi="楷体" w:eastAsia="楷体" w:cs="楷体"/>
          <w:sz w:val="32"/>
          <w:szCs w:val="32"/>
          <w:highlight w:val="none"/>
          <w:shd w:val="clear" w:color="auto" w:fill="FFFFFF"/>
        </w:rPr>
      </w:pPr>
      <w:r>
        <w:rPr>
          <w:rFonts w:hint="eastAsia" w:ascii="方正仿宋_GBK" w:hAnsi="方正仿宋_GBK" w:eastAsia="方正仿宋_GBK" w:cs="方正仿宋_GBK"/>
          <w:color w:val="auto"/>
          <w:sz w:val="32"/>
          <w:szCs w:val="32"/>
          <w:highlight w:val="none"/>
          <w:lang w:val="en-US" w:eastAsia="zh-CN" w:bidi="ar-SA"/>
        </w:rPr>
        <w:t>本单位为巫溪县城市管理局所属 二级预算单位，单位类型为 公益一类事业单位单位，决算编报类型为单户表，机构规格为正科级，按照政府会计准则制度填报决算数据</w:t>
      </w:r>
      <w:r>
        <w:rPr>
          <w:rFonts w:hint="eastAsia" w:ascii="方正仿宋_GBK" w:hAnsi="方正仿宋_GBK" w:eastAsia="方正仿宋_GBK" w:cs="方正仿宋_GBK"/>
          <w:bCs/>
          <w:sz w:val="32"/>
          <w:szCs w:val="32"/>
          <w:highlight w:val="none"/>
        </w:rPr>
        <w:t>。</w:t>
      </w:r>
      <w:r>
        <w:rPr>
          <w:rFonts w:hint="eastAsia" w:ascii="方正仿宋_GBK" w:hAnsi="方正仿宋_GBK" w:eastAsia="方正仿宋_GBK" w:cs="方正仿宋_GBK"/>
          <w:color w:val="auto"/>
          <w:sz w:val="32"/>
          <w:szCs w:val="32"/>
          <w:highlight w:val="none"/>
          <w:lang w:val="en-US" w:eastAsia="zh-CN" w:bidi="ar-SA"/>
        </w:rPr>
        <w:t>本单位2024年在编人数为26人，均为事业人员，与去年相比，减少参公人员1名、非参公事业人员1人，其原因在于2024年预算行政、事业支出分开编报的机制，2024年年初减少编制本单位在编人员参公人员刘齐兵预算，其预算由上级主管部门县城管局统一编制，2024年年中我单位调动至其他单位事业人员1人，故本年度人数较去年减少2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eastAsia" w:ascii="方正仿宋_GBK" w:hAnsi="方正仿宋_GBK" w:eastAsia="方正仿宋_GBK" w:cs="方正仿宋_GBK"/>
          <w:color w:val="auto"/>
          <w:sz w:val="32"/>
          <w:szCs w:val="32"/>
          <w:highlight w:val="none"/>
          <w:lang w:val="en-US" w:eastAsia="zh-CN" w:bidi="ar-SA"/>
        </w:rPr>
      </w:pPr>
      <w:r>
        <w:rPr>
          <w:rStyle w:val="10"/>
          <w:rFonts w:hint="eastAsia"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color w:val="auto"/>
          <w:sz w:val="32"/>
          <w:szCs w:val="32"/>
          <w:highlight w:val="none"/>
          <w:lang w:val="en-US" w:eastAsia="zh-CN" w:bidi="ar-SA"/>
        </w:rPr>
        <w:t>2024年度收入总计1284.73万元，支出总计1284.73万元。收、支与2023年度相比，增加771.84万元，增长150.5%，主要原因是我单位往年项目是由上级主管部门县城管局统一编制，从本年度起我单位项目预算均由本级编制、执行，故本年度总体收、支较上年增幅较大。</w:t>
      </w:r>
    </w:p>
    <w:p>
      <w:pPr>
        <w:pStyle w:val="7"/>
        <w:keepNext w:val="0"/>
        <w:keepLines w:val="0"/>
        <w:pageBreakBefore w:val="0"/>
        <w:shd w:val="clear" w:color="auto" w:fill="FFFFFF"/>
        <w:kinsoku/>
        <w:wordWrap/>
        <w:overflowPunct/>
        <w:topLinePunct w:val="0"/>
        <w:autoSpaceDN/>
        <w:bidi w:val="0"/>
        <w:adjustRightInd/>
        <w:spacing w:beforeAutospacing="0" w:afterAutospacing="0" w:line="594" w:lineRule="exact"/>
        <w:ind w:firstLine="642" w:firstLineChars="200"/>
        <w:textAlignment w:val="auto"/>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度收入合计1284.73万元，与2023年度相比，增加771.84万元，增长150.5%，主要原因是</w:t>
      </w:r>
      <w:r>
        <w:rPr>
          <w:rFonts w:hint="eastAsia" w:ascii="方正仿宋_GBK" w:hAnsi="方正仿宋_GBK" w:eastAsia="方正仿宋_GBK" w:cs="方正仿宋_GBK"/>
          <w:sz w:val="32"/>
          <w:szCs w:val="32"/>
          <w:highlight w:val="none"/>
          <w:lang w:val="en-US" w:eastAsia="zh-CN"/>
        </w:rPr>
        <w:t>我单位往年项目是由上级主管部门县城管局统一编制，从本年度起我单位项目预算均由本级编制、执行，故本年度总体收入较上年增幅较大。</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rPr>
        <w:t>1284.73</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100.00</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万元，占0.00%；经营收入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万元，占0.00%；其他收入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万元，占0.00%。此外，使用非财政拨款结余和专用结余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度支出合计</w:t>
      </w:r>
      <w:r>
        <w:rPr>
          <w:rFonts w:hint="eastAsia" w:ascii="方正仿宋_GBK" w:hAnsi="方正仿宋_GBK" w:eastAsia="方正仿宋_GBK" w:cs="方正仿宋_GBK"/>
          <w:sz w:val="32"/>
          <w:szCs w:val="32"/>
        </w:rPr>
        <w:t>1284.73</w:t>
      </w:r>
      <w:r>
        <w:rPr>
          <w:rFonts w:hint="eastAsia" w:ascii="方正仿宋_GBK" w:hAnsi="方正仿宋_GBK" w:eastAsia="方正仿宋_GBK" w:cs="方正仿宋_GBK"/>
          <w:sz w:val="32"/>
          <w:szCs w:val="32"/>
          <w:shd w:val="clear" w:color="auto" w:fill="FFFFFF"/>
        </w:rPr>
        <w:t>万元，与2023年度相比，增加771.84万元，增长150.5%，主要原因是</w:t>
      </w:r>
      <w:r>
        <w:rPr>
          <w:rFonts w:hint="eastAsia" w:ascii="方正仿宋_GBK" w:hAnsi="方正仿宋_GBK" w:eastAsia="方正仿宋_GBK" w:cs="方正仿宋_GBK"/>
          <w:sz w:val="32"/>
          <w:szCs w:val="32"/>
          <w:highlight w:val="none"/>
          <w:lang w:val="en-US" w:eastAsia="zh-CN"/>
        </w:rPr>
        <w:t>我单位往年项目是由上级主管部门县城管局统一编制，从本年度起我单位项目预算均由本级编制、执行，故本年度总体支出较上年增幅较大。</w:t>
      </w:r>
      <w:r>
        <w:rPr>
          <w:rFonts w:hint="eastAsia"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rPr>
        <w:t>429.01</w:t>
      </w:r>
      <w:r>
        <w:rPr>
          <w:rFonts w:hint="eastAsia" w:ascii="方正仿宋_GBK" w:hAnsi="方正仿宋_GBK" w:eastAsia="方正仿宋_GBK" w:cs="方正仿宋_GBK"/>
          <w:sz w:val="32"/>
          <w:szCs w:val="32"/>
          <w:shd w:val="clear" w:color="auto" w:fill="FFFFFF"/>
        </w:rPr>
        <w:t>万元，占33.39%；项目支出</w:t>
      </w:r>
      <w:r>
        <w:rPr>
          <w:rFonts w:hint="eastAsia" w:ascii="方正仿宋_GBK" w:hAnsi="方正仿宋_GBK" w:eastAsia="方正仿宋_GBK" w:cs="方正仿宋_GBK"/>
          <w:sz w:val="32"/>
          <w:szCs w:val="32"/>
        </w:rPr>
        <w:t>855.71</w:t>
      </w:r>
      <w:r>
        <w:rPr>
          <w:rFonts w:hint="eastAsia" w:ascii="方正仿宋_GBK" w:hAnsi="方正仿宋_GBK" w:eastAsia="方正仿宋_GBK" w:cs="方正仿宋_GBK"/>
          <w:sz w:val="32"/>
          <w:szCs w:val="32"/>
          <w:shd w:val="clear" w:color="auto" w:fill="FFFFFF"/>
        </w:rPr>
        <w:t>万元，占66.61%；经营支出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万元，占0.00%。此外，结余分配</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sz w:val="32"/>
          <w:szCs w:val="32"/>
          <w:lang w:val="en-US" w:eastAsia="zh-CN"/>
        </w:rPr>
      </w:pPr>
      <w:r>
        <w:rPr>
          <w:rStyle w:val="10"/>
          <w:rFonts w:hint="eastAsia"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我单位无财政拨款以外的其他资金来源，无多余资金，故年初和年末均无结转和结余，该数据较上年无变化，与上年持平。</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度财政拨款收、支总计1284.73万元。与202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年相比，财政拨款收、支总计各增加771.84万元，增长150.5%。主要原因是</w:t>
      </w:r>
      <w:r>
        <w:rPr>
          <w:rFonts w:hint="eastAsia" w:ascii="方正仿宋_GBK" w:hAnsi="方正仿宋_GBK" w:eastAsia="方正仿宋_GBK" w:cs="方正仿宋_GBK"/>
          <w:sz w:val="32"/>
          <w:szCs w:val="32"/>
          <w:highlight w:val="none"/>
          <w:lang w:val="en-US" w:eastAsia="zh-CN"/>
        </w:rPr>
        <w:t>我单位往年项目是由上级主管部门县城管局统一编制，从本年度起我单位项目预算均由本级编制、执行，故本年度总体收、支出较上年增幅较大。</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度一般公共预算财政拨款收入</w:t>
      </w:r>
      <w:r>
        <w:rPr>
          <w:rFonts w:hint="eastAsia" w:ascii="方正仿宋_GBK" w:hAnsi="方正仿宋_GBK" w:eastAsia="方正仿宋_GBK" w:cs="方正仿宋_GBK"/>
          <w:sz w:val="32"/>
          <w:szCs w:val="32"/>
        </w:rPr>
        <w:t>1284.73</w:t>
      </w:r>
      <w:r>
        <w:rPr>
          <w:rFonts w:hint="eastAsia" w:ascii="方正仿宋_GBK" w:hAnsi="方正仿宋_GBK" w:eastAsia="方正仿宋_GBK" w:cs="方正仿宋_GBK"/>
          <w:sz w:val="32"/>
          <w:szCs w:val="32"/>
          <w:shd w:val="clear" w:color="auto" w:fill="FFFFFF"/>
        </w:rPr>
        <w:t>万元，与2023年度相比，增加771.84万元，增长150.5%。主要原因是</w:t>
      </w:r>
      <w:r>
        <w:rPr>
          <w:rFonts w:hint="eastAsia" w:ascii="方正仿宋_GBK" w:hAnsi="方正仿宋_GBK" w:eastAsia="方正仿宋_GBK" w:cs="方正仿宋_GBK"/>
          <w:sz w:val="32"/>
          <w:szCs w:val="32"/>
          <w:highlight w:val="none"/>
          <w:lang w:val="en-US" w:eastAsia="zh-CN"/>
        </w:rPr>
        <w:t>我单位往年项目是由上级主管部门县城管局统一编制，从本年度起我单位项目预算均由本级编制、执行，故本年度总体收入较上年增幅较大。</w:t>
      </w:r>
      <w:r>
        <w:rPr>
          <w:rFonts w:hint="eastAsia" w:ascii="方正仿宋_GBK" w:hAnsi="方正仿宋_GBK" w:eastAsia="方正仿宋_GBK" w:cs="方正仿宋_GBK"/>
          <w:sz w:val="32"/>
          <w:szCs w:val="32"/>
          <w:shd w:val="clear" w:color="auto" w:fill="FFFFFF"/>
        </w:rPr>
        <w:t>较年初预算数增加48.40万元，增长3.9%。主要原因是</w:t>
      </w:r>
      <w:r>
        <w:rPr>
          <w:rFonts w:hint="eastAsia" w:ascii="方正仿宋_GBK" w:hAnsi="方正仿宋_GBK" w:eastAsia="方正仿宋_GBK" w:cs="方正仿宋_GBK"/>
          <w:sz w:val="32"/>
          <w:szCs w:val="32"/>
          <w:highlight w:val="none"/>
          <w:lang w:val="en-US" w:eastAsia="zh-CN"/>
        </w:rPr>
        <w:t>我单位往年项目是由是上级主管部门县城管局统一编制，从本年度起我单位项目预算均由本级编制、执行，故本年度总体收入较上年增幅较大。</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w:t>
      </w:r>
      <w:r>
        <w:rPr>
          <w:rFonts w:hint="eastAsia" w:ascii="方正仿宋_GBK" w:hAnsi="方正仿宋_GBK" w:eastAsia="方正仿宋_GBK" w:cs="方正仿宋_GBK"/>
          <w:sz w:val="32"/>
          <w:szCs w:val="32"/>
        </w:rPr>
        <w:t>1284.73</w:t>
      </w:r>
      <w:r>
        <w:rPr>
          <w:rFonts w:hint="eastAsia" w:ascii="方正仿宋_GBK" w:hAnsi="方正仿宋_GBK" w:eastAsia="方正仿宋_GBK" w:cs="方正仿宋_GBK"/>
          <w:sz w:val="32"/>
          <w:szCs w:val="32"/>
          <w:shd w:val="clear" w:color="auto" w:fill="FFFFFF"/>
        </w:rPr>
        <w:t>万元，与2023年度相比，增加771.84万元，增长150.5%。主要原因是</w:t>
      </w:r>
      <w:r>
        <w:rPr>
          <w:rFonts w:hint="eastAsia" w:ascii="方正仿宋_GBK" w:hAnsi="方正仿宋_GBK" w:eastAsia="方正仿宋_GBK" w:cs="方正仿宋_GBK"/>
          <w:sz w:val="32"/>
          <w:szCs w:val="32"/>
          <w:highlight w:val="none"/>
          <w:lang w:val="en-US" w:eastAsia="zh-CN"/>
        </w:rPr>
        <w:t>我单位往年项目是由是上级主管部门县城管局统一编制，从本年度起我单位项目预算均由本级编制、执行，故本年度总体支出较上年增幅较大。</w:t>
      </w:r>
      <w:r>
        <w:rPr>
          <w:rFonts w:hint="eastAsia" w:ascii="方正仿宋_GBK" w:hAnsi="方正仿宋_GBK" w:eastAsia="方正仿宋_GBK" w:cs="方正仿宋_GBK"/>
          <w:sz w:val="32"/>
          <w:szCs w:val="32"/>
          <w:shd w:val="clear" w:color="auto" w:fill="FFFFFF"/>
        </w:rPr>
        <w:t>较年初预算数增加48.40万元，增长3.9%。主要原因是</w:t>
      </w:r>
      <w:r>
        <w:rPr>
          <w:rFonts w:hint="eastAsia" w:ascii="方正仿宋_GBK" w:hAnsi="方正仿宋_GBK" w:eastAsia="方正仿宋_GBK" w:cs="方正仿宋_GBK"/>
          <w:sz w:val="32"/>
          <w:szCs w:val="32"/>
          <w:highlight w:val="none"/>
          <w:lang w:val="en-US" w:eastAsia="zh-CN"/>
        </w:rPr>
        <w:t>我单位往年项目是由是上级主管部门县城管局统一编制，从本年度起我单位项目预算均由本级编制、执行，故本年度总体收入较上年增幅较大。</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我单位无财政拨款以外的其他资金来源，无多余资金，故年初和年末均无结转和结余，该数据较上年无变化，与上年持平。</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方正仿宋_GBK" w:hAnsi="方正仿宋_GBK" w:eastAsia="方正仿宋_GBK" w:cs="方正仿宋_GBK"/>
          <w:color w:val="FF0000"/>
          <w:sz w:val="32"/>
          <w:szCs w:val="32"/>
          <w:highlight w:val="cyan"/>
          <w:shd w:val="clear" w:color="auto" w:fill="FFFFFF"/>
        </w:rPr>
      </w:pPr>
      <w:r>
        <w:rPr>
          <w:rStyle w:val="10"/>
          <w:rFonts w:hint="eastAsia"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sz w:val="32"/>
          <w:szCs w:val="32"/>
        </w:rPr>
        <w:t>73.00</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5.68</w:t>
      </w:r>
      <w:r>
        <w:rPr>
          <w:rFonts w:hint="eastAsia" w:ascii="方正仿宋_GBK" w:hAnsi="方正仿宋_GBK" w:eastAsia="方正仿宋_GBK" w:cs="方正仿宋_GBK"/>
          <w:sz w:val="32"/>
          <w:szCs w:val="32"/>
          <w:shd w:val="clear" w:color="auto" w:fill="FFFFFF"/>
        </w:rPr>
        <w:t>%，较年初预算数增加23.46万元，增长47.4%，主要原因是</w:t>
      </w:r>
      <w:r>
        <w:rPr>
          <w:rFonts w:hint="eastAsia" w:ascii="方正仿宋_GBK" w:hAnsi="方正仿宋_GBK" w:eastAsia="方正仿宋_GBK" w:cs="方正仿宋_GBK"/>
          <w:sz w:val="32"/>
          <w:szCs w:val="32"/>
          <w:shd w:val="clear" w:color="auto" w:fill="FFFFFF"/>
          <w:lang w:val="en-US" w:eastAsia="zh-CN"/>
        </w:rPr>
        <w:t>我单位</w:t>
      </w:r>
      <w:r>
        <w:rPr>
          <w:rFonts w:hint="eastAsia" w:ascii="方正仿宋_GBK" w:hAnsi="方正仿宋_GBK" w:eastAsia="方正仿宋_GBK" w:cs="方正仿宋_GBK"/>
          <w:sz w:val="32"/>
          <w:szCs w:val="32"/>
          <w:shd w:val="clear" w:color="auto" w:fill="FFFFFF"/>
          <w:lang w:eastAsia="zh-CN"/>
        </w:rPr>
        <w:t>补缴了部分养老保险和职业年金。</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rPr>
        <w:t>19.66</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1.53</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）城乡社区支出</w:t>
      </w:r>
      <w:r>
        <w:rPr>
          <w:rFonts w:hint="eastAsia" w:ascii="方正仿宋_GBK" w:hAnsi="方正仿宋_GBK" w:eastAsia="方正仿宋_GBK" w:cs="方正仿宋_GBK"/>
          <w:sz w:val="32"/>
          <w:szCs w:val="32"/>
        </w:rPr>
        <w:t>1168.47</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90.95</w:t>
      </w:r>
      <w:r>
        <w:rPr>
          <w:rFonts w:hint="eastAsia" w:ascii="方正仿宋_GBK" w:hAnsi="方正仿宋_GBK" w:eastAsia="方正仿宋_GBK" w:cs="方正仿宋_GBK"/>
          <w:sz w:val="32"/>
          <w:szCs w:val="32"/>
          <w:shd w:val="clear" w:color="auto" w:fill="FFFFFF"/>
        </w:rPr>
        <w:t>%，较年初预算数增加24.94万元，增长2.2%，主要原因是</w:t>
      </w:r>
      <w:r>
        <w:rPr>
          <w:rFonts w:hint="eastAsia" w:ascii="方正仿宋_GBK" w:hAnsi="方正仿宋_GBK" w:eastAsia="方正仿宋_GBK" w:cs="方正仿宋_GBK"/>
          <w:sz w:val="32"/>
          <w:szCs w:val="32"/>
          <w:highlight w:val="none"/>
          <w:lang w:val="en-US" w:eastAsia="zh-CN"/>
        </w:rPr>
        <w:t>我单位往年项目是由上级主管部门县城管局统一编制，从本年度起我单位项目预算均由本级编制、执行，故本年度总体收入较上年增幅较大。</w:t>
      </w:r>
    </w:p>
    <w:p>
      <w:pPr>
        <w:keepNext w:val="0"/>
        <w:keepLines w:val="0"/>
        <w:pageBreakBefore w:val="0"/>
        <w:kinsoku/>
        <w:wordWrap/>
        <w:overflowPunct/>
        <w:topLinePunct w:val="0"/>
        <w:autoSpaceDN/>
        <w:bidi w:val="0"/>
        <w:adjustRightInd/>
        <w:spacing w:beforeAutospacing="0" w:afterAutospacing="0" w:line="594" w:lineRule="exact"/>
        <w:ind w:firstLine="640" w:firstLineChars="200"/>
        <w:textAlignment w:val="auto"/>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住房保障支出23.59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1.84</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度一般公共财政拨款基本支出</w:t>
      </w:r>
      <w:r>
        <w:rPr>
          <w:rFonts w:hint="eastAsia" w:ascii="方正仿宋_GBK" w:hAnsi="方正仿宋_GBK" w:eastAsia="方正仿宋_GBK" w:cs="方正仿宋_GBK"/>
          <w:sz w:val="32"/>
          <w:szCs w:val="32"/>
        </w:rPr>
        <w:t>429.01</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391.69</w:t>
      </w:r>
      <w:r>
        <w:rPr>
          <w:rFonts w:hint="eastAsia" w:ascii="方正仿宋_GBK" w:hAnsi="方正仿宋_GBK" w:eastAsia="方正仿宋_GBK" w:cs="方正仿宋_GBK"/>
          <w:sz w:val="32"/>
          <w:szCs w:val="32"/>
          <w:shd w:val="clear" w:color="auto" w:fill="FFFFFF"/>
        </w:rPr>
        <w:t>万元，与2023年度相比，减少80.13万元，下降17.0%，主要原因是2023年提前预发2023年部分超额绩效，故今年数据较上年减少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人员基本工资、津贴补贴、奖金、绩效工资、社会保障以及住房公积金支出等。</w:t>
      </w:r>
      <w:r>
        <w:rPr>
          <w:rFonts w:hint="eastAsia"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rPr>
        <w:t>37.32</w:t>
      </w:r>
      <w:r>
        <w:rPr>
          <w:rFonts w:hint="eastAsia" w:ascii="方正仿宋_GBK" w:hAnsi="方正仿宋_GBK" w:eastAsia="方正仿宋_GBK" w:cs="方正仿宋_GBK"/>
          <w:sz w:val="32"/>
          <w:szCs w:val="32"/>
          <w:shd w:val="clear" w:color="auto" w:fill="FFFFFF"/>
        </w:rPr>
        <w:t>万元，与2023年度相比，减少3.75万元，下降9.1%，主要原因是</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1）日常公用经费本年度年初预算在编人员较上年减少，故相对于的经费减少。（2）我单位往年项目是由上级主管部门县城管局统一编制，从本年度起我单位项目预算均由本级编制、执行，故本年度总体收入较上年增幅较大。</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办公费、水电费、物业费、差旅费、租赁费、公车运行维护费等。</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val="en-US" w:eastAsia="zh-CN"/>
        </w:rPr>
        <w:t>无</w:t>
      </w:r>
      <w:r>
        <w:rPr>
          <w:rFonts w:hint="eastAsia" w:ascii="方正仿宋_GBK" w:hAnsi="方正仿宋_GBK" w:eastAsia="方正仿宋_GBK" w:cs="方正仿宋_GBK"/>
          <w:sz w:val="32"/>
          <w:szCs w:val="32"/>
          <w:shd w:val="clear" w:color="auto" w:fill="FFFFFF"/>
        </w:rPr>
        <w:t>政府性基金预算财政拨款</w:t>
      </w:r>
      <w:r>
        <w:rPr>
          <w:rFonts w:hint="eastAsia" w:ascii="方正仿宋_GBK" w:hAnsi="方正仿宋_GBK" w:eastAsia="方正仿宋_GBK" w:cs="方正仿宋_GBK"/>
          <w:sz w:val="32"/>
          <w:szCs w:val="32"/>
          <w:shd w:val="clear" w:color="auto" w:fill="FFFFFF"/>
          <w:lang w:val="en-US" w:eastAsia="zh-CN"/>
        </w:rPr>
        <w:t>收支。</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本单位2024年度无国有资本经营预算财政拨款支出。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Fonts w:hint="eastAsia" w:ascii="方正楷体_GBK" w:hAnsi="方正楷体_GBK" w:eastAsia="方正楷体_GBK" w:cs="方正楷体_GBK"/>
          <w:b/>
          <w:bCs/>
          <w:sz w:val="32"/>
          <w:szCs w:val="32"/>
          <w:shd w:val="clear" w:color="auto" w:fill="FFFFFF"/>
        </w:rPr>
      </w:pPr>
      <w:r>
        <w:rPr>
          <w:rFonts w:hint="eastAsia" w:ascii="楷体" w:hAnsi="楷体" w:eastAsia="楷体" w:cs="楷体"/>
          <w:b/>
          <w:bCs/>
          <w:sz w:val="32"/>
          <w:szCs w:val="32"/>
          <w:shd w:val="clear" w:color="auto" w:fill="FFFFFF"/>
        </w:rPr>
        <w:t xml:space="preserve"> </w:t>
      </w:r>
      <w:r>
        <w:rPr>
          <w:rFonts w:hint="eastAsia" w:ascii="方正楷体_GBK" w:hAnsi="方正楷体_GBK" w:eastAsia="方正楷体_GBK" w:cs="方正楷体_GBK"/>
          <w:b/>
          <w:bCs/>
          <w:sz w:val="32"/>
          <w:szCs w:val="32"/>
          <w:shd w:val="clear" w:color="auto" w:fill="FFFFFF"/>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rPr>
        <w:t>3.90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严格按照预算控制执行，认真贯彻落实中央八项规定精神，压减“三公”经费支出。</w:t>
      </w:r>
      <w:r>
        <w:rPr>
          <w:rFonts w:hint="eastAsia" w:ascii="方正仿宋_GBK" w:hAnsi="方正仿宋_GBK" w:eastAsia="方正仿宋_GBK" w:cs="方正仿宋_GBK"/>
          <w:sz w:val="32"/>
          <w:szCs w:val="32"/>
          <w:shd w:val="clear" w:color="auto" w:fill="FFFFFF"/>
        </w:rPr>
        <w:t>较上年支出数减少0.10万元，下降2.5%，主要原因是按照县委</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县府“压减开支，过紧日子”的要求，严格按预算控制执行，认真贯彻落实中央八项规定精神。无上年结转用于三公经费的情况</w:t>
      </w:r>
      <w:r>
        <w:rPr>
          <w:rFonts w:hint="eastAsia" w:ascii="方正仿宋_GBK" w:hAnsi="方正仿宋_GBK" w:eastAsia="方正仿宋_GBK" w:cs="方正仿宋_GBK"/>
          <w:sz w:val="32"/>
          <w:szCs w:val="32"/>
          <w:shd w:val="clear" w:color="auto" w:fill="FFFFFF"/>
          <w:lang w:eastAsia="zh-CN"/>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度本单位因公出国（境）费用</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val="en-US" w:eastAsia="zh-CN"/>
        </w:rPr>
        <w:t>2024年度我单位无因公出国（境）人员，故未产生该费用。</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万元，费用支出较年初预算数无增减，较上年支出数无增减，主要原因是</w:t>
      </w:r>
      <w:r>
        <w:rPr>
          <w:rFonts w:hint="eastAsia" w:ascii="方正仿宋_GBK" w:hAnsi="方正仿宋_GBK" w:eastAsia="方正仿宋_GBK" w:cs="方正仿宋_GBK"/>
          <w:sz w:val="32"/>
          <w:szCs w:val="32"/>
          <w:shd w:val="clear" w:color="auto" w:fill="FFFFFF"/>
          <w:lang w:val="en-US" w:eastAsia="zh-CN"/>
        </w:rPr>
        <w:t>2024年度我单位未采购公务车，故未产生该费用。</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万元，费用支出较年初预算数无增减，较上年支出数无增减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主要原因是2024年度我单位未对公务车运行进行维护，故未产生该费用。</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rPr>
        <w:t>3.90</w:t>
      </w:r>
      <w:r>
        <w:rPr>
          <w:rFonts w:hint="eastAsia"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上级来巫指导工作、周边区县相互交流学习执法经验及“强转树”专项行动考核工作事项接待等支出，2024年本单位人均接待费86.67元。</w:t>
      </w:r>
      <w:r>
        <w:rPr>
          <w:rFonts w:hint="eastAsia"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val="en-US" w:eastAsia="zh-CN"/>
        </w:rPr>
        <w:t>我单位严格按照预算控制执行，认真落实中央八项规定精神，压减“三公”经费支出。</w:t>
      </w:r>
      <w:r>
        <w:rPr>
          <w:rFonts w:hint="eastAsia" w:ascii="方正仿宋_GBK" w:hAnsi="方正仿宋_GBK" w:eastAsia="方正仿宋_GBK" w:cs="方正仿宋_GBK"/>
          <w:sz w:val="32"/>
          <w:szCs w:val="32"/>
          <w:shd w:val="clear" w:color="auto" w:fill="FFFFFF"/>
        </w:rPr>
        <w:t>较上年支出数减少0.10万元，下降2.5%，主要原因是</w:t>
      </w:r>
      <w:r>
        <w:rPr>
          <w:rFonts w:hint="eastAsia" w:ascii="方正仿宋_GBK" w:hAnsi="方正仿宋_GBK" w:eastAsia="方正仿宋_GBK" w:cs="方正仿宋_GBK"/>
          <w:sz w:val="32"/>
          <w:szCs w:val="32"/>
          <w:shd w:val="clear" w:color="auto" w:fill="FFFFFF"/>
          <w:lang w:val="en-US" w:eastAsia="zh-CN"/>
        </w:rPr>
        <w:t>我单位严格按照预算控制执行，认真落实中央八项规定精神，压减“三公”经费支出。</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rPr>
        <w:t>26</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450</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本单位人均接待费</w:t>
      </w:r>
      <w:r>
        <w:rPr>
          <w:rFonts w:hint="eastAsia" w:ascii="方正仿宋_GBK" w:hAnsi="方正仿宋_GBK" w:eastAsia="方正仿宋_GBK" w:cs="方正仿宋_GBK"/>
          <w:sz w:val="32"/>
          <w:szCs w:val="32"/>
        </w:rPr>
        <w:t>86.67</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 xml:space="preserve"> （一）财政拨款会议费和培训费情况说明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rPr>
        <w:t>0.30</w:t>
      </w:r>
      <w:r>
        <w:rPr>
          <w:rFonts w:hint="eastAsia" w:ascii="方正仿宋_GBK" w:hAnsi="方正仿宋_GBK" w:eastAsia="方正仿宋_GBK" w:cs="方正仿宋_GBK"/>
          <w:sz w:val="32"/>
          <w:szCs w:val="32"/>
          <w:shd w:val="clear" w:color="auto" w:fill="FFFFFF"/>
        </w:rPr>
        <w:t>万元，与2023年度相比，增加0.30万元，增长100.0%，主要原因是</w:t>
      </w:r>
      <w:r>
        <w:rPr>
          <w:rFonts w:hint="eastAsia" w:ascii="方正仿宋_GBK" w:hAnsi="方正仿宋_GBK" w:eastAsia="方正仿宋_GBK" w:cs="方正仿宋_GBK"/>
          <w:sz w:val="32"/>
          <w:szCs w:val="32"/>
          <w:shd w:val="clear" w:color="auto" w:fill="FFFFFF"/>
          <w:lang w:val="en-US" w:eastAsia="zh-CN"/>
        </w:rPr>
        <w:t>往年年初预算经验不足预算粗放，预算时未分配会议费，故从决算取数上看上年度无会议费支出</w:t>
      </w:r>
      <w:r>
        <w:rPr>
          <w:rFonts w:hint="eastAsia"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rPr>
        <w:t>0.50</w:t>
      </w:r>
      <w:r>
        <w:rPr>
          <w:rFonts w:hint="eastAsia" w:ascii="方正仿宋_GBK" w:hAnsi="方正仿宋_GBK" w:eastAsia="方正仿宋_GBK" w:cs="方正仿宋_GBK"/>
          <w:sz w:val="32"/>
          <w:szCs w:val="32"/>
          <w:shd w:val="clear" w:color="auto" w:fill="FFFFFF"/>
        </w:rPr>
        <w:t>万元，与2023年度相比，增加0.50万元，增长100.0%，主要原因是</w:t>
      </w:r>
      <w:r>
        <w:rPr>
          <w:rFonts w:hint="eastAsia" w:ascii="方正仿宋_GBK" w:hAnsi="方正仿宋_GBK" w:eastAsia="方正仿宋_GBK" w:cs="方正仿宋_GBK"/>
          <w:sz w:val="32"/>
          <w:szCs w:val="32"/>
          <w:shd w:val="clear" w:color="auto" w:fill="FFFFFF"/>
          <w:lang w:val="en-US" w:eastAsia="zh-CN"/>
        </w:rPr>
        <w:t>往年年初预算经验不足预算粗放，预算时未分配培训费，故从决算取数上看上年度无培训费支出</w:t>
      </w:r>
      <w:r>
        <w:rPr>
          <w:rFonts w:hint="eastAsia" w:ascii="方正仿宋_GBK" w:hAnsi="方正仿宋_GBK" w:eastAsia="方正仿宋_GBK" w:cs="方正仿宋_GBK"/>
          <w:sz w:val="32"/>
          <w:szCs w:val="32"/>
          <w:shd w:val="clear" w:color="auto" w:fill="FFFFFF"/>
        </w:rPr>
        <w:t>。</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度本单位机关运行经费支出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万元，机关运行经费较上年支出数减少41.07万元，下降100.0%，主要原因是</w:t>
      </w:r>
      <w:r>
        <w:rPr>
          <w:rFonts w:hint="eastAsia" w:ascii="方正仿宋_GBK" w:hAnsi="方正仿宋_GBK" w:eastAsia="方正仿宋_GBK" w:cs="方正仿宋_GBK"/>
          <w:sz w:val="32"/>
          <w:szCs w:val="32"/>
          <w:lang w:val="en-US" w:eastAsia="zh-CN"/>
        </w:rPr>
        <w:t>我单位2024年严格按照中央八项规定，持续坚持过紧日子相关要求，压减相关支出。</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12月31日，本单位共有车辆</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pPr>
        <w:pStyle w:val="11"/>
        <w:keepNext w:val="0"/>
        <w:keepLines w:val="0"/>
        <w:pageBreakBefore w:val="0"/>
        <w:kinsoku/>
        <w:wordWrap/>
        <w:overflowPunct/>
        <w:topLinePunct w:val="0"/>
        <w:autoSpaceDE w:val="0"/>
        <w:autoSpaceDN/>
        <w:bidi w:val="0"/>
        <w:adjustRightInd/>
        <w:spacing w:beforeAutospacing="0" w:afterAutospacing="0" w:line="594" w:lineRule="exact"/>
        <w:ind w:firstLine="643"/>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2024年度我单位未发生政府采购事项，无相关经费支出。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lang w:val="en-US" w:eastAsia="zh-CN"/>
        </w:rPr>
      </w:pPr>
      <w:r>
        <w:rPr>
          <w:rStyle w:val="10"/>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（一）单位自评情况</w:t>
      </w:r>
    </w:p>
    <w:p>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w:t>
      </w:r>
      <w:r>
        <w:rPr>
          <w:rFonts w:hint="eastAsia" w:ascii="方正仿宋_GBK" w:hAnsi="方正仿宋_GBK" w:eastAsia="方正仿宋_GBK" w:cs="方正仿宋_GBK"/>
          <w:kern w:val="0"/>
          <w:sz w:val="32"/>
          <w:szCs w:val="32"/>
          <w:shd w:val="clear" w:fill="FFFFFF"/>
          <w:lang w:val="en-US" w:eastAsia="zh-CN"/>
        </w:rPr>
        <w:t>对2</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855.71</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自评完成情况良好</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相关项目支出绩效评价表见附件1、附件2。</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bidi="ar-SA"/>
        </w:rPr>
      </w:pPr>
      <w:r>
        <w:rPr>
          <w:rStyle w:val="10"/>
          <w:rFonts w:hint="eastAsia" w:ascii="方正楷体_GBK" w:hAnsi="方正楷体_GBK" w:eastAsia="方正楷体_GBK" w:cs="方正楷体_GBK"/>
          <w:b w:val="0"/>
          <w:bCs/>
          <w:sz w:val="32"/>
          <w:szCs w:val="32"/>
          <w:shd w:val="clear" w:color="auto" w:fill="FFFFFF"/>
          <w:lang w:val="en-US" w:eastAsia="zh-CN" w:bidi="ar-SA"/>
        </w:rPr>
        <w:t>（二）部门绩效评价情况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eastAsia" w:ascii="方正仿宋_GBK" w:hAnsi="方正仿宋_GBK" w:eastAsia="方正仿宋_GBK" w:cs="方正仿宋_GBK"/>
          <w:b w:val="0"/>
          <w:bCs/>
          <w:sz w:val="32"/>
          <w:szCs w:val="32"/>
          <w:shd w:val="clear" w:color="auto" w:fill="FFFFFF"/>
        </w:rPr>
      </w:pPr>
      <w:r>
        <w:rPr>
          <w:rStyle w:val="10"/>
          <w:rFonts w:hint="eastAsia" w:ascii="方正仿宋_GBK" w:hAnsi="方正仿宋_GBK" w:eastAsia="方正仿宋_GBK" w:cs="方正仿宋_GBK"/>
          <w:b w:val="0"/>
          <w:bCs/>
          <w:sz w:val="32"/>
          <w:szCs w:val="32"/>
          <w:shd w:val="clear" w:color="auto" w:fill="FFFFFF"/>
        </w:rPr>
        <w:t>我</w:t>
      </w:r>
      <w:r>
        <w:rPr>
          <w:rStyle w:val="10"/>
          <w:rFonts w:hint="eastAsia" w:ascii="方正仿宋_GBK" w:hAnsi="方正仿宋_GBK" w:eastAsia="方正仿宋_GBK" w:cs="方正仿宋_GBK"/>
          <w:b w:val="0"/>
          <w:bCs/>
          <w:sz w:val="32"/>
          <w:szCs w:val="32"/>
          <w:shd w:val="clear" w:color="auto" w:fill="FFFFFF"/>
          <w:lang w:val="en-US" w:eastAsia="zh-CN"/>
        </w:rPr>
        <w:t>单位未组织</w:t>
      </w:r>
      <w:r>
        <w:rPr>
          <w:rStyle w:val="10"/>
          <w:rFonts w:hint="eastAsia" w:ascii="方正仿宋_GBK" w:hAnsi="方正仿宋_GBK" w:eastAsia="方正仿宋_GBK" w:cs="方正仿宋_GBK"/>
          <w:b w:val="0"/>
          <w:bCs/>
          <w:sz w:val="32"/>
          <w:szCs w:val="32"/>
          <w:shd w:val="clear" w:color="auto" w:fill="FFFFFF"/>
        </w:rPr>
        <w:t>开展绩效评价</w:t>
      </w:r>
      <w:r>
        <w:rPr>
          <w:rStyle w:val="10"/>
          <w:rFonts w:hint="eastAsia" w:ascii="方正仿宋_GBK" w:hAnsi="方正仿宋_GBK" w:eastAsia="方正仿宋_GBK" w:cs="方正仿宋_GBK"/>
          <w:b w:val="0"/>
          <w:bCs/>
          <w:sz w:val="32"/>
          <w:szCs w:val="32"/>
          <w:shd w:val="clear" w:color="auto" w:fill="FFFFFF"/>
          <w:lang w:eastAsia="zh-CN"/>
        </w:rPr>
        <w:t>，</w:t>
      </w:r>
      <w:r>
        <w:rPr>
          <w:rStyle w:val="10"/>
          <w:rFonts w:hint="eastAsia" w:ascii="方正仿宋_GBK" w:hAnsi="方正仿宋_GBK" w:eastAsia="方正仿宋_GBK" w:cs="方正仿宋_GBK"/>
          <w:b w:val="0"/>
          <w:bCs/>
          <w:sz w:val="32"/>
          <w:szCs w:val="32"/>
          <w:shd w:val="clear" w:color="auto" w:fill="FFFFFF"/>
          <w:lang w:val="en-US" w:eastAsia="zh-CN"/>
        </w:rPr>
        <w:t>由汇总级单位填报</w:t>
      </w:r>
      <w:r>
        <w:rPr>
          <w:rStyle w:val="10"/>
          <w:rFonts w:hint="eastAsia" w:ascii="方正仿宋_GBK" w:hAnsi="方正仿宋_GBK" w:eastAsia="方正仿宋_GBK" w:cs="方正仿宋_GBK"/>
          <w:b w:val="0"/>
          <w:bCs/>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Style w:val="10"/>
          <w:rFonts w:hint="eastAsia" w:ascii="方正楷体_GBK" w:hAnsi="方正楷体_GBK" w:eastAsia="方正楷体_GBK" w:cs="方正楷体_GBK"/>
          <w:b w:val="0"/>
          <w:bCs/>
          <w:kern w:val="0"/>
          <w:sz w:val="32"/>
          <w:szCs w:val="32"/>
          <w:shd w:val="clear" w:color="auto" w:fill="FFFFFF"/>
          <w:lang w:val="en-US" w:eastAsia="zh-CN" w:bidi="ar-SA"/>
        </w:rPr>
      </w:pPr>
      <w:r>
        <w:rPr>
          <w:rStyle w:val="10"/>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县财政局未委托第三方对我单位开展绩效评价。</w:t>
      </w:r>
    </w:p>
    <w:p>
      <w:pPr>
        <w:pStyle w:val="14"/>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val="en-US" w:eastAsia="zh-CN"/>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（一）财政拨款收入</w:t>
      </w:r>
      <w:r>
        <w:rPr>
          <w:rStyle w:val="10"/>
          <w:rFonts w:hint="eastAsia" w:ascii="方正楷体_GBK" w:hAnsi="方正楷体_GBK" w:eastAsia="方正楷体_GBK" w:cs="方正楷体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（三）经营收入</w:t>
      </w:r>
      <w:r>
        <w:rPr>
          <w:rStyle w:val="10"/>
          <w:rFonts w:hint="eastAsia" w:ascii="方正楷体_GBK" w:hAnsi="方正楷体_GBK" w:eastAsia="方正楷体_GBK" w:cs="方正楷体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（八）年末结转和结余</w:t>
      </w:r>
      <w:r>
        <w:rPr>
          <w:rStyle w:val="10"/>
          <w:rFonts w:hint="eastAsia" w:ascii="方正楷体_GBK" w:hAnsi="方正楷体_GBK" w:eastAsia="方正楷体_GBK" w:cs="方正楷体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（十）项目支出：指</w:t>
      </w:r>
      <w:r>
        <w:rPr>
          <w:rStyle w:val="10"/>
          <w:rFonts w:hint="eastAsia" w:ascii="方正仿宋_GBK" w:hAnsi="方正仿宋_GBK" w:eastAsia="方正仿宋_GBK" w:cs="方正仿宋_GBK"/>
          <w:b w:val="0"/>
          <w:bCs/>
          <w:sz w:val="32"/>
          <w:szCs w:val="32"/>
          <w:shd w:val="clear" w:color="auto" w:fill="FFFFFF"/>
          <w:lang w:val="en-US" w:eastAsia="zh-CN" w:bidi="ar-SA"/>
        </w:rPr>
        <w:t>在基本支出之外为完成特定行政任</w:t>
      </w:r>
      <w:r>
        <w:rPr>
          <w:rFonts w:hint="eastAsia" w:ascii="方正仿宋_GBK" w:hAnsi="方正仿宋_GBK" w:eastAsia="方正仿宋_GBK" w:cs="方正仿宋_GBK"/>
          <w:kern w:val="0"/>
          <w:sz w:val="32"/>
          <w:szCs w:val="32"/>
          <w:shd w:val="clear" w:fill="FFFFFF"/>
        </w:rPr>
        <w:t>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（十二）“三公”经费</w:t>
      </w:r>
      <w:r>
        <w:rPr>
          <w:rStyle w:val="10"/>
          <w:rFonts w:hint="eastAsia" w:ascii="方正楷体_GBK" w:hAnsi="方正楷体_GBK" w:eastAsia="方正楷体_GBK" w:cs="方正楷体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Style w:val="10"/>
          <w:rFonts w:hint="eastAsia" w:ascii="方正楷体_GBK" w:hAnsi="方正楷体_GBK" w:eastAsia="方正楷体_GBK" w:cs="方正楷体_GBK"/>
          <w:sz w:val="32"/>
          <w:szCs w:val="32"/>
          <w:shd w:val="clear" w:color="auto" w:fill="FFFFFF"/>
          <w:lang w:val="en-US" w:eastAsia="zh-CN" w:bidi="ar-SA"/>
        </w:rPr>
        <w:t>：</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rPr>
      </w:pPr>
      <w:r>
        <w:rPr>
          <w:rStyle w:val="10"/>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本单位决算公开信息反馈和联系方式：023-</w:t>
      </w:r>
      <w:r>
        <w:rPr>
          <w:rFonts w:hint="eastAsia" w:ascii="方正仿宋_GBK" w:hAnsi="方正仿宋_GBK" w:eastAsia="方正仿宋_GBK" w:cs="方正仿宋_GBK"/>
          <w:kern w:val="0"/>
          <w:sz w:val="32"/>
          <w:szCs w:val="32"/>
          <w:shd w:val="clear" w:fill="FFFFFF"/>
          <w:lang w:val="en-US" w:eastAsia="zh-CN"/>
        </w:rPr>
        <w:t>51520334</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shd w:val="clear" w:fill="FFFFFF"/>
          <w:lang w:val="en-US" w:eastAsia="zh-CN"/>
        </w:rPr>
      </w:pPr>
    </w:p>
    <w:p>
      <w:pPr>
        <w:pStyle w:val="12"/>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附件：1.2024年度二级项目绩效自评表（关于请求拨付</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1600" w:firstLineChars="500"/>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违法建设治理联合执法运行经费的请示（巫溪违</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1600" w:firstLineChars="500"/>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建治理【2024】1号)）</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1600" w:firstLineChars="500"/>
        <w:textAlignment w:val="auto"/>
        <w:rPr>
          <w:rFonts w:hint="eastAsia"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shd w:val="clear" w:fill="FFFFFF"/>
          <w:lang w:val="en-US" w:eastAsia="zh-CN"/>
        </w:rPr>
        <w:t>2.2024年度二级项目绩效自评表（城管执法和治</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80" w:lineRule="exact"/>
        <w:ind w:firstLine="1600" w:firstLineChars="500"/>
        <w:textAlignment w:val="auto"/>
        <w:rPr>
          <w:rFonts w:hint="eastAsia" w:ascii="仿宋_GB2312" w:hAnsi="仿宋_GB2312" w:eastAsia="仿宋_GB2312" w:cs="仿宋_GB2312"/>
          <w:b w:val="0"/>
          <w:bCs w:val="0"/>
          <w:color w:val="auto"/>
          <w:kern w:val="0"/>
          <w:sz w:val="32"/>
          <w:szCs w:val="32"/>
          <w:shd w:val="clear" w:fill="FFFFFF"/>
          <w:lang w:val="en-US" w:eastAsia="zh-CN"/>
        </w:rPr>
        <w:sectPr>
          <w:footerReference r:id="rId3" w:type="default"/>
          <w:pgSz w:w="11915" w:h="16840"/>
          <w:pgMar w:top="1984" w:right="1446" w:bottom="1644" w:left="1446" w:header="851" w:footer="992" w:gutter="0"/>
          <w:pgNumType w:fmt="numberInDash"/>
          <w:cols w:space="720" w:num="1"/>
          <w:docGrid w:type="lines" w:linePitch="312" w:charSpace="0"/>
        </w:sectPr>
      </w:pPr>
      <w:r>
        <w:rPr>
          <w:rFonts w:hint="eastAsia" w:ascii="方正仿宋_GBK" w:hAnsi="方正仿宋_GBK" w:eastAsia="方正仿宋_GBK" w:cs="方正仿宋_GBK"/>
          <w:b w:val="0"/>
          <w:bCs w:val="0"/>
          <w:color w:val="auto"/>
          <w:kern w:val="0"/>
          <w:sz w:val="32"/>
          <w:szCs w:val="32"/>
          <w:shd w:val="clear" w:fill="FFFFFF"/>
          <w:lang w:val="en-US" w:eastAsia="zh-CN"/>
        </w:rPr>
        <w:t>违支出）</w:t>
      </w: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巫溪县城市管理综合行政执法支队</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1,168.47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1,284.73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1,284.73</w:t>
            </w:r>
          </w:p>
        </w:tc>
      </w:tr>
    </w:tbl>
    <w:p>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1"/>
        <w:numPr>
          <w:ilvl w:val="0"/>
          <w:numId w:val="0"/>
        </w:numPr>
        <w:autoSpaceDE w:val="0"/>
        <w:rPr>
          <w:rFonts w:hint="eastAsia" w:ascii="宋体" w:hAnsi="宋体" w:eastAsia="宋体" w:cs="宋体"/>
          <w:sz w:val="21"/>
          <w:szCs w:val="21"/>
          <w:lang w:val="en-US" w:eastAsia="zh-CN"/>
        </w:rPr>
      </w:pPr>
    </w:p>
    <w:tbl>
      <w:tblPr>
        <w:tblStyle w:val="8"/>
        <w:tblpPr w:leftFromText="180" w:rightFromText="180" w:vertAnchor="text" w:horzAnchor="page" w:tblpXSpec="center" w:tblpY="321"/>
        <w:tblOverlap w:val="never"/>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巫溪县城市管理综合行政执法支队</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1,284.73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1,284.73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城管执法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1,168.47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巫溪县城市管理综合行政执法支队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1,284.73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429.01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855.71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1,168.47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855.71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2120104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城管执法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1,168.47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312.76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855.71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巫溪县城市管理综合行政执法支队</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1,168.47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1,168.47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1,284.73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巫溪县城市管理综合行政执法支队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1,284.73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429.01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855.71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1,284.73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429.01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855.71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19.66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19.66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1,168.47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855.71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1,168.47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855.71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1,168.47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855.71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1,168.47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855.71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城管执法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1,168.47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312.76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1,168.47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312.76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855.71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巫溪县城市管理综合行政执法支队</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389.09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33.03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106.76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13.15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17.76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149.19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46.12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19.66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391.69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37.32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巫溪县城市管理综合行政执法支队</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方正仿宋_GBK" w:hAnsi="方正仿宋_GBK" w:eastAsia="方正仿宋_GBK" w:cs="方正仿宋_GBK"/>
          <w:i w:val="0"/>
          <w:caps w:val="0"/>
          <w:color w:val="171A1D"/>
          <w:spacing w:val="0"/>
          <w:sz w:val="21"/>
          <w:szCs w:val="21"/>
          <w:shd w:val="clear" w:fill="FFFFFF"/>
        </w:rPr>
        <w:t>备注：本单位无该项收支，故此表无数据</w:t>
      </w:r>
      <w:r>
        <w:rPr>
          <w:rFonts w:hint="eastAsia" w:ascii="方正仿宋_GBK" w:hAnsi="方正仿宋_GBK" w:eastAsia="方正仿宋_GBK" w:cs="方正仿宋_GBK"/>
          <w:i w:val="0"/>
          <w:caps w:val="0"/>
          <w:color w:val="171A1D"/>
          <w:spacing w:val="0"/>
          <w:sz w:val="21"/>
          <w:szCs w:val="21"/>
          <w:shd w:val="clear" w:fill="FFFFFF"/>
          <w:lang w:eastAsia="zh-CN"/>
        </w:rPr>
        <w:t>。</w:t>
      </w:r>
      <w:r>
        <w:rPr>
          <w:rFonts w:hint="eastAsia" w:ascii="宋体" w:hAnsi="宋体" w:eastAsia="宋体" w:cs="宋体"/>
          <w:sz w:val="21"/>
          <w:szCs w:val="21"/>
        </w:rPr>
        <w:br w:type="page"/>
      </w:r>
    </w:p>
    <w:tbl>
      <w:tblPr>
        <w:tblStyle w:val="8"/>
        <w:tblW w:w="221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巫溪县城市管理综合行政执法支队</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ind w:firstLine="210" w:firstLineChars="100"/>
        <w:rPr>
          <w:rFonts w:hint="eastAsia" w:ascii="宋体" w:hAnsi="宋体" w:eastAsia="宋体" w:cs="宋体"/>
          <w:sz w:val="21"/>
          <w:szCs w:val="21"/>
        </w:rPr>
      </w:pPr>
      <w:r>
        <w:rPr>
          <w:rFonts w:hint="eastAsia" w:ascii="方正仿宋_GBK" w:hAnsi="方正仿宋_GBK" w:eastAsia="方正仿宋_GBK" w:cs="方正仿宋_GBK"/>
          <w:i w:val="0"/>
          <w:caps w:val="0"/>
          <w:color w:val="171A1D"/>
          <w:spacing w:val="0"/>
          <w:sz w:val="21"/>
          <w:szCs w:val="21"/>
          <w:shd w:val="clear" w:fill="FFFFFF"/>
        </w:rPr>
        <w:t>备注：本单位无该项收支，故此表无数据</w:t>
      </w:r>
      <w:r>
        <w:rPr>
          <w:rFonts w:hint="eastAsia" w:ascii="方正仿宋_GBK" w:hAnsi="方正仿宋_GBK" w:eastAsia="方正仿宋_GBK" w:cs="方正仿宋_GBK"/>
          <w:i w:val="0"/>
          <w:caps w:val="0"/>
          <w:color w:val="171A1D"/>
          <w:spacing w:val="0"/>
          <w:sz w:val="21"/>
          <w:szCs w:val="21"/>
          <w:shd w:val="clear" w:fill="FFFFFF"/>
          <w:lang w:eastAsia="zh-CN"/>
        </w:rPr>
        <w:t>。</w:t>
      </w:r>
      <w:r>
        <w:rPr>
          <w:rFonts w:hint="eastAsia" w:ascii="宋体" w:hAnsi="宋体" w:eastAsia="宋体" w:cs="宋体"/>
          <w:sz w:val="21"/>
          <w:szCs w:val="21"/>
        </w:rPr>
        <w:br w:type="page"/>
      </w:r>
    </w:p>
    <w:tbl>
      <w:tblPr>
        <w:tblStyle w:val="8"/>
        <w:tblW w:w="203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巫溪县城市管理综合行政执法支队</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450</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0.30</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pStyle w:val="3"/>
        <w:ind w:left="0" w:leftChars="0" w:firstLine="0" w:firstLineChars="0"/>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pPr>
        <w:pStyle w:val="3"/>
        <w:ind w:left="0" w:leftChars="0" w:firstLine="0" w:firstLineChars="0"/>
        <w:jc w:val="center"/>
        <w:rPr>
          <w:rFonts w:hint="default"/>
          <w:lang w:val="en-US" w:eastAsia="zh-CN"/>
        </w:rPr>
      </w:pPr>
      <w:r>
        <w:rPr>
          <w:rFonts w:hint="default"/>
          <w:lang w:val="en-US" w:eastAsia="zh-CN"/>
        </w:rPr>
        <w:object>
          <v:shape id="_x0000_i1025" o:spt="75" type="#_x0000_t75" style="height:576.75pt;width:1041.75pt;" o:ole="t" filled="f" o:preferrelative="t" stroked="f" coordsize="21600,21600">
            <v:path/>
            <v:fill on="f" focussize="0,0"/>
            <v:stroke on="f"/>
            <v:imagedata r:id="rId10" o:title=""/>
            <o:lock v:ext="edit" aspectratio="f"/>
            <w10:wrap type="none"/>
            <w10:anchorlock/>
          </v:shape>
          <o:OLEObject Type="Embed" ProgID="Excel.Sheet.12" ShapeID="_x0000_i1025" DrawAspect="Content" ObjectID="_1468075725" r:id="rId9">
            <o:LockedField>false</o:LockedField>
          </o:OLEObject>
        </w:object>
      </w: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附件2</w:t>
      </w:r>
    </w:p>
    <w:p>
      <w:pPr>
        <w:pStyle w:val="3"/>
        <w:ind w:left="0" w:leftChars="0" w:firstLine="0" w:firstLineChars="0"/>
        <w:jc w:val="center"/>
        <w:rPr>
          <w:rFonts w:hint="default"/>
          <w:lang w:val="en-US" w:eastAsia="zh-CN"/>
        </w:rPr>
      </w:pPr>
      <w:r>
        <w:rPr>
          <w:rFonts w:hint="default"/>
          <w:lang w:val="en-US" w:eastAsia="zh-CN"/>
        </w:rPr>
        <w:object>
          <v:shape id="_x0000_i1026" o:spt="75" type="#_x0000_t75" style="height:648.75pt;width:1041.75pt;" o:ole="t" filled="f" o:preferrelative="t" stroked="f" coordsize="21600,21600">
            <v:path/>
            <v:fill on="f" focussize="0,0"/>
            <v:stroke on="f"/>
            <v:imagedata r:id="rId12" o:title=""/>
            <o:lock v:ext="edit" aspectratio="f"/>
            <w10:wrap type="none"/>
            <w10:anchorlock/>
          </v:shape>
          <o:OLEObject Type="Embed" ProgID="Excel.Sheet.12" ShapeID="_x0000_i1026" DrawAspect="Content" ObjectID="_1468075726" r:id="rId11">
            <o:LockedField>false</o:LockedField>
          </o:OLEObject>
        </w:object>
      </w:r>
    </w:p>
    <w:p>
      <w:pPr>
        <w:pStyle w:val="3"/>
        <w:rPr>
          <w:rFonts w:hint="eastAsia"/>
        </w:rPr>
      </w:pPr>
    </w:p>
    <w:p>
      <w:pPr>
        <w:rPr>
          <w:rFonts w:hint="eastAsia"/>
        </w:rPr>
      </w:pPr>
    </w:p>
    <w:p>
      <w:pPr>
        <w:pStyle w:val="11"/>
        <w:autoSpaceDE w:val="0"/>
        <w:ind w:firstLine="0" w:firstLineChars="0"/>
        <w:rPr>
          <w:rFonts w:hint="eastAsia" w:ascii="宋体" w:hAnsi="宋体" w:eastAsia="宋体" w:cs="宋体"/>
          <w:sz w:val="21"/>
          <w:szCs w:val="21"/>
          <w:lang w:eastAsia="zh-CN"/>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DE3995"/>
    <w:rsid w:val="00FE7556"/>
    <w:rsid w:val="01474EBF"/>
    <w:rsid w:val="01F3521E"/>
    <w:rsid w:val="038F649A"/>
    <w:rsid w:val="03E3214F"/>
    <w:rsid w:val="04446191"/>
    <w:rsid w:val="044C50BA"/>
    <w:rsid w:val="06683779"/>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3E08FC"/>
    <w:rsid w:val="0D673E11"/>
    <w:rsid w:val="0DB50EFE"/>
    <w:rsid w:val="0DDA54E4"/>
    <w:rsid w:val="0E3A5F83"/>
    <w:rsid w:val="0F836721"/>
    <w:rsid w:val="103645A3"/>
    <w:rsid w:val="107B59E5"/>
    <w:rsid w:val="11003CB0"/>
    <w:rsid w:val="111445C7"/>
    <w:rsid w:val="1158083A"/>
    <w:rsid w:val="117138C9"/>
    <w:rsid w:val="11F03528"/>
    <w:rsid w:val="12C921C4"/>
    <w:rsid w:val="13850DCB"/>
    <w:rsid w:val="13871C70"/>
    <w:rsid w:val="13A71CB4"/>
    <w:rsid w:val="13AF1D43"/>
    <w:rsid w:val="13C643C6"/>
    <w:rsid w:val="13CE1647"/>
    <w:rsid w:val="141A11EA"/>
    <w:rsid w:val="14200702"/>
    <w:rsid w:val="148E377E"/>
    <w:rsid w:val="1580711B"/>
    <w:rsid w:val="176A78D9"/>
    <w:rsid w:val="178C04AF"/>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3845A4"/>
    <w:rsid w:val="21420E61"/>
    <w:rsid w:val="21556F04"/>
    <w:rsid w:val="223F031E"/>
    <w:rsid w:val="22403BD3"/>
    <w:rsid w:val="23007343"/>
    <w:rsid w:val="24B92327"/>
    <w:rsid w:val="2533755C"/>
    <w:rsid w:val="26396DF4"/>
    <w:rsid w:val="26E2748C"/>
    <w:rsid w:val="270642A6"/>
    <w:rsid w:val="27167136"/>
    <w:rsid w:val="27B23302"/>
    <w:rsid w:val="28F727A0"/>
    <w:rsid w:val="29310A5F"/>
    <w:rsid w:val="299947CC"/>
    <w:rsid w:val="29C37A35"/>
    <w:rsid w:val="29C95E09"/>
    <w:rsid w:val="2A076083"/>
    <w:rsid w:val="2A73162E"/>
    <w:rsid w:val="2A8D49D1"/>
    <w:rsid w:val="2B0F6376"/>
    <w:rsid w:val="2B167953"/>
    <w:rsid w:val="2B200583"/>
    <w:rsid w:val="2B8209DE"/>
    <w:rsid w:val="2C161D32"/>
    <w:rsid w:val="2C2D3EC7"/>
    <w:rsid w:val="2C6762A3"/>
    <w:rsid w:val="2D546C0A"/>
    <w:rsid w:val="2D8D2A49"/>
    <w:rsid w:val="2FE029D7"/>
    <w:rsid w:val="2FF06E00"/>
    <w:rsid w:val="315D199F"/>
    <w:rsid w:val="315F0B22"/>
    <w:rsid w:val="31D84415"/>
    <w:rsid w:val="32285F6F"/>
    <w:rsid w:val="32770556"/>
    <w:rsid w:val="329C0913"/>
    <w:rsid w:val="333625D0"/>
    <w:rsid w:val="3337290D"/>
    <w:rsid w:val="34D55C1E"/>
    <w:rsid w:val="3529097C"/>
    <w:rsid w:val="352930DB"/>
    <w:rsid w:val="35573069"/>
    <w:rsid w:val="358C217E"/>
    <w:rsid w:val="359F188C"/>
    <w:rsid w:val="362D2433"/>
    <w:rsid w:val="368B09C3"/>
    <w:rsid w:val="36C9128A"/>
    <w:rsid w:val="37841E99"/>
    <w:rsid w:val="37BF1123"/>
    <w:rsid w:val="37F26E25"/>
    <w:rsid w:val="38AD5420"/>
    <w:rsid w:val="38BE4696"/>
    <w:rsid w:val="39166507"/>
    <w:rsid w:val="39B82A39"/>
    <w:rsid w:val="39F33306"/>
    <w:rsid w:val="3A63048C"/>
    <w:rsid w:val="3B1705E5"/>
    <w:rsid w:val="3B18334B"/>
    <w:rsid w:val="3B36794F"/>
    <w:rsid w:val="3B544954"/>
    <w:rsid w:val="3BF014AD"/>
    <w:rsid w:val="3C6A5B02"/>
    <w:rsid w:val="3C946AA2"/>
    <w:rsid w:val="3D2757A1"/>
    <w:rsid w:val="3D3D4FC4"/>
    <w:rsid w:val="3DB065DC"/>
    <w:rsid w:val="3DDF3AB1"/>
    <w:rsid w:val="3DE60B7E"/>
    <w:rsid w:val="3DFA4C63"/>
    <w:rsid w:val="3E1D0952"/>
    <w:rsid w:val="3E247234"/>
    <w:rsid w:val="3E42660A"/>
    <w:rsid w:val="3E7555B1"/>
    <w:rsid w:val="3F0527E5"/>
    <w:rsid w:val="3F0F473E"/>
    <w:rsid w:val="3F16459E"/>
    <w:rsid w:val="3F3617F2"/>
    <w:rsid w:val="3FBB6E23"/>
    <w:rsid w:val="3FDE15A7"/>
    <w:rsid w:val="4004000C"/>
    <w:rsid w:val="40FD5440"/>
    <w:rsid w:val="411B6CE5"/>
    <w:rsid w:val="412070D7"/>
    <w:rsid w:val="41314E40"/>
    <w:rsid w:val="4142353C"/>
    <w:rsid w:val="415C674B"/>
    <w:rsid w:val="426C1EA8"/>
    <w:rsid w:val="42E86A87"/>
    <w:rsid w:val="43136432"/>
    <w:rsid w:val="43770A38"/>
    <w:rsid w:val="43866F99"/>
    <w:rsid w:val="443A3B12"/>
    <w:rsid w:val="44800729"/>
    <w:rsid w:val="44A854C2"/>
    <w:rsid w:val="44B96030"/>
    <w:rsid w:val="44DD597D"/>
    <w:rsid w:val="465B470D"/>
    <w:rsid w:val="469D6AD4"/>
    <w:rsid w:val="46E97F6B"/>
    <w:rsid w:val="47674801"/>
    <w:rsid w:val="48225EF7"/>
    <w:rsid w:val="495C4A24"/>
    <w:rsid w:val="4AD70EE7"/>
    <w:rsid w:val="4B7951CB"/>
    <w:rsid w:val="4B7C315C"/>
    <w:rsid w:val="4BAB7F90"/>
    <w:rsid w:val="4C8148A3"/>
    <w:rsid w:val="4DAC4ACA"/>
    <w:rsid w:val="4E4A488F"/>
    <w:rsid w:val="4E797E26"/>
    <w:rsid w:val="4E920EE8"/>
    <w:rsid w:val="4F1638C7"/>
    <w:rsid w:val="4F186D58"/>
    <w:rsid w:val="4FCF5243"/>
    <w:rsid w:val="50EC262C"/>
    <w:rsid w:val="51EC0B76"/>
    <w:rsid w:val="522F6E0C"/>
    <w:rsid w:val="52463BA1"/>
    <w:rsid w:val="53081779"/>
    <w:rsid w:val="53A911B8"/>
    <w:rsid w:val="53B4545D"/>
    <w:rsid w:val="53C0244D"/>
    <w:rsid w:val="53DD0E57"/>
    <w:rsid w:val="53DD4D4E"/>
    <w:rsid w:val="53E578CE"/>
    <w:rsid w:val="543B029D"/>
    <w:rsid w:val="545D0246"/>
    <w:rsid w:val="554E5773"/>
    <w:rsid w:val="555A3CBC"/>
    <w:rsid w:val="56440D1A"/>
    <w:rsid w:val="56530F5D"/>
    <w:rsid w:val="57F56770"/>
    <w:rsid w:val="5842572D"/>
    <w:rsid w:val="5A2C3F9F"/>
    <w:rsid w:val="5AE75037"/>
    <w:rsid w:val="5B58571C"/>
    <w:rsid w:val="5B8376C2"/>
    <w:rsid w:val="5B96133A"/>
    <w:rsid w:val="5BA837B6"/>
    <w:rsid w:val="5C1336B7"/>
    <w:rsid w:val="5C263CE4"/>
    <w:rsid w:val="5C5D2777"/>
    <w:rsid w:val="5D290C69"/>
    <w:rsid w:val="5D537F41"/>
    <w:rsid w:val="5EFA176D"/>
    <w:rsid w:val="5F0247F9"/>
    <w:rsid w:val="5F2D4A41"/>
    <w:rsid w:val="601C34ED"/>
    <w:rsid w:val="60A958A9"/>
    <w:rsid w:val="60D22ADB"/>
    <w:rsid w:val="60D61108"/>
    <w:rsid w:val="61025A59"/>
    <w:rsid w:val="613D5BBC"/>
    <w:rsid w:val="61536C39"/>
    <w:rsid w:val="62540537"/>
    <w:rsid w:val="62944DD7"/>
    <w:rsid w:val="634D1435"/>
    <w:rsid w:val="63C25DC5"/>
    <w:rsid w:val="63C62057"/>
    <w:rsid w:val="63C73832"/>
    <w:rsid w:val="63DC19EB"/>
    <w:rsid w:val="64FB113D"/>
    <w:rsid w:val="654E4D38"/>
    <w:rsid w:val="656152C6"/>
    <w:rsid w:val="6587477F"/>
    <w:rsid w:val="658C3A08"/>
    <w:rsid w:val="65C031CA"/>
    <w:rsid w:val="65CE6852"/>
    <w:rsid w:val="66267C04"/>
    <w:rsid w:val="663F505A"/>
    <w:rsid w:val="665C1999"/>
    <w:rsid w:val="667E3DD4"/>
    <w:rsid w:val="667F2393"/>
    <w:rsid w:val="66EE5541"/>
    <w:rsid w:val="692172FD"/>
    <w:rsid w:val="6A3829EE"/>
    <w:rsid w:val="6AB9362D"/>
    <w:rsid w:val="6B474EF5"/>
    <w:rsid w:val="6B712159"/>
    <w:rsid w:val="6B8E4AB9"/>
    <w:rsid w:val="6BEC17E0"/>
    <w:rsid w:val="6C560CAE"/>
    <w:rsid w:val="6D0615E4"/>
    <w:rsid w:val="6D903FF5"/>
    <w:rsid w:val="6DA955B8"/>
    <w:rsid w:val="6DE346AB"/>
    <w:rsid w:val="6E8B1784"/>
    <w:rsid w:val="6F7F6A2D"/>
    <w:rsid w:val="6FB442D1"/>
    <w:rsid w:val="6FFB2E76"/>
    <w:rsid w:val="716F713B"/>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454B12"/>
    <w:rsid w:val="7C4738FB"/>
    <w:rsid w:val="7C5248E4"/>
    <w:rsid w:val="7C566698"/>
    <w:rsid w:val="7E4D25B2"/>
    <w:rsid w:val="7FA960B8"/>
    <w:rsid w:val="7FFF18AE"/>
    <w:rsid w:val="BA6AF9B5"/>
    <w:rsid w:val="EFF6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ind w:left="1680" w:leftChars="8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5">
    <w:name w:val="正文-公1"/>
    <w:basedOn w:val="16"/>
    <w:next w:val="1"/>
    <w:qFormat/>
    <w:uiPriority w:val="0"/>
    <w:pPr>
      <w:ind w:firstLine="200" w:firstLine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lang w:val="en-US" w:eastAsia="zh-CN"/>
    </w:rPr>
  </w:style>
  <w:style w:type="paragraph" w:customStyle="1" w:styleId="17">
    <w:name w:val="样式 正文文本 + 首行缩进:  2 字符"/>
    <w:basedOn w:val="2"/>
    <w:qFormat/>
    <w:uiPriority w:val="0"/>
    <w:pPr>
      <w:outlineLvl w:val="1"/>
    </w:pPr>
    <w:rPr>
      <w:rFonts w:cs="宋体"/>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7394</Words>
  <Characters>8978</Characters>
  <Lines>161</Lines>
  <Paragraphs>45</Paragraphs>
  <TotalTime>52</TotalTime>
  <ScaleCrop>false</ScaleCrop>
  <LinksUpToDate>false</LinksUpToDate>
  <CharactersWithSpaces>9365</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GreatWall</cp:lastModifiedBy>
  <dcterms:modified xsi:type="dcterms:W3CDTF">2025-09-23T16:05:39Z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3B30C24F6127408BD354D26838444FA9</vt:lpwstr>
  </property>
  <property fmtid="{D5CDD505-2E9C-101B-9397-08002B2CF9AE}" pid="4" name="KSOTemplateDocerSaveRecord">
    <vt:lpwstr>eyJoZGlkIjoiYTFlODY3YzQzNjk3MDgyMTJkOGFjZDQzYWFmMmI3MWIiLCJ1c2VySWQiOiIxNzIwMDE5NTM4In0=</vt:lpwstr>
  </property>
</Properties>
</file>