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重庆市</w:t>
      </w:r>
      <w:r>
        <w:rPr>
          <w:rFonts w:ascii="方正小标宋_GBK" w:hAnsi="方正小标宋_GBK" w:eastAsia="方正小标宋_GBK" w:cs="方正小标宋_GBK"/>
          <w:b w:val="0"/>
          <w:bCs w:val="0"/>
          <w:sz w:val="44"/>
          <w:szCs w:val="44"/>
        </w:rPr>
        <w:t>巫溪县住房和城乡建设委员会</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负责推进住房和城乡建设、城市管理事业改革发展。贯彻执行住房和城乡建设、城市管理方面法律、法规、规章和方针政策。拟订全县城乡建设、市政基础设施、园林绿化、市容环境卫生等发展规划、专项规划和年度计划并组织实施。负责规范城乡建设管理秩序。指导乡镇（街道）住房和城乡建设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2、负责住房和城乡建设、城市管理财政性资金的监督管理。负责城市建设配套费的征收和管理，指导乡镇建设配套费的征收和管理。按规定管理和使用住房和城乡建设、城市管理维护资金及其他专项资金。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3、负责住房保障工作。贯彻落实住房保障、住房改革政策。负责保障性住房建设的监督管理和协调推进。负责全县公有房屋改革和管理。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负责房地产行业的监督管理。牵头落实全市房地产调控政策，拟订全县房地产行业发展规划并组织实施。负责规范房地产开发建设市场秩序、房地产交易市场秩序。贯彻执行房屋交易管理规章制度。负责房地产开发企业、房地产估价机构资质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5、负责国有土地上房屋征收工作。负责房屋使用安全、物业管理活动的监督管理。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负责全面统筹推进城市提升工作，强化统筹职责，提升统筹能力。贯彻执行城市提升相关政策、规范和标准。牵头推进城市提升行动计划，统筹推进城市提升相关前期工作和项目协调。统筹城市提升项目进度安排、推进实施、监督检查、效果评价等工作。负责推进城市修补和有机更新。负责城市既有建筑保留利用、更新改造工作。负责城市老旧功能片区和老旧小区改造提升工作。统筹推进城市棚户区改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统筹推进城市基础设施建设管理工作。贯彻落实城市道路桥梁隧道及其附属设施等城市基础设施建设政策，拟订规划并组织实施，负责项目的储备、前期工作和协调推进。贯彻落实重点工程建设政策，统筹协调房屋建筑和市政基础设施县级重点项目建设，参与协调其他县级重点项目建设。负责城市市政设施及公共绿地的建设、维护与管理。负责市政设施维护许可的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8、统筹城市人居环境改善工作。统筹城市管线的综合管理，建立城市管线综合管理协调机制，统筹城市综合管廊建设与管理。牵头协调推进海绵城市建设。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指导村镇建设。贯彻落实村镇建设政策。负责指导村镇建设管理工作，组织村镇专项建设示范。指导特色景观旅游名镇名村管理工作。指导农村住房建设和农村危房改造工作。负责历史文化名城、街区和传统风貌区的保护建设管理工作。指导城市历史建筑、传统风貌建筑的修复建设。承担历史文化名镇、名村和村镇传统风貌区的保护建设管理工作，指导村镇历史建筑、传统风貌区建筑的修复建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10、负责城市规划区内户外广告、店招店牌、户外灯饰的设置管理工作。负责城区主次干道路内停车管理工作，负责城市规划区内停车场管理的指导、协调和监督。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负责环境卫生管理。负责城市生活垃圾、建筑垃圾、水域垃圾的管理，负责城市环境卫生设施、生活垃圾处置和生活垃圾经营性服务的管理，负责农村生活垃圾治理的业务指导和监督管理。负责城区垃圾处置费核费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负责城市供水、节水的监督管理，负责城市供水水质的监督管理，负责城市二次供水管理。负责城镇排水与污水处理的监督管理。贯彻落实城镇排水与污水处理政策和标准，拟订规划并组织实施。负责城镇污水处理厂建设运行管理和城市排水（雨水、污水）管网建设维护管理。指导乡镇排水（雨水、污水）管网建设维护管理和污水处理管理工作。负责城市污水处理费征收的管理工作。负责城镇排水监测的监督管理。牵头负责城市排水防涝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负责城市园林绿化管理，规范园林绿化市场，组织开展城市义务植树活动。负责城市规划区内古树名木的保护管理工作和园林植物保护工作。负责综合性公园、专类公园、游艺机游乐园、社区公园等城市公园行业管理，指导城市公园紧急避难场地的规划、建设、保护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负责建筑行业、城市管理行业的监督管理。负责规范建筑市场秩序。负责房屋建筑和市政基础设施工程质量、安全的监督管理，负责或参与工程重大质量安全事故的调查处理和突发事件应急处置，负责建筑企业及从业人员的资质资格管理。负责本地建筑材料价格的管理、收集和上报，监督建设工程造价活动。负责住房和城建档案管理，指导行业人才队伍建设，承担建筑工程专业技术资格管理工作。负责城市管理行业安全生产工作的监督、管理和指导，负责城市管理行业应急管理、应对处置的组织、协调和指导。负责新型建筑材料、建筑机械与设备的应用管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15、负责依法审查和审批房屋建筑及附属设施和市政基础设施工程施工行政审批事项。负责对城市建设项目附属绿化工程设计方案审查及指标核准，组织编制绿地系统规划和夜景灯饰审核认定。负责依法审查和审批临时占用城市绿地和移伐树木以及集中绿化事项。负责房屋建筑和城市基础设施工程、城市园林绿化工程项目的施工许可和竣工验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16、负责勘察设计行业的监督管理。负责规范勘察设计市场秩序。负责建设工程勘察设计企业及从业人员的资质资格管理。负责房屋建筑和市政基础设施工程建设抗震设防的监督管理。指导城市地下空间综合开发利用和城市雕塑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17、负责建设工程消防设计审查验收相关工作。贯彻执行建设工程消防设计审查验收政策。</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18、负责绿色建筑与建筑节能管理。贯彻落实绿色建筑与建筑节能政策。承担绿色建筑评价及建筑能效测评标识管理。推进建筑节能发展。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19、负责建设科技推广应用。负责住房城乡建设新技术示范、推广、应用。负责行业信息化、智能化、城市数字化等管理工作。贯彻执行工程建设地方标准。推进建筑产业现代化，负责工程建设标准化工作。负责本领域对外交流与合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20、负责住房城乡建设、城市管理综合行政执法，具体交由巫溪县城市管理综合行政执法支队承担，并以部门名义统一执法。指导乡镇（街道）相关综合行政执法工作。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21、负责机关、所属单位和行业社会组织党建工作。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22、完成县委、县政府交办的其他任务。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巫溪县城乡建设委员会（本级）隶属巫溪县人民政府主管。内设综合科、党建办公室、住房管理科 、城市建设科、村镇建设科、建筑管理科、市政园林科、市容环卫科、勘设与消防科、法制与审批科。下属事业单位：巫溪县建设工程施工安全管理站、巫溪县村镇服务中心、巫溪县建设工程质量监督站、巫溪县城市管理综合行政执法支队、巫溪县公园绿化管理所、巫溪县环境卫生管理所、巫溪县城镇设施管理中心和巫溪县房管服务中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部门</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度收入总计15691.17万元，支出总计15691.17万元。收、支与2023年度相比，增加1725.27万元，增长12.4%，主要原因是</w:t>
      </w:r>
      <w:r>
        <w:rPr>
          <w:rFonts w:hint="eastAsia" w:ascii="方正仿宋_GBK" w:hAnsi="方正仿宋_GBK" w:eastAsia="方正仿宋_GBK" w:cs="方正仿宋_GBK"/>
          <w:sz w:val="32"/>
          <w:szCs w:val="32"/>
          <w:lang w:val="en-US" w:eastAsia="zh-CN"/>
        </w:rPr>
        <w:t>职工工资正常晋升调资和年中追加巫溪县凤凰片区排水管网改造工程、巫溪县白马社区雨污混乱改造及易涝点整治工程等项目资金。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度收入合计15691.17万元，与2023年度相比，增加1725.27万元，增长12.4%，主要原因是</w:t>
      </w:r>
      <w:r>
        <w:rPr>
          <w:rFonts w:hint="eastAsia" w:ascii="方正仿宋_GBK" w:hAnsi="方正仿宋_GBK" w:eastAsia="方正仿宋_GBK" w:cs="方正仿宋_GBK"/>
          <w:sz w:val="32"/>
          <w:szCs w:val="32"/>
          <w:lang w:val="en-US" w:eastAsia="zh-CN"/>
        </w:rPr>
        <w:t>职工工资正常晋升调资和年中追加项目资金。</w:t>
      </w:r>
      <w:r>
        <w:rPr>
          <w:rFonts w:hint="eastAsia" w:ascii="方正仿宋_GBK" w:hAnsi="方正仿宋_GBK" w:eastAsia="方正仿宋_GBK" w:cs="方正仿宋_GBK"/>
          <w:sz w:val="32"/>
          <w:szCs w:val="32"/>
        </w:rPr>
        <w:t>其中：财政拨款收入15691.17万元，占100.00%；事业收入0.00万元，占0.00%；经营收入0.00万元，占0.00%；其他收入0.00万元，占0.00%。此外，使用非财政拨款结余和专用结余0.00万元，年初结转和结余0.00万元。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度支出合计15691.17万元，与2023年度相比，增加1725.27万元，增长12.4%，主要原因是</w:t>
      </w:r>
      <w:r>
        <w:rPr>
          <w:rFonts w:hint="eastAsia" w:ascii="方正仿宋_GBK" w:hAnsi="方正仿宋_GBK" w:eastAsia="方正仿宋_GBK" w:cs="方正仿宋_GBK"/>
          <w:sz w:val="32"/>
          <w:szCs w:val="32"/>
          <w:lang w:val="en-US" w:eastAsia="zh-CN"/>
        </w:rPr>
        <w:t>职工工资正常晋升调资和年中追加巫溪县凤凰片区排水管网改造工程、巫溪县白马社区雨污混乱改造及易涝点整治工程等项目资金。</w:t>
      </w:r>
      <w:r>
        <w:rPr>
          <w:rFonts w:hint="eastAsia" w:ascii="方正仿宋_GBK" w:hAnsi="方正仿宋_GBK" w:eastAsia="方正仿宋_GBK" w:cs="方正仿宋_GBK"/>
          <w:sz w:val="32"/>
          <w:szCs w:val="32"/>
        </w:rPr>
        <w:t>其中：基本支出1560.65万元，占9.95%；项目支出14130.52万元，占90.05%；经营支出0.00万元，占0.00%。此外，结余分配0.00万元。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w:t>
      </w:r>
      <w:r>
        <w:rPr>
          <w:rFonts w:hint="eastAsia" w:ascii="方正仿宋_GBK" w:hAnsi="方正仿宋_GBK" w:eastAsia="方正仿宋_GBK" w:cs="方正仿宋_GBK"/>
          <w:sz w:val="32"/>
          <w:szCs w:val="32"/>
          <w:lang w:eastAsia="zh-CN"/>
        </w:rPr>
        <w:t>，主要原因在于我单位</w:t>
      </w:r>
      <w:r>
        <w:rPr>
          <w:rFonts w:hint="eastAsia" w:ascii="方正仿宋_GBK" w:hAnsi="方正仿宋_GBK" w:eastAsia="方正仿宋_GBK" w:cs="方正仿宋_GBK"/>
          <w:sz w:val="32"/>
          <w:szCs w:val="32"/>
          <w:lang w:val="en-US" w:eastAsia="zh-CN"/>
        </w:rPr>
        <w:t>2024年度实行零结转。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度财政拨款收、支总计15691.17万元。与202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年相比，财政拨款收、支总计各增加1725.27万元，增长12.4%。主要原因是</w:t>
      </w:r>
      <w:r>
        <w:rPr>
          <w:rFonts w:hint="eastAsia" w:ascii="方正仿宋_GBK" w:hAnsi="方正仿宋_GBK" w:eastAsia="方正仿宋_GBK" w:cs="方正仿宋_GBK"/>
          <w:sz w:val="32"/>
          <w:szCs w:val="32"/>
          <w:lang w:val="en-US" w:eastAsia="zh-CN"/>
        </w:rPr>
        <w:t>职工工资正常晋升调资和年中追加巫溪县凤凰片区排水管网改造工程、巫溪县白马社区雨污混乱改造及易涝点整治工程等项目资金。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度一般公共预算财政拨款收入15677.17万元，与2023年度相比，增加1711.27万元，增长12.3%。主要原因是</w:t>
      </w:r>
      <w:r>
        <w:rPr>
          <w:rFonts w:hint="eastAsia" w:ascii="方正仿宋_GBK" w:hAnsi="方正仿宋_GBK" w:eastAsia="方正仿宋_GBK" w:cs="方正仿宋_GBK"/>
          <w:sz w:val="32"/>
          <w:szCs w:val="32"/>
          <w:lang w:val="en-US" w:eastAsia="zh-CN"/>
        </w:rPr>
        <w:t>职工工资正常晋升调资和年中追加项目资金。</w:t>
      </w:r>
      <w:r>
        <w:rPr>
          <w:rFonts w:hint="eastAsia" w:ascii="方正仿宋_GBK" w:hAnsi="方正仿宋_GBK" w:eastAsia="方正仿宋_GBK" w:cs="方正仿宋_GBK"/>
          <w:sz w:val="32"/>
          <w:szCs w:val="32"/>
        </w:rPr>
        <w:t>较年初预算数增加6136.68万元，增长64.3%。主要原因是</w:t>
      </w:r>
      <w:r>
        <w:rPr>
          <w:rFonts w:hint="eastAsia" w:ascii="方正仿宋_GBK" w:hAnsi="方正仿宋_GBK" w:eastAsia="方正仿宋_GBK" w:cs="方正仿宋_GBK"/>
          <w:sz w:val="32"/>
          <w:szCs w:val="32"/>
          <w:lang w:val="en-US" w:eastAsia="zh-CN"/>
        </w:rPr>
        <w:t>职工工资正常晋升调资和年中追加巫溪县凤凰片区排水管网改造工程、巫溪县白马社区雨污混乱改造及易涝点整治工程等项目资金。</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度一般公共预算财政拨款支出15677.17万元，与2023年度相比，增加1711.27万元，增长12.3%。主要原因是</w:t>
      </w:r>
      <w:r>
        <w:rPr>
          <w:rFonts w:hint="eastAsia" w:ascii="方正仿宋_GBK" w:hAnsi="方正仿宋_GBK" w:eastAsia="方正仿宋_GBK" w:cs="方正仿宋_GBK"/>
          <w:sz w:val="32"/>
          <w:szCs w:val="32"/>
          <w:lang w:val="en-US" w:eastAsia="zh-CN"/>
        </w:rPr>
        <w:t>职工工资正常晋升调资和年中追加巫溪县凤凰片区排水管网改造工程、巫溪县白马社区雨污混乱改造及易涝点整治工程等项目资金。</w:t>
      </w:r>
      <w:r>
        <w:rPr>
          <w:rFonts w:hint="eastAsia" w:ascii="方正仿宋_GBK" w:hAnsi="方正仿宋_GBK" w:eastAsia="方正仿宋_GBK" w:cs="方正仿宋_GBK"/>
          <w:sz w:val="32"/>
          <w:szCs w:val="32"/>
        </w:rPr>
        <w:t>较年初预算数增加6136.68万元，增长64.3%。主要原因是</w:t>
      </w:r>
      <w:r>
        <w:rPr>
          <w:rFonts w:hint="eastAsia" w:ascii="方正仿宋_GBK" w:hAnsi="方正仿宋_GBK" w:eastAsia="方正仿宋_GBK" w:cs="方正仿宋_GBK"/>
          <w:sz w:val="32"/>
          <w:szCs w:val="32"/>
          <w:lang w:val="en-US" w:eastAsia="zh-CN"/>
        </w:rPr>
        <w:t>职工工资正常晋升调资和年中追加巫溪县凤凰片区排水管网改造工程、巫溪县白马社区雨污混乱改造及易涝点整治工程等项目资金。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r>
        <w:rPr>
          <w:rFonts w:hint="eastAsia" w:ascii="方正仿宋_GBK" w:hAnsi="方正仿宋_GBK" w:eastAsia="方正仿宋_GBK" w:cs="方正仿宋_GBK"/>
          <w:sz w:val="32"/>
          <w:szCs w:val="32"/>
          <w:lang w:eastAsia="zh-CN"/>
        </w:rPr>
        <w:t>，主要原因在于我单位</w:t>
      </w:r>
      <w:r>
        <w:rPr>
          <w:rFonts w:hint="eastAsia" w:ascii="方正仿宋_GBK" w:hAnsi="方正仿宋_GBK" w:eastAsia="方正仿宋_GBK" w:cs="方正仿宋_GBK"/>
          <w:sz w:val="32"/>
          <w:szCs w:val="32"/>
          <w:lang w:val="en-US" w:eastAsia="zh-CN"/>
        </w:rPr>
        <w:t>2024年度实行零结转。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社会保障与就业支出277.02万元，占1.77%，较年初预算数增加52.78万元，增长23.5%，主要原因是</w:t>
      </w:r>
      <w:r>
        <w:rPr>
          <w:rFonts w:hint="eastAsia" w:ascii="方正仿宋_GBK" w:hAnsi="方正仿宋_GBK" w:eastAsia="方正仿宋_GBK" w:cs="方正仿宋_GBK"/>
          <w:sz w:val="32"/>
          <w:szCs w:val="32"/>
          <w:lang w:eastAsia="zh-CN"/>
        </w:rPr>
        <w:t>根据巫溪委办发【</w:t>
      </w:r>
      <w:r>
        <w:rPr>
          <w:rFonts w:hint="eastAsia" w:ascii="方正仿宋_GBK" w:hAnsi="方正仿宋_GBK" w:eastAsia="方正仿宋_GBK" w:cs="方正仿宋_GBK"/>
          <w:sz w:val="32"/>
          <w:szCs w:val="32"/>
          <w:lang w:val="en-US" w:eastAsia="zh-CN"/>
        </w:rPr>
        <w:t>2024】7号文件要求，原县城市管理局合并至我委，原城管局机关人员7-12月工资、津贴、绩效工资等人员预算指标均调整到我委发放，故相关经费有所增加。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）卫生健康支出67.75万元，占0.43%，较年初预算数无增减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主要原因在于我部门严格执行年初预算，其次是原县城市管理局合并至我委，原城管局机关人员7-12月工资、津贴、绩效工资等人员预算指标均调整到我委发放，但社保及住房和人头经费仍在原单位支出。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）城乡社区支出4962.43万元，占31.65%，较年初预算数增加2680.49万元，增长117.5%，主要原因是</w:t>
      </w:r>
      <w:r>
        <w:rPr>
          <w:rFonts w:hint="eastAsia" w:ascii="方正仿宋_GBK" w:hAnsi="方正仿宋_GBK" w:eastAsia="方正仿宋_GBK" w:cs="方正仿宋_GBK"/>
          <w:sz w:val="32"/>
          <w:szCs w:val="32"/>
          <w:lang w:eastAsia="zh-CN"/>
        </w:rPr>
        <w:t>增加</w:t>
      </w:r>
      <w:r>
        <w:rPr>
          <w:rFonts w:hint="eastAsia" w:ascii="方正仿宋_GBK" w:hAnsi="方正仿宋_GBK" w:eastAsia="方正仿宋_GBK" w:cs="方正仿宋_GBK"/>
          <w:sz w:val="32"/>
          <w:szCs w:val="32"/>
          <w:lang w:val="en-US" w:eastAsia="zh-CN"/>
        </w:rPr>
        <w:t>巫溪县凤凰片区排水管网改造工程、巫溪县白马社区雨污混乱改造及易涝点整治工程等项目支出。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）住房保障支出10369.97万元，占66.15%，较年初预算数增加3403.39万元，增长48.9%，主要原因是</w:t>
      </w:r>
      <w:r>
        <w:rPr>
          <w:rFonts w:hint="eastAsia" w:ascii="方正仿宋_GBK" w:hAnsi="方正仿宋_GBK" w:eastAsia="方正仿宋_GBK" w:cs="方正仿宋_GBK"/>
          <w:sz w:val="32"/>
          <w:szCs w:val="32"/>
          <w:lang w:eastAsia="zh-CN"/>
        </w:rPr>
        <w:t>棚户区和老旧小区改造</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lang w:eastAsia="zh-CN"/>
        </w:rPr>
        <w:t>项目支出增加。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度一般公共财政拨款基本支出1560.65万元。其中：人员经费1369.22万元，与2023年度相比，增加53.65万元，增长4.1%，主要原因是</w:t>
      </w:r>
      <w:r>
        <w:rPr>
          <w:rFonts w:hint="eastAsia" w:ascii="方正仿宋_GBK" w:hAnsi="方正仿宋_GBK" w:eastAsia="方正仿宋_GBK" w:cs="方正仿宋_GBK"/>
          <w:sz w:val="32"/>
          <w:szCs w:val="32"/>
          <w:lang w:eastAsia="zh-CN"/>
        </w:rPr>
        <w:t>根据巫溪委办发【</w:t>
      </w:r>
      <w:r>
        <w:rPr>
          <w:rFonts w:hint="eastAsia" w:ascii="方正仿宋_GBK" w:hAnsi="方正仿宋_GBK" w:eastAsia="方正仿宋_GBK" w:cs="方正仿宋_GBK"/>
          <w:sz w:val="32"/>
          <w:szCs w:val="32"/>
          <w:lang w:val="en-US" w:eastAsia="zh-CN"/>
        </w:rPr>
        <w:t>2024】7号文件要求，原县城市管理局合并至我委，原城管局机关人员7-12月工资、津贴、绩效工资等预算指标均调整到我委发放，故相关经费有所增加。</w:t>
      </w:r>
      <w:r>
        <w:rPr>
          <w:rFonts w:hint="eastAsia" w:ascii="方正仿宋_GBK" w:hAnsi="方正仿宋_GBK" w:eastAsia="方正仿宋_GBK" w:cs="方正仿宋_GBK"/>
          <w:sz w:val="32"/>
          <w:szCs w:val="32"/>
        </w:rPr>
        <w:t>人员经费用途主要包括</w:t>
      </w:r>
      <w:r>
        <w:rPr>
          <w:rFonts w:hint="eastAsia" w:ascii="方正仿宋_GBK" w:hAnsi="方正仿宋_GBK" w:eastAsia="方正仿宋_GBK" w:cs="方正仿宋_GBK"/>
          <w:sz w:val="32"/>
          <w:szCs w:val="32"/>
          <w:lang w:eastAsia="zh-CN"/>
        </w:rPr>
        <w:t>人员基本工资、津贴补贴、奖金、绩效工资、社会保障以及住房公积金支出等。</w:t>
      </w:r>
      <w:r>
        <w:rPr>
          <w:rFonts w:hint="eastAsia" w:ascii="方正仿宋_GBK" w:hAnsi="方正仿宋_GBK" w:eastAsia="方正仿宋_GBK" w:cs="方正仿宋_GBK"/>
          <w:sz w:val="32"/>
          <w:szCs w:val="32"/>
        </w:rPr>
        <w:t>公用经费191.43万元，与2023年度相比，减少5.48万元，下降2.8%，主要原因是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bookmarkStart w:id="0" w:name="_GoBack"/>
      <w:bookmarkEnd w:id="0"/>
      <w:r>
        <w:rPr>
          <w:rFonts w:hint="eastAsia" w:ascii="方正仿宋_GBK" w:hAnsi="方正仿宋_GBK" w:eastAsia="方正仿宋_GBK" w:cs="方正仿宋_GBK"/>
          <w:sz w:val="32"/>
          <w:szCs w:val="32"/>
        </w:rPr>
        <w:t>公用经费用途主要包括</w:t>
      </w:r>
      <w:r>
        <w:rPr>
          <w:rFonts w:hint="eastAsia" w:ascii="方正仿宋_GBK" w:hAnsi="方正仿宋_GBK" w:eastAsia="方正仿宋_GBK" w:cs="方正仿宋_GBK"/>
          <w:sz w:val="32"/>
          <w:szCs w:val="32"/>
          <w:lang w:eastAsia="zh-CN"/>
        </w:rPr>
        <w:t>办公费、水电费、物业费、差旅费、租赁费、公车运行维护费等。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度政府性基金预算财政拨款年初结转结余0.00万元，年末结转结余0.00万元。本年收入14.00万元，与2023年度相比，增加14.00万元，增长100.0%，主要原因是年中追加申报设计下乡资金14万元，主要用于设计下乡工作经费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本年支出14.00万元，与2023年度相比，增加14.00万元，增长100.0%，主要原因是年中追加申报设计下乡资金14万元，主要用于设计下乡工作经费</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度“三公”经费支出共计13.50万元，较年初预算数减少10.10万元，下降42.8%，主要原因是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较上年支出数减少6.10万元，下降31.1%，主要原因是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度本部门因公出国（境）费用0.00万元。费用支出较年初预算数无增减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公务车购置费0.00万元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费用支出较年初预算数无增减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主要原因在于我部门严格执行年初预算。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公务车运行维护费10.50万元，主要用于</w:t>
      </w:r>
      <w:r>
        <w:rPr>
          <w:rFonts w:hint="eastAsia" w:ascii="方正仿宋_GBK" w:hAnsi="方正仿宋_GBK" w:eastAsia="方正仿宋_GBK" w:cs="方正仿宋_GBK"/>
          <w:sz w:val="32"/>
          <w:szCs w:val="32"/>
          <w:lang w:eastAsia="zh-CN"/>
        </w:rPr>
        <w:t>单位车辆油料、保险、年检、维修、保养等支出。</w:t>
      </w:r>
      <w:r>
        <w:rPr>
          <w:rFonts w:hint="eastAsia" w:ascii="方正仿宋_GBK" w:hAnsi="方正仿宋_GBK" w:eastAsia="方正仿宋_GBK" w:cs="方正仿宋_GBK"/>
          <w:sz w:val="32"/>
          <w:szCs w:val="32"/>
        </w:rPr>
        <w:t>费用支出较年初预算数减少3.70万元，下降26.1%，主要原因是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较上年支出数减少3.75万元，下降26.3%，主要原因是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公务接待费3.00万元，主要用于接待</w:t>
      </w:r>
      <w:r>
        <w:rPr>
          <w:rFonts w:hint="eastAsia" w:ascii="方正仿宋_GBK" w:hAnsi="方正仿宋_GBK" w:eastAsia="方正仿宋_GBK" w:cs="方正仿宋_GBK"/>
          <w:sz w:val="32"/>
          <w:szCs w:val="32"/>
          <w:lang w:eastAsia="zh-CN"/>
        </w:rPr>
        <w:t>市级及其他区县相关部门或单位因公来我单位开展工作的人员。</w:t>
      </w:r>
      <w:r>
        <w:rPr>
          <w:rFonts w:hint="eastAsia" w:ascii="方正仿宋_GBK" w:hAnsi="方正仿宋_GBK" w:eastAsia="方正仿宋_GBK" w:cs="方正仿宋_GBK"/>
          <w:sz w:val="32"/>
          <w:szCs w:val="32"/>
        </w:rPr>
        <w:t>费用支出较年初预算数减少6.40万元，下降68.1%，主要原因是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r>
        <w:rPr>
          <w:rFonts w:hint="eastAsia" w:ascii="方正仿宋_GBK" w:hAnsi="方正仿宋_GBK" w:eastAsia="方正仿宋_GBK" w:cs="方正仿宋_GBK"/>
          <w:sz w:val="32"/>
          <w:szCs w:val="32"/>
        </w:rPr>
        <w:t>较上年支出数减少2.35万元，下降43.9%，主要原因是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度本部门因公出国（境）共计0个团组，0人；公务用车购置0辆，公务车保有量为3辆；国内公务接待40批次320人，其中：国内外事接待0批次，0人；国（境）外公务接待0批次，0人。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本部门人均接待费93.75元，车均购置费0万元，车均维护费3.50万元。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本年度会议费支出0.00万元，与2023年度相比，无增减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本年度培训费支出0.00万元，与2023年度相比，减少0.52万元，下降100.0%，主要原因是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度本部门机关运行经费支出80.61万元，机关运行经费主要用于开支办公及印刷费、邮电费、差旅费、会议费、福利费、日常维护费、办公用房水电费、办公用房物业管理费、公务用车运行维护费</w:t>
      </w:r>
      <w:r>
        <w:rPr>
          <w:rFonts w:hint="eastAsia" w:ascii="方正仿宋_GBK" w:hAnsi="方正仿宋_GBK" w:eastAsia="方正仿宋_GBK" w:cs="方正仿宋_GBK"/>
          <w:sz w:val="32"/>
          <w:szCs w:val="32"/>
          <w:lang w:eastAsia="zh-CN"/>
        </w:rPr>
        <w:t>、公务接待费、培训费</w:t>
      </w:r>
      <w:r>
        <w:rPr>
          <w:rFonts w:hint="eastAsia" w:ascii="方正仿宋_GBK" w:hAnsi="方正仿宋_GBK" w:eastAsia="方正仿宋_GBK" w:cs="方正仿宋_GBK"/>
          <w:sz w:val="32"/>
          <w:szCs w:val="32"/>
        </w:rPr>
        <w:t>以及其他费用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机关运行经费较上年支出数减少116.30万元，下降59.1%，主要原因是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我单位2024年严格按照中央八项规定，持续坚持过紧日子相关要求，压减相关支出。其次是我委下属单位巫溪县住房和城乡建设行政执法支队（参公单位）2024年度7月后合并至其他相关单位，相关支出也相应划转。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部门共有车辆9辆，其中，副部（省）级及以上领导用车0辆、主要负责人用车0辆、机要通信用车0辆、应急保障用车9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政府采购支出总额5.07万元，其中：政府采购货物支出5.07万元、政府采购工程支出0.00万元、政府采购服务支出0.00万元。授予中小企业合同金额5.07万元，占政府采购支出总额的100.00%，其中：授予小微企业合同金额5.07万元，占政府采购支出总额的100.00 %。主要用于采购</w:t>
      </w:r>
      <w:r>
        <w:rPr>
          <w:rFonts w:hint="eastAsia" w:ascii="方正仿宋_GBK" w:hAnsi="方正仿宋_GBK" w:eastAsia="方正仿宋_GBK" w:cs="方正仿宋_GBK"/>
          <w:sz w:val="32"/>
          <w:szCs w:val="32"/>
          <w:lang w:eastAsia="zh-CN"/>
        </w:rPr>
        <w:t>办公电脑等办公设备。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单位自评情况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根据预算绩效管理要求，我部门（单位）对部门整体和</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14116.52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部门整体绩效自评</w:t>
      </w:r>
      <w:r>
        <w:rPr>
          <w:rFonts w:hint="eastAsia" w:ascii="方正仿宋_GBK" w:hAnsi="方正仿宋_GBK" w:eastAsia="方正仿宋_GBK" w:cs="方正仿宋_GBK"/>
          <w:sz w:val="32"/>
          <w:szCs w:val="32"/>
          <w:lang w:eastAsia="zh-CN"/>
        </w:rPr>
        <w:t>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部门整体绩效评价表见附件</w:t>
      </w:r>
      <w:r>
        <w:rPr>
          <w:rFonts w:hint="eastAsia" w:ascii="方正仿宋_GBK" w:hAnsi="方正仿宋_GBK" w:eastAsia="方正仿宋_GBK" w:cs="方正仿宋_GBK"/>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项目支出绩效自评表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选取相关项目支出绩效评价表见附件</w:t>
      </w:r>
      <w:r>
        <w:rPr>
          <w:rFonts w:hint="eastAsia" w:ascii="方正仿宋_GBK" w:hAnsi="方正仿宋_GBK" w:eastAsia="方正仿宋_GBK" w:cs="方正仿宋_GBK"/>
          <w:sz w:val="32"/>
          <w:szCs w:val="32"/>
          <w:lang w:val="en-US" w:eastAsia="zh-CN"/>
        </w:rPr>
        <w:t>2、附件3。</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（二）部门绩效评价情况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我部门（单位）对部门整体和</w:t>
      </w: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7742.39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。如：</w:t>
      </w:r>
      <w:r>
        <w:rPr>
          <w:rFonts w:hint="eastAsia" w:ascii="方正仿宋_GBK" w:hAnsi="方正仿宋_GBK" w:eastAsia="方正仿宋_GBK" w:cs="方正仿宋_GBK"/>
          <w:sz w:val="32"/>
          <w:szCs w:val="32"/>
        </w:rPr>
        <w:t>2024年老旧小区改造</w:t>
      </w:r>
      <w:r>
        <w:rPr>
          <w:rFonts w:hint="eastAsia" w:ascii="方正仿宋_GBK" w:hAnsi="方正仿宋_GBK" w:eastAsia="方正仿宋_GBK" w:cs="方正仿宋_GBK"/>
          <w:sz w:val="32"/>
          <w:szCs w:val="32"/>
          <w:lang w:eastAsia="zh-CN"/>
        </w:rPr>
        <w:t>、2024年人才引进等</w:t>
      </w:r>
      <w:r>
        <w:rPr>
          <w:rFonts w:hint="eastAsia" w:ascii="方正仿宋_GBK" w:hAnsi="方正仿宋_GBK" w:eastAsia="方正仿宋_GBK" w:cs="方正仿宋_GBK"/>
          <w:sz w:val="32"/>
          <w:szCs w:val="32"/>
          <w:lang w:val="en-US" w:eastAsia="zh-CN"/>
        </w:rPr>
        <w:t>20个项目</w:t>
      </w:r>
      <w:r>
        <w:rPr>
          <w:rFonts w:hint="eastAsia" w:ascii="方正仿宋_GBK" w:hAnsi="方正仿宋_GBK" w:eastAsia="方正仿宋_GBK" w:cs="方正仿宋_GBK"/>
          <w:sz w:val="32"/>
          <w:szCs w:val="32"/>
        </w:rPr>
        <w:t>开展了绩效评价，涉及财政拨款项目资金</w:t>
      </w:r>
      <w:r>
        <w:rPr>
          <w:rFonts w:hint="eastAsia" w:ascii="方正仿宋_GBK" w:hAnsi="方正仿宋_GBK" w:eastAsia="方正仿宋_GBK" w:cs="方正仿宋_GBK"/>
          <w:sz w:val="32"/>
          <w:szCs w:val="32"/>
          <w:lang w:val="en-US" w:eastAsia="zh-CN"/>
        </w:rPr>
        <w:t>14116.52</w:t>
      </w:r>
      <w:r>
        <w:rPr>
          <w:rFonts w:hint="eastAsia" w:ascii="方正仿宋_GBK" w:hAnsi="方正仿宋_GBK" w:eastAsia="方正仿宋_GBK" w:cs="方正仿宋_GBK"/>
          <w:sz w:val="32"/>
          <w:szCs w:val="32"/>
        </w:rPr>
        <w:t>万元，评价</w:t>
      </w:r>
      <w:r>
        <w:rPr>
          <w:rFonts w:hint="eastAsia" w:ascii="方正仿宋_GBK" w:hAnsi="方正仿宋_GBK" w:eastAsia="方正仿宋_GBK" w:cs="方正仿宋_GBK"/>
          <w:sz w:val="32"/>
          <w:szCs w:val="32"/>
          <w:lang w:eastAsia="zh-CN"/>
        </w:rPr>
        <w:t>平均</w:t>
      </w:r>
      <w:r>
        <w:rPr>
          <w:rFonts w:hint="eastAsia" w:ascii="方正仿宋_GBK" w:hAnsi="方正仿宋_GBK" w:eastAsia="方正仿宋_GBK" w:cs="方正仿宋_GBK"/>
          <w:sz w:val="32"/>
          <w:szCs w:val="32"/>
        </w:rPr>
        <w:t>得分</w:t>
      </w:r>
      <w:r>
        <w:rPr>
          <w:rFonts w:hint="eastAsia" w:ascii="方正仿宋_GBK" w:hAnsi="方正仿宋_GBK" w:eastAsia="方正仿宋_GBK" w:cs="方正仿宋_GBK"/>
          <w:sz w:val="32"/>
          <w:szCs w:val="32"/>
          <w:lang w:val="en-US" w:eastAsia="zh-CN"/>
        </w:rPr>
        <w:t>94.62</w:t>
      </w:r>
      <w:r>
        <w:rPr>
          <w:rFonts w:hint="eastAsia" w:ascii="方正仿宋_GBK" w:hAnsi="方正仿宋_GBK" w:eastAsia="方正仿宋_GBK" w:cs="方正仿宋_GBK"/>
          <w:sz w:val="32"/>
          <w:szCs w:val="32"/>
        </w:rPr>
        <w:t>分，评价等次为</w:t>
      </w:r>
      <w:r>
        <w:rPr>
          <w:rFonts w:hint="eastAsia" w:ascii="方正仿宋_GBK" w:hAnsi="方正仿宋_GBK" w:eastAsia="方正仿宋_GBK" w:cs="方正仿宋_GBK"/>
          <w:sz w:val="32"/>
          <w:szCs w:val="32"/>
          <w:lang w:eastAsia="zh-CN"/>
        </w:rPr>
        <w:t>优级</w:t>
      </w:r>
      <w:r>
        <w:rPr>
          <w:rFonts w:hint="eastAsia" w:ascii="方正仿宋_GBK" w:hAnsi="方正仿宋_GBK" w:eastAsia="方正仿宋_GBK" w:cs="方正仿宋_GBK"/>
          <w:sz w:val="32"/>
          <w:szCs w:val="32"/>
        </w:rPr>
        <w:t>，绩效评价发现了</w:t>
      </w:r>
      <w:r>
        <w:rPr>
          <w:rFonts w:hint="eastAsia" w:ascii="方正仿宋_GBK" w:hAnsi="方正仿宋_GBK" w:eastAsia="方正仿宋_GBK" w:cs="方正仿宋_GBK"/>
          <w:sz w:val="32"/>
          <w:szCs w:val="32"/>
          <w:lang w:eastAsia="zh-CN"/>
        </w:rPr>
        <w:t>工程投资及工程内容完成率</w:t>
      </w:r>
      <w:r>
        <w:rPr>
          <w:rFonts w:hint="eastAsia" w:ascii="方正仿宋_GBK" w:hAnsi="方正仿宋_GBK" w:eastAsia="方正仿宋_GBK" w:cs="方正仿宋_GBK"/>
          <w:sz w:val="32"/>
          <w:szCs w:val="32"/>
        </w:rPr>
        <w:t>等主要问题，</w:t>
      </w:r>
      <w:r>
        <w:rPr>
          <w:rFonts w:hint="eastAsia" w:ascii="方正仿宋_GBK" w:hAnsi="方正仿宋_GBK" w:eastAsia="方正仿宋_GBK" w:cs="方正仿宋_GBK"/>
          <w:sz w:val="32"/>
          <w:szCs w:val="32"/>
          <w:lang w:eastAsia="zh-CN"/>
        </w:rPr>
        <w:t>下一步工作我委将对项目投资及工程内容完成等工程内容加强管理，力争各项招标均达满分。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（三）财政绩效评价情况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县</w:t>
      </w: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委托第三方对我</w:t>
      </w:r>
      <w:r>
        <w:rPr>
          <w:rFonts w:hint="eastAsia" w:ascii="方正仿宋_GBK" w:hAnsi="方正仿宋_GBK" w:eastAsia="方正仿宋_GBK" w:cs="方正仿宋_GBK"/>
          <w:sz w:val="32"/>
          <w:szCs w:val="32"/>
          <w:lang w:val="en-US" w:eastAsia="zh-CN"/>
        </w:rPr>
        <w:t>部门</w:t>
      </w:r>
      <w:r>
        <w:rPr>
          <w:rFonts w:hint="eastAsia" w:ascii="方正仿宋_GBK" w:hAnsi="方正仿宋_GBK" w:eastAsia="方正仿宋_GBK" w:cs="方正仿宋_GBK"/>
          <w:sz w:val="32"/>
          <w:szCs w:val="32"/>
        </w:rPr>
        <w:t>开展绩效评价</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 xml:space="preserve">    六、专业名词解释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（一）财政拨款收入：</w:t>
      </w:r>
      <w:r>
        <w:rPr>
          <w:rFonts w:hint="eastAsia" w:ascii="方正仿宋_GBK" w:hAnsi="方正仿宋_GBK"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（二）事业收入：</w:t>
      </w:r>
      <w:r>
        <w:rPr>
          <w:rFonts w:hint="eastAsia" w:ascii="方正仿宋_GBK" w:hAnsi="方正仿宋_GBK"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（三）经营收入：</w:t>
      </w:r>
      <w:r>
        <w:rPr>
          <w:rFonts w:hint="eastAsia" w:ascii="方正仿宋_GBK" w:hAnsi="方正仿宋_GBK"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（四）其他收入：</w:t>
      </w:r>
      <w:r>
        <w:rPr>
          <w:rFonts w:hint="eastAsia" w:ascii="方正仿宋_GBK" w:hAnsi="方正仿宋_GBK"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（五）使用非财政拨款结余：</w:t>
      </w:r>
      <w:r>
        <w:rPr>
          <w:rFonts w:hint="eastAsia" w:ascii="方正仿宋_GBK" w:hAnsi="方正仿宋_GBK"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（六）年初结转和结余：</w:t>
      </w:r>
      <w:r>
        <w:rPr>
          <w:rFonts w:hint="eastAsia" w:ascii="方正仿宋_GBK" w:hAnsi="方正仿宋_GBK" w:eastAsia="方正仿宋_GBK" w:cs="方正仿宋_GBK"/>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（七）结余分配：</w:t>
      </w:r>
      <w:r>
        <w:rPr>
          <w:rFonts w:hint="eastAsia" w:ascii="方正仿宋_GBK" w:hAnsi="方正仿宋_GBK"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（八）年末结转和结余：</w:t>
      </w:r>
      <w:r>
        <w:rPr>
          <w:rFonts w:hint="eastAsia" w:ascii="方正仿宋_GBK" w:hAnsi="方正仿宋_GBK" w:eastAsia="方正仿宋_GBK" w:cs="方正仿宋_GBK"/>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（九）基本支出：</w:t>
      </w:r>
      <w:r>
        <w:rPr>
          <w:rFonts w:hint="eastAsia" w:ascii="方正仿宋_GBK" w:hAnsi="方正仿宋_GBK"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（十）项目支出：</w:t>
      </w:r>
      <w:r>
        <w:rPr>
          <w:rFonts w:hint="eastAsia" w:ascii="方正仿宋_GBK" w:hAnsi="方正仿宋_GBK" w:eastAsia="方正仿宋_GBK" w:cs="方正仿宋_GBK"/>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（十一）经营支出：</w:t>
      </w:r>
      <w:r>
        <w:rPr>
          <w:rFonts w:hint="eastAsia" w:ascii="方正仿宋_GBK" w:hAnsi="方正仿宋_GBK" w:eastAsia="方正仿宋_GBK" w:cs="方正仿宋_GBK"/>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（十二）“三公”经费：</w:t>
      </w:r>
      <w:r>
        <w:rPr>
          <w:rFonts w:hint="eastAsia" w:ascii="方正仿宋_GBK" w:hAnsi="方正仿宋_GBK"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（十三）机关运行经费：</w:t>
      </w:r>
      <w:r>
        <w:rPr>
          <w:rFonts w:hint="eastAsia" w:ascii="方正仿宋_GBK" w:hAnsi="方正仿宋_GBK"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（十四）工资福利支出（支出经济分类科目类级）：</w:t>
      </w:r>
      <w:r>
        <w:rPr>
          <w:rFonts w:hint="eastAsia" w:ascii="方正楷体_GBK" w:hAnsi="方正楷体_GBK" w:eastAsia="方正楷体_GBK" w:cs="方正楷体_GBK"/>
          <w:sz w:val="32"/>
          <w:szCs w:val="32"/>
        </w:rPr>
        <w:t>反</w:t>
      </w:r>
      <w:r>
        <w:rPr>
          <w:rFonts w:hint="eastAsia" w:ascii="方正仿宋_GBK" w:hAnsi="方正仿宋_GBK" w:eastAsia="方正仿宋_GBK" w:cs="方正仿宋_GBK"/>
          <w:sz w:val="32"/>
          <w:szCs w:val="32"/>
        </w:rPr>
        <w:t>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（十五）商品和服务支出（支出经济分类科目类级）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（十六）对个人和家庭的补助（支出经济分类科目类级）：</w:t>
      </w:r>
      <w:r>
        <w:rPr>
          <w:rFonts w:hint="eastAsia" w:ascii="方正仿宋_GBK" w:hAnsi="方正仿宋_GBK" w:eastAsia="方正仿宋_GBK" w:cs="方正仿宋_GBK"/>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val="en-US" w:eastAsia="zh-CN"/>
        </w:rPr>
        <w:t>（十七）其他资本性支出（支出经济分类科目类级）：</w:t>
      </w:r>
      <w:r>
        <w:rPr>
          <w:rFonts w:hint="eastAsia" w:ascii="方正仿宋_GBK" w:hAnsi="方正仿宋_GBK"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本单位决算公开信息反馈和联系方式：023-</w:t>
      </w:r>
      <w:r>
        <w:rPr>
          <w:rFonts w:hint="eastAsia" w:ascii="方正仿宋_GBK" w:hAnsi="方正仿宋_GBK" w:eastAsia="方正仿宋_GBK" w:cs="方正仿宋_GBK"/>
          <w:sz w:val="32"/>
          <w:szCs w:val="32"/>
          <w:lang w:val="en-US" w:eastAsia="zh-CN"/>
        </w:rPr>
        <w:t>51520334</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附件：1.</w:t>
      </w:r>
      <w:r>
        <w:rPr>
          <w:rFonts w:hint="eastAsia" w:ascii="方正仿宋_GBK" w:hAnsi="方正仿宋_GBK" w:eastAsia="方正仿宋_GBK" w:cs="方正仿宋_GBK"/>
          <w:kern w:val="0"/>
          <w:sz w:val="32"/>
          <w:szCs w:val="32"/>
          <w:shd w:val="clear" w:fill="FFFFFF"/>
          <w:lang w:eastAsia="zh-CN"/>
        </w:rPr>
        <w:t>部门整体绩效评价表</w:t>
      </w:r>
      <w:r>
        <w:rPr>
          <w:rFonts w:hint="eastAsia" w:ascii="方正仿宋_GBK" w:hAnsi="方正仿宋_GBK" w:eastAsia="方正仿宋_GBK" w:cs="方正仿宋_GBK"/>
          <w:kern w:val="0"/>
          <w:sz w:val="32"/>
          <w:szCs w:val="32"/>
          <w:shd w:val="clear" w:fill="FFFFFF"/>
          <w:lang w:val="en-US" w:eastAsia="zh-CN"/>
        </w:rPr>
        <w:t xml:space="preserve">  </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1606" w:firstLineChars="500"/>
        <w:textAlignment w:val="auto"/>
        <w:rPr>
          <w:rStyle w:val="13"/>
          <w:rFonts w:hint="eastAsia" w:ascii="方正仿宋_GBK" w:hAnsi="方正仿宋_GBK" w:eastAsia="方正仿宋_GBK" w:cs="方正仿宋_GBK"/>
          <w:b/>
          <w:bCs/>
          <w:sz w:val="32"/>
          <w:szCs w:val="32"/>
          <w:shd w:val="clear" w:fill="FFFF00"/>
          <w:lang w:val="en-US" w:eastAsia="zh-CN"/>
        </w:rPr>
      </w:pP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lang w:val="en-US" w:eastAsia="zh-CN"/>
        </w:rPr>
        <w:t xml:space="preserve">2024年人才引进项目绩效自评表 </w:t>
      </w:r>
    </w:p>
    <w:p>
      <w:pPr>
        <w:pStyle w:val="11"/>
        <w:autoSpaceDE w:val="0"/>
        <w:spacing w:line="596" w:lineRule="exact"/>
        <w:ind w:firstLine="1600" w:firstLineChars="500"/>
        <w:jc w:val="both"/>
        <w:rPr>
          <w:rStyle w:val="13"/>
          <w:rFonts w:hint="eastAsia" w:ascii="方正仿宋_GBK" w:hAnsi="方正仿宋_GBK" w:eastAsia="方正仿宋_GBK" w:cs="方正仿宋_GBK"/>
          <w:b/>
          <w:bCs/>
          <w:sz w:val="32"/>
          <w:szCs w:val="32"/>
          <w:shd w:val="clear" w:fill="FFFF00"/>
          <w:lang w:val="en-US" w:eastAsia="zh-CN"/>
        </w:rPr>
        <w:sectPr>
          <w:footerReference r:id="rId3" w:type="default"/>
          <w:pgSz w:w="11915" w:h="16840"/>
          <w:pgMar w:top="1984" w:right="1446" w:bottom="1474" w:left="1446"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lang w:val="en-US" w:eastAsia="zh-CN"/>
        </w:rPr>
        <w:t xml:space="preserve">3.2024年老旧小区改造项目绩效自评表  </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巫溪县住房和城乡建设委员会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15,677.17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4,976.43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10,369.97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15,691.17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15,691.17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15,691.17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15,691.17</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巫溪县住房和城乡建设委员会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15,691.17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15,691.17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4,976.43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4,976.43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小城镇基础设施建设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10,369.97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10,369.97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老旧小区改造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巫溪县住房和城乡建设委员会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15,691.17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1,560.65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14,130.52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4,976.43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1,131.17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2,333.77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1,131.17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425.46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1,202.60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城乡社区公共设施</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小城镇基础设施建设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其他城乡社区公共设施支出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10,369.97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老旧小区改造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9,762.31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巫溪县住房和城乡建设委员会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15,677.17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4,976.43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4,962.43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10,369.97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10,369.97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15,691.17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15,691.17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15,677.17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15,691.17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15,691.17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15,677.17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巫溪县住房和城乡建设委员会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15,677.17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1,560.65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14,116.52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15,677.17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1,560.65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14,116.52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4,962.43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1,131.17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3,831.26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4,962.43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1,131.17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3,831.26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2,333.77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1,131.17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2,333.77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1,131.17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1,202.60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425.46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1,908.30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1,908.30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1,202.60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城乡社区公共设施</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2,628.66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小城镇基础设施建设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其他城乡社区公共设施支出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2,608.46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10,369.97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10,369.97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10,285.26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522.95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老旧小区改造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9,762.31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巫溪县住房和城乡建设委员会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1,296.01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186.37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333.13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129.94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348.01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61.15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1,369.22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191.43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巫溪县住房和城乡建设委员会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巫溪县住房和城乡建设委员会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color w:val="000000"/>
          <w:sz w:val="20"/>
          <w:u w:color="auto"/>
        </w:rPr>
        <w:t>本</w:t>
      </w:r>
      <w:r>
        <w:rPr>
          <w:rFonts w:hint="eastAsia"/>
          <w:color w:val="000000"/>
          <w:sz w:val="20"/>
          <w:u w:color="auto"/>
          <w:lang w:val="en-US" w:eastAsia="zh-CN"/>
        </w:rPr>
        <w:t>部门</w:t>
      </w:r>
      <w:r>
        <w:rPr>
          <w:color w:val="000000"/>
          <w:sz w:val="20"/>
          <w:u w:color="auto"/>
        </w:rPr>
        <w:t>无该项收支，故此表无数据</w:t>
      </w:r>
      <w:r>
        <w:rPr>
          <w:rFonts w:hint="eastAsia"/>
          <w:color w:val="000000"/>
          <w:sz w:val="20"/>
          <w:u w:color="auto"/>
          <w:lang w:eastAsia="zh-CN"/>
        </w:rPr>
        <w:t>。</w:t>
      </w:r>
      <w:r>
        <w:rPr>
          <w:rFonts w:hint="eastAsia" w:ascii="宋体" w:hAnsi="宋体" w:eastAsia="宋体" w:cs="宋体"/>
          <w:sz w:val="21"/>
          <w:szCs w:val="21"/>
        </w:rPr>
        <w:br w:type="page"/>
      </w:r>
    </w:p>
    <w:tbl>
      <w:tblPr>
        <w:tblStyle w:val="8"/>
        <w:tblW w:w="200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巫溪县住房和城乡建设委员会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19.29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default" w:ascii="宋体" w:hAnsi="宋体" w:eastAsia="宋体" w:cs="宋体"/>
          <w:sz w:val="21"/>
          <w:szCs w:val="21"/>
        </w:rPr>
      </w:pPr>
    </w:p>
    <w:p>
      <w:pPr>
        <w:pStyle w:val="11"/>
        <w:autoSpaceDE w:val="0"/>
        <w:ind w:firstLine="0" w:firstLineChars="0"/>
        <w:rPr>
          <w:rFonts w:hint="eastAsia" w:cs="宋体"/>
          <w:sz w:val="21"/>
          <w:szCs w:val="21"/>
          <w:lang w:val="en-US" w:eastAsia="zh-CN"/>
        </w:rPr>
      </w:pPr>
      <w:r>
        <w:rPr>
          <w:rFonts w:hint="eastAsia" w:ascii="方正黑体_GBK" w:hAnsi="方正黑体_GBK" w:eastAsia="方正黑体_GBK" w:cs="方正黑体_GBK"/>
          <w:sz w:val="32"/>
          <w:szCs w:val="32"/>
          <w:lang w:val="en-US" w:eastAsia="zh-CN"/>
        </w:rPr>
        <w:t>附件1</w:t>
      </w:r>
    </w:p>
    <w:p>
      <w:pPr>
        <w:pStyle w:val="11"/>
        <w:autoSpaceDE w:val="0"/>
        <w:ind w:firstLine="0" w:firstLineChars="0"/>
        <w:jc w:val="center"/>
        <w:rPr>
          <w:rFonts w:hint="default" w:cs="宋体"/>
          <w:sz w:val="21"/>
          <w:szCs w:val="21"/>
          <w:lang w:val="en-US" w:eastAsia="zh-CN"/>
        </w:rPr>
      </w:pPr>
      <w:r>
        <w:rPr>
          <w:rFonts w:hint="default" w:cs="宋体"/>
          <w:sz w:val="21"/>
          <w:szCs w:val="21"/>
          <w:lang w:val="en-US" w:eastAsia="zh-CN"/>
        </w:rPr>
        <w:object>
          <v:shape id="_x0000_i1025" o:spt="75" type="#_x0000_t75" style="height:597.6pt;width:858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r>
        <w:rPr>
          <w:rFonts w:hint="eastAsia" w:ascii="方正黑体_GBK" w:hAnsi="方正黑体_GBK" w:eastAsia="方正黑体_GBK" w:cs="方正黑体_GBK"/>
          <w:sz w:val="32"/>
          <w:szCs w:val="32"/>
          <w:lang w:val="en-US" w:eastAsia="zh-CN"/>
        </w:rPr>
        <w:t>附件2</w:t>
      </w:r>
    </w:p>
    <w:p>
      <w:pPr>
        <w:pStyle w:val="11"/>
        <w:autoSpaceDE w:val="0"/>
        <w:ind w:firstLine="0" w:firstLineChars="0"/>
        <w:jc w:val="center"/>
        <w:rPr>
          <w:rFonts w:hint="default" w:cs="宋体"/>
          <w:sz w:val="21"/>
          <w:szCs w:val="21"/>
          <w:lang w:val="en-US" w:eastAsia="zh-CN"/>
        </w:rPr>
      </w:pPr>
      <w:r>
        <w:rPr>
          <w:rFonts w:hint="default" w:cs="宋体"/>
          <w:sz w:val="21"/>
          <w:szCs w:val="21"/>
          <w:lang w:val="en-US" w:eastAsia="zh-CN"/>
        </w:rPr>
        <w:object>
          <v:shape id="_x0000_i1026" o:spt="75" type="#_x0000_t75" style="height:543pt;width:941.4pt;" o:ole="t" filled="f" o:preferrelative="t" stroked="f" coordsize="21600,21600">
            <v:path/>
            <v:fill on="f" focussize="0,0"/>
            <v:stroke on="f"/>
            <v:imagedata r:id="rId10" o:title=""/>
            <o:lock v:ext="edit" aspectratio="f"/>
            <w10:wrap type="none"/>
            <w10:anchorlock/>
          </v:shape>
          <o:OLEObject Type="Embed" ProgID="Excel.Sheet.12" ShapeID="_x0000_i1026" DrawAspect="Content" ObjectID="_1468075726" r:id="rId9">
            <o:LockedField>false</o:LockedField>
          </o:OLEObject>
        </w:object>
      </w: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default" w:cs="宋体"/>
          <w:sz w:val="21"/>
          <w:szCs w:val="21"/>
          <w:lang w:val="en-US" w:eastAsia="zh-CN"/>
        </w:rPr>
      </w:pPr>
    </w:p>
    <w:p>
      <w:pPr>
        <w:pStyle w:val="11"/>
        <w:autoSpaceDE w:val="0"/>
        <w:ind w:firstLine="0" w:firstLineChars="0"/>
        <w:rPr>
          <w:rFonts w:hint="eastAsia" w:ascii="方正黑体_GBK" w:hAnsi="方正黑体_GBK" w:eastAsia="方正黑体_GBK" w:cs="方正黑体_GBK"/>
          <w:sz w:val="32"/>
          <w:szCs w:val="32"/>
          <w:lang w:val="en-US" w:eastAsia="zh-CN"/>
        </w:rPr>
      </w:pPr>
    </w:p>
    <w:p>
      <w:pPr>
        <w:pStyle w:val="11"/>
        <w:autoSpaceDE w:val="0"/>
        <w:ind w:firstLine="0" w:firstLineChars="0"/>
        <w:rPr>
          <w:rFonts w:hint="eastAsia" w:ascii="方正黑体_GBK" w:hAnsi="方正黑体_GBK" w:eastAsia="方正黑体_GBK" w:cs="方正黑体_GBK"/>
          <w:sz w:val="32"/>
          <w:szCs w:val="32"/>
          <w:lang w:val="en-US" w:eastAsia="zh-CN"/>
        </w:rPr>
      </w:pPr>
    </w:p>
    <w:p>
      <w:pPr>
        <w:pStyle w:val="11"/>
        <w:autoSpaceDE w:val="0"/>
        <w:ind w:firstLine="0" w:firstLineChars="0"/>
        <w:rPr>
          <w:rFonts w:hint="eastAsia" w:ascii="方正黑体_GBK" w:hAnsi="方正黑体_GBK" w:eastAsia="方正黑体_GBK" w:cs="方正黑体_GBK"/>
          <w:sz w:val="32"/>
          <w:szCs w:val="32"/>
          <w:lang w:val="en-US" w:eastAsia="zh-CN"/>
        </w:rPr>
      </w:pPr>
    </w:p>
    <w:p>
      <w:pPr>
        <w:pStyle w:val="11"/>
        <w:autoSpaceDE w:val="0"/>
        <w:ind w:firstLine="0" w:firstLineChars="0"/>
        <w:rPr>
          <w:rFonts w:hint="eastAsia" w:ascii="方正黑体_GBK" w:hAnsi="方正黑体_GBK" w:eastAsia="方正黑体_GBK" w:cs="方正黑体_GBK"/>
          <w:sz w:val="32"/>
          <w:szCs w:val="32"/>
          <w:lang w:val="en-US" w:eastAsia="zh-CN"/>
        </w:rPr>
      </w:pPr>
    </w:p>
    <w:p>
      <w:pPr>
        <w:pStyle w:val="11"/>
        <w:autoSpaceDE w:val="0"/>
        <w:ind w:firstLine="0" w:firstLineChars="0"/>
        <w:rPr>
          <w:rFonts w:hint="default" w:cs="宋体"/>
          <w:sz w:val="21"/>
          <w:szCs w:val="21"/>
          <w:lang w:val="en-US" w:eastAsia="zh-CN"/>
        </w:rPr>
      </w:pPr>
      <w:r>
        <w:rPr>
          <w:rFonts w:hint="eastAsia" w:ascii="方正黑体_GBK" w:hAnsi="方正黑体_GBK" w:eastAsia="方正黑体_GBK" w:cs="方正黑体_GBK"/>
          <w:sz w:val="32"/>
          <w:szCs w:val="32"/>
          <w:lang w:val="en-US" w:eastAsia="zh-CN"/>
        </w:rPr>
        <w:t>附件3</w:t>
      </w:r>
    </w:p>
    <w:p>
      <w:pPr>
        <w:pStyle w:val="11"/>
        <w:autoSpaceDE w:val="0"/>
        <w:ind w:firstLine="0" w:firstLineChars="0"/>
        <w:jc w:val="center"/>
        <w:rPr>
          <w:rFonts w:hint="default" w:cs="宋体"/>
          <w:sz w:val="21"/>
          <w:szCs w:val="21"/>
          <w:lang w:val="en-US" w:eastAsia="zh-CN"/>
        </w:rPr>
      </w:pPr>
      <w:r>
        <w:rPr>
          <w:rFonts w:hint="default" w:cs="宋体"/>
          <w:sz w:val="21"/>
          <w:szCs w:val="21"/>
          <w:lang w:val="en-US" w:eastAsia="zh-CN"/>
        </w:rPr>
        <w:object>
          <v:shape id="_x0000_i1027" o:spt="75" type="#_x0000_t75" style="height:568.2pt;width:941.4pt;" o:ole="t" filled="f" o:preferrelative="t" stroked="f" coordsize="21600,21600">
            <v:path/>
            <v:fill on="f" focussize="0,0"/>
            <v:stroke on="f"/>
            <v:imagedata r:id="rId12" o:title=""/>
            <o:lock v:ext="edit" aspectratio="f"/>
            <w10:wrap type="none"/>
            <w10:anchorlock/>
          </v:shape>
          <o:OLEObject Type="Embed" ProgID="Excel.Sheet.12" ShapeID="_x0000_i1027" DrawAspect="Content" ObjectID="_1468075727" r:id="rId11">
            <o:LockedField>false</o:LockedField>
          </o:OLEObject>
        </w:object>
      </w: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663A9C"/>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395C9C"/>
    <w:rsid w:val="13850DCB"/>
    <w:rsid w:val="13871C70"/>
    <w:rsid w:val="13A71CB4"/>
    <w:rsid w:val="13AF1D43"/>
    <w:rsid w:val="13CE1647"/>
    <w:rsid w:val="14200702"/>
    <w:rsid w:val="142F2D45"/>
    <w:rsid w:val="144F3F11"/>
    <w:rsid w:val="14E270A5"/>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691C72"/>
    <w:rsid w:val="2A73162E"/>
    <w:rsid w:val="2AFA2E94"/>
    <w:rsid w:val="2B167953"/>
    <w:rsid w:val="2B200583"/>
    <w:rsid w:val="2B8209DE"/>
    <w:rsid w:val="2B972A36"/>
    <w:rsid w:val="2C6762A3"/>
    <w:rsid w:val="2C97270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173F13"/>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6E2BAC"/>
    <w:rsid w:val="48A36D47"/>
    <w:rsid w:val="495C4A24"/>
    <w:rsid w:val="49823723"/>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04F298A"/>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2F7271"/>
    <w:rsid w:val="64FB113D"/>
    <w:rsid w:val="6544377C"/>
    <w:rsid w:val="655F5939"/>
    <w:rsid w:val="656152C6"/>
    <w:rsid w:val="6587477F"/>
    <w:rsid w:val="658C3A08"/>
    <w:rsid w:val="65C031CA"/>
    <w:rsid w:val="65CE6852"/>
    <w:rsid w:val="65E71D90"/>
    <w:rsid w:val="65F004F9"/>
    <w:rsid w:val="66267C04"/>
    <w:rsid w:val="663F505A"/>
    <w:rsid w:val="667F2393"/>
    <w:rsid w:val="66EE5541"/>
    <w:rsid w:val="67086152"/>
    <w:rsid w:val="687E45FE"/>
    <w:rsid w:val="692172FD"/>
    <w:rsid w:val="6A3829EE"/>
    <w:rsid w:val="6A924CB7"/>
    <w:rsid w:val="6AA336FB"/>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2DF37DC"/>
    <w:rsid w:val="742A78A7"/>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D7AF02"/>
    <w:rsid w:val="7FF723E4"/>
    <w:rsid w:val="9FFD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qFormat/>
    <w:uiPriority w:val="0"/>
    <w:pPr>
      <w:outlineLvl w:val="1"/>
    </w:pPr>
    <w:rPr>
      <w:rFonts w:cs="宋体"/>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9568</Words>
  <Characters>12074</Characters>
  <Lines>161</Lines>
  <Paragraphs>45</Paragraphs>
  <TotalTime>20</TotalTime>
  <ScaleCrop>false</ScaleCrop>
  <LinksUpToDate>false</LinksUpToDate>
  <CharactersWithSpaces>12560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GreatWall</cp:lastModifiedBy>
  <dcterms:modified xsi:type="dcterms:W3CDTF">2025-09-23T16:44:51Z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235DA143E87DC6CB515CD268033CA986</vt:lpwstr>
  </property>
  <property fmtid="{D5CDD505-2E9C-101B-9397-08002B2CF9AE}" pid="4" name="KSOTemplateDocerSaveRecord">
    <vt:lpwstr>eyJoZGlkIjoiNmUzYjY1NzJkN2ZjZDBiMjhjMzM3OGUzNjVlNWI5YjIifQ==</vt:lpwstr>
  </property>
</Properties>
</file>