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重庆市</w:t>
      </w:r>
      <w:r>
        <w:rPr>
          <w:rFonts w:ascii="方正小标宋_GBK" w:hAnsi="方正小标宋_GBK" w:eastAsia="方正小标宋_GBK" w:cs="方正小标宋_GBK"/>
          <w:b w:val="0"/>
          <w:bCs w:val="0"/>
          <w:sz w:val="44"/>
          <w:szCs w:val="44"/>
        </w:rPr>
        <w:t>巫溪县城市管理局</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321" w:firstLineChars="100"/>
        <w:textAlignment w:val="auto"/>
        <w:rPr>
          <w:rStyle w:val="10"/>
          <w:rFonts w:ascii="黑体" w:hAnsi="黑体" w:eastAsia="黑体" w:cs="黑体"/>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部门</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（一）职能职责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巫溪县城市管理局贯彻落实党中央、国务院和市委 、市政府关于城市管理工作的方针政策和决策部署以及县委、县政府的工作部署，在履行职责过程中坚持和加强党对城市管理工作的集中统一领导。主要职责是：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贯彻执行有关市政公用设施运行管理、市容环境卫生管理、城市规划区内供水节水管理、城市管理执法、园林绿化管理等城市管理方面的法律、法规、规章和方针政策，负责编制全县市政基础设施、园林绿化、市容环境卫生等方面的发展规划、年度计划并监督执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负责城市道路、桥梁、隧道等市政基础设施的维护管理，负责城市道路照明、景观照明等城市照明设施的建设、维护和管理，负责市政设施维护许可的管理。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环境卫生管理。负责城市生活垃圾、建筑垃圾、水域垃圾的管理，负责城市环境卫生设施、生活垃圾处置和生活垃圾经营性服务的管理，负责农村生活垃圾治理的业务指导和监督管理。负责城区垃圾处置费征收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负责城市供水、节水的监督管理，负责城市供水水质的监督管理，负责城市二次供水管理。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负责城市规划区内户外广告、店招店牌、户外灯饰的设置管理工作。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市政公用、市容环卫、园林绿化、城市供水排水、规划方面涉及城市违法建筑执法以及环保、市场监管、交通、水利、规划等方面与城市管理密切相关的行政处罚及与之相关的行政检查、行政强制等城市管理综合行政执法工作，具体执法交由巫溪县城市管理综合行政执法支队承担，并以部门名义统一执法。指导乡镇（街道）有关综合行政执法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负责城市园林绿化管理，规范园林绿化市场，组织开展城市义务植树活动。负责城市规划区内古树名木的保护管理工作和园林植物保护工作。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负责本行业工程建设项目的监督管理工作。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负责综合性公园、专类公园、游艺机游乐园、社区公园等城市公园行业管理，指导城市公园紧急避难场地的规划、建设、保护工作。负责城区公共绿地的建设、维护与管理。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依法审查和审批临时占用城市绿地和移伐树木以及集中绿化事项。负责对城市建设项目附属绿化工程设计方案审查及指标核准，组织编制绿地系统规划和夜景灯饰审核认定。负责城市园林绿化工程项目的竣工验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负责城市管理行业安全生产工作的监督、管理和指导，负责城市管理行业应急管理、应对处置的组织、协调和指导。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负责编制市政环卫基础设施、园林绿化的建设、维护、管理资金计划并监督实施。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负责城市数字化管理工作。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负责城区主次干道路内停车管理工作，负责城市规划区内停车场管理的指导、协调和监督。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完成县委、县政府交办的其他任务。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职能转变。巫溪县城市管理局统一行使城市管理责任，构建政府主导、社会组织和公众共同参与的城市管理和综合执法体系，进一步推进城市管理体制改革创新，整合优化城市管理资源，疏堵结合，标本兼治，远近统筹，上下联动，建立起决策科学、执行顺畅、监督有力的城市管理体制机制，全面提升城市综合管理质量和水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根据中共巫溪县委办公室和巫溪县人民政府办公室关于印发《巫溪县城市管理局职能配置、内设机构和人员编制规定 》的通知（巫溪委办发【2019】64号）三定方案规定，</w:t>
      </w:r>
      <w:r>
        <w:rPr>
          <w:rFonts w:hint="eastAsia" w:ascii="方正仿宋_GBK" w:hAnsi="方正仿宋_GBK" w:eastAsia="方正仿宋_GBK" w:cs="方正仿宋_GBK"/>
          <w:sz w:val="32"/>
          <w:szCs w:val="32"/>
          <w:lang w:eastAsia="zh-CN"/>
        </w:rPr>
        <w:t>巫溪县</w:t>
      </w:r>
      <w:r>
        <w:rPr>
          <w:rFonts w:hint="eastAsia" w:ascii="方正仿宋_GBK" w:hAnsi="方正仿宋_GBK" w:eastAsia="方正仿宋_GBK" w:cs="方正仿宋_GBK"/>
          <w:sz w:val="32"/>
          <w:szCs w:val="32"/>
        </w:rPr>
        <w:t>城市管理局是县政府工作部门，为正科级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本年度我单位仍有1个本级二级单位和下属4个事业单位（分别是巫溪县环境卫生管理所、巫溪县公园绿化管理所、巫溪县市政设施管理所、巫溪县城市管理综合行政执法支队）。2024年7月根据巫溪委办发【2024】7号文件要求，县城市管理局合并至县住房城乡建委，相关职能及下属单位一并划转。</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部门</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1.总体情况</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度收入总计9060.80万元，支出总计9060.80万元。收、支与2023年度相比，增加822.84万元，增长10.0%，主要原因是</w:t>
      </w:r>
      <w:r>
        <w:rPr>
          <w:rFonts w:hint="eastAsia" w:ascii="方正仿宋_GBK" w:hAnsi="方正仿宋_GBK" w:eastAsia="方正仿宋_GBK" w:cs="方正仿宋_GBK"/>
          <w:sz w:val="32"/>
          <w:szCs w:val="32"/>
          <w:lang w:val="en-US" w:eastAsia="zh-CN"/>
        </w:rPr>
        <w:t>2024年度开始，我县生活垃圾运送至奉节县焚烧处置以及城区扩容管理管护区域扩大，县级追加资金增加。</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度收入合计9060.80万元，与2023年度相比，增加822.84万元，增长10.0%，主要原因是</w:t>
      </w:r>
      <w:r>
        <w:rPr>
          <w:rFonts w:hint="eastAsia" w:ascii="方正仿宋_GBK" w:hAnsi="方正仿宋_GBK" w:eastAsia="方正仿宋_GBK" w:cs="方正仿宋_GBK"/>
          <w:sz w:val="32"/>
          <w:szCs w:val="32"/>
          <w:lang w:val="en-US" w:eastAsia="zh-CN"/>
        </w:rPr>
        <w:t>2024年度开始，我县生活垃圾运送至奉节县焚烧处置以及城区扩容管理管护区域扩大，县级追加资金增加。</w:t>
      </w:r>
      <w:r>
        <w:rPr>
          <w:rFonts w:hint="eastAsia" w:ascii="方正仿宋_GBK" w:hAnsi="方正仿宋_GBK" w:eastAsia="方正仿宋_GBK" w:cs="方正仿宋_GBK"/>
          <w:sz w:val="32"/>
          <w:szCs w:val="32"/>
        </w:rPr>
        <w:t>其中：财政拨款收入9060.80万元，占100.00%；事业收入0.00万元，占0.00%；经营收入0.00万元，占0.00%；其他收入0.00万元，占0.00%。此外，使用非财政拨款结余和专用结余0.00万元，年初结转和结余0.00万元。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3.支出情况。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度支出合计9060.80万元，与2023年度相比，增加822.84万元，增长10.0%，主要原因是</w:t>
      </w:r>
      <w:r>
        <w:rPr>
          <w:rFonts w:hint="eastAsia" w:ascii="方正仿宋_GBK" w:hAnsi="方正仿宋_GBK" w:eastAsia="方正仿宋_GBK" w:cs="方正仿宋_GBK"/>
          <w:sz w:val="32"/>
          <w:szCs w:val="32"/>
          <w:lang w:val="en-US" w:eastAsia="zh-CN"/>
        </w:rPr>
        <w:t>2024年度开始，我县生活垃圾运送至奉节县焚烧处置以及城区扩容管理管护区域扩大，县级追加资金增加。</w:t>
      </w:r>
      <w:r>
        <w:rPr>
          <w:rFonts w:hint="eastAsia" w:ascii="方正仿宋_GBK" w:hAnsi="方正仿宋_GBK" w:eastAsia="方正仿宋_GBK" w:cs="方正仿宋_GBK"/>
          <w:sz w:val="32"/>
          <w:szCs w:val="32"/>
        </w:rPr>
        <w:t>其中：基本支出1318.41万元，占14.55%；项目支出7742.39万元，占85.45%；经营支出0.00万元，占0.00%。此外，结余分配0.00万元。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b/>
          <w:bCs/>
          <w:sz w:val="32"/>
          <w:szCs w:val="32"/>
          <w:lang w:val="en-US" w:eastAsia="zh-CN"/>
        </w:rPr>
        <w:t>4.结转结余情况。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度年末结转和结余0.00万元，与2023年度相比，无增减</w:t>
      </w:r>
      <w:r>
        <w:rPr>
          <w:rFonts w:hint="eastAsia" w:ascii="方正仿宋_GBK" w:hAnsi="方正仿宋_GBK" w:eastAsia="方正仿宋_GBK" w:cs="方正仿宋_GBK"/>
          <w:sz w:val="32"/>
          <w:szCs w:val="32"/>
          <w:lang w:eastAsia="zh-CN"/>
        </w:rPr>
        <w:t>，主要原因在于我单位</w:t>
      </w:r>
      <w:r>
        <w:rPr>
          <w:rFonts w:hint="eastAsia" w:ascii="方正仿宋_GBK" w:hAnsi="方正仿宋_GBK" w:eastAsia="方正仿宋_GBK" w:cs="方正仿宋_GBK"/>
          <w:sz w:val="32"/>
          <w:szCs w:val="32"/>
          <w:lang w:val="en-US" w:eastAsia="zh-CN"/>
        </w:rPr>
        <w:t>2024年度实行零结转。</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度财政拨款收、支总计9060.80万元。与202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年相比，财政拨款收、支总计各增加822.84万元，增长10.0%。主要原因是</w:t>
      </w:r>
      <w:r>
        <w:rPr>
          <w:rFonts w:hint="eastAsia" w:ascii="方正仿宋_GBK" w:hAnsi="方正仿宋_GBK" w:eastAsia="方正仿宋_GBK" w:cs="方正仿宋_GBK"/>
          <w:sz w:val="32"/>
          <w:szCs w:val="32"/>
          <w:lang w:val="en-US" w:eastAsia="zh-CN"/>
        </w:rPr>
        <w:t>2024年度开始，我县生活垃圾运送至奉节县焚烧处置以及城区扩容管理管护区域扩大，县级追加资金增加。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1.收入情况。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度一般公共预算财政拨款收入8941.60万元，与2023年度相比，增加833.64万元，增长10.3%。主要原因是</w:t>
      </w:r>
      <w:r>
        <w:rPr>
          <w:rFonts w:hint="eastAsia" w:ascii="方正仿宋_GBK" w:hAnsi="方正仿宋_GBK" w:eastAsia="方正仿宋_GBK" w:cs="方正仿宋_GBK"/>
          <w:sz w:val="32"/>
          <w:szCs w:val="32"/>
          <w:lang w:val="en-US" w:eastAsia="zh-CN"/>
        </w:rPr>
        <w:t>主要原因在于2024年度开始，我县生活垃圾运送至奉节县焚烧处置以及城区扩容管理管护区域扩大，县级追加资金增加。</w:t>
      </w:r>
      <w:r>
        <w:rPr>
          <w:rFonts w:hint="eastAsia" w:ascii="方正仿宋_GBK" w:hAnsi="方正仿宋_GBK" w:eastAsia="方正仿宋_GBK" w:cs="方正仿宋_GBK"/>
          <w:sz w:val="32"/>
          <w:szCs w:val="32"/>
        </w:rPr>
        <w:t>较年初预算数增加1939.13万元，增长27.7%。主要原因是</w:t>
      </w:r>
      <w:r>
        <w:rPr>
          <w:rFonts w:hint="eastAsia" w:ascii="方正仿宋_GBK" w:hAnsi="方正仿宋_GBK" w:eastAsia="方正仿宋_GBK" w:cs="方正仿宋_GBK"/>
          <w:sz w:val="32"/>
          <w:szCs w:val="32"/>
          <w:lang w:val="en-US" w:eastAsia="zh-CN"/>
        </w:rPr>
        <w:t>2024年度开始，我县生活垃圾运送至奉节县焚烧处置以及城区扩容管理管护区域扩大，县级追加资金增加。</w:t>
      </w:r>
      <w:r>
        <w:rPr>
          <w:rFonts w:hint="eastAsia" w:ascii="方正仿宋_GBK" w:hAnsi="方正仿宋_GBK" w:eastAsia="方正仿宋_GBK" w:cs="方正仿宋_GBK"/>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度一般公共预算财政拨款支出8941.60万元，与2023年度相比，增加833.64万元，增长10.3%。</w:t>
      </w:r>
      <w:r>
        <w:rPr>
          <w:rFonts w:hint="eastAsia" w:ascii="方正仿宋_GBK" w:hAnsi="方正仿宋_GBK" w:eastAsia="方正仿宋_GBK" w:cs="方正仿宋_GBK"/>
          <w:sz w:val="32"/>
          <w:szCs w:val="32"/>
          <w:lang w:val="en-US" w:eastAsia="zh-CN"/>
        </w:rPr>
        <w:t>主要原因在于2024年度开始，我县生活垃圾运送至奉节县焚烧处置以及城区扩容管理管护区域扩大，县级追加资金增加。</w:t>
      </w:r>
      <w:r>
        <w:rPr>
          <w:rFonts w:hint="eastAsia" w:ascii="方正仿宋_GBK" w:hAnsi="方正仿宋_GBK" w:eastAsia="方正仿宋_GBK" w:cs="方正仿宋_GBK"/>
          <w:sz w:val="32"/>
          <w:szCs w:val="32"/>
        </w:rPr>
        <w:t>较年初预算数增加1939.13万元，增长27.7%。主要原因是</w:t>
      </w:r>
      <w:r>
        <w:rPr>
          <w:rFonts w:hint="eastAsia" w:ascii="方正仿宋_GBK" w:hAnsi="方正仿宋_GBK" w:eastAsia="方正仿宋_GBK" w:cs="方正仿宋_GBK"/>
          <w:sz w:val="32"/>
          <w:szCs w:val="32"/>
          <w:lang w:val="en-US" w:eastAsia="zh-CN"/>
        </w:rPr>
        <w:t>2024年度开始，我县生活垃圾运送至奉节县焚烧处置以及城区扩容管理管护区域扩大，县级追加资金增加。</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3.结转结余情况</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度年末一般公共预算财政拨款结转和结余0.00万元，与2023年度相比，无增减</w:t>
      </w:r>
      <w:r>
        <w:rPr>
          <w:rFonts w:hint="eastAsia" w:ascii="方正仿宋_GBK" w:hAnsi="方正仿宋_GBK" w:eastAsia="方正仿宋_GBK" w:cs="方正仿宋_GBK"/>
          <w:sz w:val="32"/>
          <w:szCs w:val="32"/>
          <w:lang w:eastAsia="zh-CN"/>
        </w:rPr>
        <w:t>，主要原因在于我单位</w:t>
      </w:r>
      <w:r>
        <w:rPr>
          <w:rFonts w:hint="eastAsia" w:ascii="方正仿宋_GBK" w:hAnsi="方正仿宋_GBK" w:eastAsia="方正仿宋_GBK" w:cs="方正仿宋_GBK"/>
          <w:sz w:val="32"/>
          <w:szCs w:val="32"/>
          <w:lang w:val="en-US" w:eastAsia="zh-CN"/>
        </w:rPr>
        <w:t>2024年度实行零结转</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 xml:space="preserve"> 4.比较情况。</w:t>
      </w:r>
      <w:r>
        <w:rPr>
          <w:rFonts w:hint="eastAsia" w:ascii="方正仿宋_GBK" w:hAnsi="方正仿宋_GBK" w:eastAsia="方正仿宋_GBK" w:cs="方正仿宋_GBK"/>
          <w:sz w:val="32"/>
          <w:szCs w:val="32"/>
        </w:rPr>
        <w:t>本部门</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社会保障与就业支出250.69万元，占2.80%，较年初预算数增加57.22万元，增长29.6%，主要原因是</w:t>
      </w:r>
      <w:r>
        <w:rPr>
          <w:rFonts w:hint="eastAsia" w:ascii="方正仿宋_GBK" w:hAnsi="方正仿宋_GBK" w:eastAsia="方正仿宋_GBK" w:cs="方正仿宋_GBK"/>
          <w:sz w:val="32"/>
          <w:szCs w:val="32"/>
          <w:lang w:eastAsia="zh-CN"/>
        </w:rPr>
        <w:t>补缴了部分养老保险和职业年金。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）卫生健康支出64.84万元，占0.73%，较年初预算数无增减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主要原因在于我部门严格执行年初预算。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）节能环保支出87.00万元，占0.97%，较年初预算数无增减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主要原因在于我部门严格执行年初预算。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）城乡社区支出8057.61万元，占90.11%，较年初预算数增加1480.43万元，增长22.5%，主要原因是</w:t>
      </w:r>
      <w:r>
        <w:rPr>
          <w:rFonts w:hint="eastAsia" w:ascii="方正仿宋_GBK" w:hAnsi="方正仿宋_GBK" w:eastAsia="方正仿宋_GBK" w:cs="方正仿宋_GBK"/>
          <w:sz w:val="32"/>
          <w:szCs w:val="32"/>
          <w:lang w:val="en-US" w:eastAsia="zh-CN"/>
        </w:rPr>
        <w:t>2024年度开始，我县生活垃圾运送至奉节县焚烧处置以及城区扩容管理管护区域扩大，县级追加资金增加。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）农林水支出401.49万元，占4.49%，较年初预算数增加401.49万元，增长100.0%，主要原因是</w:t>
      </w:r>
      <w:r>
        <w:rPr>
          <w:rFonts w:hint="eastAsia" w:ascii="方正仿宋_GBK" w:hAnsi="方正仿宋_GBK" w:eastAsia="方正仿宋_GBK" w:cs="方正仿宋_GBK"/>
          <w:sz w:val="32"/>
          <w:szCs w:val="32"/>
          <w:lang w:eastAsia="zh-CN"/>
        </w:rPr>
        <w:t>增加了其他巩固脱贫攻坚成果衔接乡村振兴项目支出。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）住房保障支出79.97万元，占0.89%，较年初预算数无增减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主要原因在于我部门严格执行年初预算。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w:t>
      </w:r>
      <w:r>
        <w:rPr>
          <w:rFonts w:hint="eastAsia" w:ascii="方正仿宋_GBK" w:hAnsi="方正仿宋_GBK" w:eastAsia="方正仿宋_GBK" w:cs="方正仿宋_GBK"/>
          <w:sz w:val="32"/>
          <w:szCs w:val="32"/>
          <w:lang w:val="en-US" w:eastAsia="zh-CN"/>
        </w:rPr>
        <w:t>预算</w:t>
      </w:r>
      <w:r>
        <w:rPr>
          <w:rFonts w:hint="eastAsia" w:ascii="方正仿宋_GBK" w:hAnsi="方正仿宋_GBK" w:eastAsia="方正仿宋_GBK" w:cs="方正仿宋_GBK"/>
          <w:sz w:val="32"/>
          <w:szCs w:val="32"/>
        </w:rPr>
        <w:t>财政拨款基本支出1318.41万元。其中：人员经费1191.72万元，与2023年度相比，减少358.79万元，下降23.1%，主要原因是</w:t>
      </w:r>
      <w:r>
        <w:rPr>
          <w:rFonts w:hint="eastAsia" w:ascii="方正仿宋_GBK" w:hAnsi="方正仿宋_GBK" w:eastAsia="方正仿宋_GBK" w:cs="方正仿宋_GBK"/>
          <w:sz w:val="32"/>
          <w:szCs w:val="32"/>
          <w:lang w:val="en-US" w:eastAsia="zh-CN"/>
        </w:rPr>
        <w:t>机构改革，我单位合并到县住房城乡建委，自2024年7月部分人员支出经费预算调剂到建委支付。</w:t>
      </w:r>
      <w:r>
        <w:rPr>
          <w:rFonts w:hint="eastAsia" w:ascii="方正仿宋_GBK" w:hAnsi="方正仿宋_GBK" w:eastAsia="方正仿宋_GBK" w:cs="方正仿宋_GBK"/>
          <w:sz w:val="32"/>
          <w:szCs w:val="32"/>
        </w:rPr>
        <w:t>人员经费用途主要包括</w:t>
      </w:r>
      <w:r>
        <w:rPr>
          <w:rFonts w:hint="eastAsia" w:ascii="方正仿宋_GBK" w:hAnsi="方正仿宋_GBK" w:eastAsia="方正仿宋_GBK" w:cs="方正仿宋_GBK"/>
          <w:sz w:val="32"/>
          <w:szCs w:val="32"/>
          <w:lang w:eastAsia="zh-CN"/>
        </w:rPr>
        <w:t>人员基本工资、津贴补贴、奖金、绩效工资、社会保障以及住房公积金支出等。</w:t>
      </w:r>
      <w:r>
        <w:rPr>
          <w:rFonts w:hint="eastAsia" w:ascii="方正仿宋_GBK" w:hAnsi="方正仿宋_GBK" w:eastAsia="方正仿宋_GBK" w:cs="方正仿宋_GBK"/>
          <w:sz w:val="32"/>
          <w:szCs w:val="32"/>
        </w:rPr>
        <w:t>公用经费126.69万元，与2023年度相比，减少17.55万元，下降12.2%，主要原因是</w:t>
      </w:r>
      <w:r>
        <w:rPr>
          <w:rFonts w:hint="eastAsia" w:ascii="方正仿宋_GBK" w:hAnsi="方正仿宋_GBK" w:eastAsia="方正仿宋_GBK" w:cs="方正仿宋_GBK"/>
          <w:sz w:val="32"/>
          <w:szCs w:val="32"/>
          <w:lang w:val="en-US" w:eastAsia="zh-CN"/>
        </w:rPr>
        <w:t>机构改革，我单位合并到县住房城乡建委，自2024年7月部分人员支出经费预算调剂到建委支付。</w:t>
      </w:r>
      <w:r>
        <w:rPr>
          <w:rFonts w:hint="eastAsia" w:ascii="方正仿宋_GBK" w:hAnsi="方正仿宋_GBK" w:eastAsia="方正仿宋_GBK" w:cs="方正仿宋_GBK"/>
          <w:sz w:val="32"/>
          <w:szCs w:val="32"/>
        </w:rPr>
        <w:t>公用经费用途主要包括</w:t>
      </w:r>
      <w:r>
        <w:rPr>
          <w:rFonts w:hint="eastAsia" w:ascii="方正仿宋_GBK" w:hAnsi="方正仿宋_GBK" w:eastAsia="方正仿宋_GBK" w:cs="方正仿宋_GBK"/>
          <w:sz w:val="32"/>
          <w:szCs w:val="32"/>
          <w:lang w:eastAsia="zh-CN"/>
        </w:rPr>
        <w:t>办公费、水电费、物业费、差旅费、租赁费、公车运行维护费等。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（五）政府性基金预算收支决算情况说明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度政府性基金预算财政拨款年初结转结余0.00万元，年末结转结余0.00万元。本年收入119.20万元，与2023年度相比，减少10.80万元，下降8.3%，主要原因是</w:t>
      </w:r>
      <w:r>
        <w:rPr>
          <w:rFonts w:hint="eastAsia" w:ascii="方正仿宋_GBK" w:hAnsi="方正仿宋_GBK" w:eastAsia="方正仿宋_GBK" w:cs="方正仿宋_GBK"/>
          <w:sz w:val="32"/>
          <w:szCs w:val="32"/>
          <w:lang w:val="en-US" w:eastAsia="zh-CN"/>
        </w:rPr>
        <w:t>本年度三峡库区清漂基金总额与上年度持平，减少的部分是设备购置二类费用尚未全部结清。</w:t>
      </w:r>
      <w:r>
        <w:rPr>
          <w:rFonts w:hint="eastAsia" w:ascii="方正仿宋_GBK" w:hAnsi="方正仿宋_GBK" w:eastAsia="方正仿宋_GBK" w:cs="方正仿宋_GBK"/>
          <w:sz w:val="32"/>
          <w:szCs w:val="32"/>
        </w:rPr>
        <w:t>本年支出119.20万元，与2023年度相比，减少10.80万元，下降8.3%，主要原因是</w:t>
      </w:r>
      <w:r>
        <w:rPr>
          <w:rFonts w:hint="eastAsia" w:ascii="方正仿宋_GBK" w:hAnsi="方正仿宋_GBK" w:eastAsia="方正仿宋_GBK" w:cs="方正仿宋_GBK"/>
          <w:sz w:val="32"/>
          <w:szCs w:val="32"/>
          <w:lang w:val="en-US" w:eastAsia="zh-CN"/>
        </w:rPr>
        <w:t>本年度三峡库区清漂基金总额与上年度持平，减少的部分是设备购置二类费用尚未全部结清。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本部门</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度无国有资本经营预算财政拨款支出。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（一）“三公”经费支出总体情况说明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度“三公”经费支出共计16.19万元，较年初预算数减少2.29万元，下降12.4%，主要原因</w:t>
      </w:r>
      <w:r>
        <w:rPr>
          <w:rFonts w:hint="eastAsia" w:ascii="方正仿宋_GBK" w:hAnsi="方正仿宋_GBK" w:eastAsia="方正仿宋_GBK" w:cs="方正仿宋_GBK"/>
          <w:sz w:val="32"/>
          <w:szCs w:val="32"/>
          <w:lang w:val="en-US" w:eastAsia="zh-CN"/>
        </w:rPr>
        <w:t>在于我单位2024年严格按照中央八项规定，持续落实过紧日子相关要求，压减相关支出。</w:t>
      </w:r>
      <w:r>
        <w:rPr>
          <w:rFonts w:hint="eastAsia" w:ascii="方正仿宋_GBK" w:hAnsi="方正仿宋_GBK" w:eastAsia="方正仿宋_GBK" w:cs="方正仿宋_GBK"/>
          <w:sz w:val="32"/>
          <w:szCs w:val="32"/>
        </w:rPr>
        <w:t>较上年支出数减少3.61万元，下降18.2%，主要原因</w:t>
      </w:r>
      <w:r>
        <w:rPr>
          <w:rFonts w:hint="eastAsia" w:ascii="方正仿宋_GBK" w:hAnsi="方正仿宋_GBK" w:eastAsia="方正仿宋_GBK" w:cs="方正仿宋_GBK"/>
          <w:sz w:val="32"/>
          <w:szCs w:val="32"/>
          <w:lang w:val="en-US" w:eastAsia="zh-CN"/>
        </w:rPr>
        <w:t>在于我单位2024年严格按照中央八项规定，持续坚持过紧日子相关要求，压减相关支出。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度本部门因公出国（境）费用0.00万元，主要是</w:t>
      </w:r>
      <w:r>
        <w:rPr>
          <w:rFonts w:hint="eastAsia" w:ascii="方正仿宋_GBK" w:hAnsi="方正仿宋_GBK" w:eastAsia="方正仿宋_GBK" w:cs="方正仿宋_GBK"/>
          <w:sz w:val="32"/>
          <w:szCs w:val="32"/>
          <w:lang w:eastAsia="zh-CN"/>
        </w:rPr>
        <w:t>没有因公出国（境）的情况。</w:t>
      </w:r>
      <w:r>
        <w:rPr>
          <w:rFonts w:hint="eastAsia" w:ascii="方正仿宋_GBK" w:hAnsi="方正仿宋_GBK" w:eastAsia="方正仿宋_GBK" w:cs="方正仿宋_GBK"/>
          <w:sz w:val="32"/>
          <w:szCs w:val="32"/>
        </w:rPr>
        <w:t>费用支出较年初预算数无增减。与2023年度相比，无增减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主要原因在于我部门严格执行年初预算。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车购置费0.00万元。费用支出较年初预算数无增减，主要原因是</w:t>
      </w:r>
      <w:r>
        <w:rPr>
          <w:rFonts w:hint="eastAsia" w:ascii="方正仿宋_GBK" w:hAnsi="方正仿宋_GBK" w:eastAsia="方正仿宋_GBK" w:cs="方正仿宋_GBK"/>
          <w:sz w:val="32"/>
          <w:szCs w:val="32"/>
          <w:lang w:eastAsia="zh-CN"/>
        </w:rPr>
        <w:t>没有进行公车采购</w:t>
      </w:r>
      <w:r>
        <w:rPr>
          <w:rFonts w:hint="eastAsia" w:ascii="方正仿宋_GBK" w:hAnsi="方正仿宋_GBK" w:eastAsia="方正仿宋_GBK" w:cs="方正仿宋_GBK"/>
          <w:sz w:val="32"/>
          <w:szCs w:val="32"/>
        </w:rPr>
        <w:t>。与2023年度相比，无增减，主要原因是</w:t>
      </w:r>
      <w:r>
        <w:rPr>
          <w:rFonts w:hint="eastAsia" w:ascii="方正仿宋_GBK" w:hAnsi="方正仿宋_GBK" w:eastAsia="方正仿宋_GBK" w:cs="方正仿宋_GBK"/>
          <w:sz w:val="32"/>
          <w:szCs w:val="32"/>
          <w:lang w:val="en-US" w:eastAsia="zh-CN"/>
        </w:rPr>
        <w:t>我部门严格执行年初预算，</w:t>
      </w:r>
      <w:r>
        <w:rPr>
          <w:rFonts w:hint="eastAsia" w:ascii="方正仿宋_GBK" w:hAnsi="方正仿宋_GBK" w:eastAsia="方正仿宋_GBK" w:cs="方正仿宋_GBK"/>
          <w:sz w:val="32"/>
          <w:szCs w:val="32"/>
          <w:lang w:eastAsia="zh-CN"/>
        </w:rPr>
        <w:t>没有进行公车采购</w:t>
      </w:r>
      <w:r>
        <w:rPr>
          <w:rFonts w:hint="eastAsia" w:ascii="方正仿宋_GBK" w:hAnsi="方正仿宋_GBK" w:eastAsia="方正仿宋_GBK" w:cs="方正仿宋_GBK"/>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车运行维护费7.00万元，主要用于</w:t>
      </w:r>
      <w:r>
        <w:rPr>
          <w:rFonts w:hint="eastAsia" w:ascii="方正仿宋_GBK" w:hAnsi="方正仿宋_GBK" w:eastAsia="方正仿宋_GBK" w:cs="方正仿宋_GBK"/>
          <w:sz w:val="32"/>
          <w:szCs w:val="32"/>
          <w:lang w:eastAsia="zh-CN"/>
        </w:rPr>
        <w:t>单位车辆油料、保险、年检、维修、保养等支出。</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r>
        <w:rPr>
          <w:rFonts w:hint="eastAsia" w:ascii="方正仿宋_GBK" w:hAnsi="方正仿宋_GBK" w:eastAsia="方正仿宋_GBK" w:cs="方正仿宋_GBK"/>
          <w:sz w:val="32"/>
          <w:szCs w:val="32"/>
        </w:rPr>
        <w:t>较上年支出数减少1.00万元，下降12.5%，主要原因是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公务接待费9.19万元，主要用于接待</w:t>
      </w:r>
      <w:r>
        <w:rPr>
          <w:rFonts w:hint="eastAsia" w:ascii="方正仿宋_GBK" w:hAnsi="方正仿宋_GBK" w:eastAsia="方正仿宋_GBK" w:cs="方正仿宋_GBK"/>
          <w:sz w:val="32"/>
          <w:szCs w:val="32"/>
          <w:lang w:eastAsia="zh-CN"/>
        </w:rPr>
        <w:t>市级及其他区县相关部门或单位因公来我单位开展工作的人员。</w:t>
      </w:r>
      <w:r>
        <w:rPr>
          <w:rFonts w:hint="eastAsia" w:ascii="方正仿宋_GBK" w:hAnsi="方正仿宋_GBK" w:eastAsia="方正仿宋_GBK" w:cs="方正仿宋_GBK"/>
          <w:sz w:val="32"/>
          <w:szCs w:val="32"/>
        </w:rPr>
        <w:t>费用支出较年初预算数减少2.29万元，下降20.0%，主要原因是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较上年支出数减少2.61万元，下降22.1%，主要原因是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（三）“三公”经费实物量情况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度本部门因公出国（境）共计0个团组，0人；公务用车购置0辆，公务车保有量为2辆；国内公务接待101批次1014人，其中：国内外事接待0批次，0人；国（境）外公务接待0批次，0人。</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本部门人均接待费90.65元，车均购置费0万元，车均维护费3.50万元。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（一）财政拨款会议费和培训费情况说明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本年度会议费支出0.30万元，与2023年度相比，增加0.30万元，增长100.0%，主要原因是</w:t>
      </w:r>
      <w:r>
        <w:rPr>
          <w:rFonts w:hint="eastAsia" w:ascii="方正仿宋_GBK" w:hAnsi="方正仿宋_GBK" w:eastAsia="方正仿宋_GBK" w:cs="方正仿宋_GBK"/>
          <w:sz w:val="32"/>
          <w:szCs w:val="32"/>
          <w:lang w:eastAsia="zh-CN"/>
        </w:rPr>
        <w:t>我单位下属事业单位巫溪县城管执法支队在</w:t>
      </w:r>
      <w:r>
        <w:rPr>
          <w:rFonts w:hint="eastAsia" w:ascii="方正仿宋_GBK" w:hAnsi="方正仿宋_GBK" w:eastAsia="方正仿宋_GBK" w:cs="方正仿宋_GBK"/>
          <w:sz w:val="32"/>
          <w:szCs w:val="32"/>
          <w:lang w:val="en-US" w:eastAsia="zh-CN"/>
        </w:rPr>
        <w:t>2023年度年初预算时预算编制粗放，没有编制会议费支出，在2024年度进行了规范编制，故导致与上年度相比增幅为100%</w:t>
      </w:r>
      <w:r>
        <w:rPr>
          <w:rFonts w:hint="eastAsia" w:ascii="方正仿宋_GBK" w:hAnsi="方正仿宋_GBK" w:eastAsia="方正仿宋_GBK" w:cs="方正仿宋_GBK"/>
          <w:sz w:val="32"/>
          <w:szCs w:val="32"/>
        </w:rPr>
        <w:t>。本年度培训费支出1.83万元，与2023年度相比，减少0.32万元，下降14.9%，主要原因是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（二）机关运行经费情况说明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度本部门机关运行经费支出38.96万元，机关运行经费主要用于开支办公及印刷费、邮电费、差旅费、会议费、福利费、日常维护费、办公用房水电费、办公用房物业管理费、公务用车运行维护费</w:t>
      </w:r>
      <w:r>
        <w:rPr>
          <w:rFonts w:hint="eastAsia" w:ascii="方正仿宋_GBK" w:hAnsi="方正仿宋_GBK" w:eastAsia="方正仿宋_GBK" w:cs="方正仿宋_GBK"/>
          <w:sz w:val="32"/>
          <w:szCs w:val="32"/>
          <w:lang w:eastAsia="zh-CN"/>
        </w:rPr>
        <w:t>、公务接待费、培训费</w:t>
      </w:r>
      <w:r>
        <w:rPr>
          <w:rFonts w:hint="eastAsia" w:ascii="方正仿宋_GBK" w:hAnsi="方正仿宋_GBK" w:eastAsia="方正仿宋_GBK" w:cs="方正仿宋_GBK"/>
          <w:sz w:val="32"/>
          <w:szCs w:val="32"/>
        </w:rPr>
        <w:t>以及其他费用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机关运行经费较上年支出数减少50.38万元，下降56.4%，主要原因是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12月31日，本部门共有车辆59辆，其中，副部（省）级及以上领导用车0辆、主要负责人用车0辆、机要通信用车0辆、应急保障用车3辆、执法执勤用车0辆，特种专业技术用车56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（四）政府采购支出情况说明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政府采购支出总额459.68万元，其中：政府采购货物支出459.68万元、政府采购工程支出0.00万元、政府采购服务支出0.00万元。授予中小企业合同金额459.68万元，占政府采购支出总额的100.00%，其中：授予小微企业合同金额459.68万元，占政府采购支出总额的100.00 %。主要用于采购办公电脑</w:t>
      </w:r>
      <w:r>
        <w:rPr>
          <w:rFonts w:hint="eastAsia" w:ascii="方正仿宋_GBK" w:hAnsi="方正仿宋_GBK" w:eastAsia="方正仿宋_GBK" w:cs="方正仿宋_GBK"/>
          <w:sz w:val="32"/>
          <w:szCs w:val="32"/>
          <w:lang w:val="en-US" w:eastAsia="zh-CN"/>
        </w:rPr>
        <w:t>3.025万元、</w:t>
      </w:r>
      <w:r>
        <w:rPr>
          <w:rFonts w:hint="eastAsia" w:ascii="方正仿宋_GBK" w:hAnsi="方正仿宋_GBK" w:eastAsia="方正仿宋_GBK" w:cs="方正仿宋_GBK"/>
          <w:sz w:val="32"/>
          <w:szCs w:val="32"/>
        </w:rPr>
        <w:t>巫溪县2024年农村生活垃圾分类集中投放驿站采购</w:t>
      </w:r>
      <w:r>
        <w:rPr>
          <w:rFonts w:hint="eastAsia" w:ascii="方正仿宋_GBK" w:hAnsi="方正仿宋_GBK" w:eastAsia="方正仿宋_GBK" w:cs="方正仿宋_GBK"/>
          <w:sz w:val="32"/>
          <w:szCs w:val="32"/>
          <w:lang w:val="en-US" w:eastAsia="zh-CN"/>
        </w:rPr>
        <w:t>215.00万元、</w:t>
      </w:r>
      <w:r>
        <w:rPr>
          <w:rFonts w:hint="eastAsia" w:ascii="方正仿宋_GBK" w:hAnsi="方正仿宋_GBK" w:eastAsia="方正仿宋_GBK" w:cs="方正仿宋_GBK"/>
          <w:sz w:val="32"/>
          <w:szCs w:val="32"/>
        </w:rPr>
        <w:t>巫溪县2024年农村生活垃圾分类收集箱采购</w:t>
      </w:r>
      <w:r>
        <w:rPr>
          <w:rFonts w:hint="eastAsia" w:ascii="方正仿宋_GBK" w:hAnsi="方正仿宋_GBK" w:eastAsia="方正仿宋_GBK" w:cs="方正仿宋_GBK"/>
          <w:sz w:val="32"/>
          <w:szCs w:val="32"/>
          <w:lang w:val="en-US" w:eastAsia="zh-CN"/>
        </w:rPr>
        <w:t>158.00万元、</w:t>
      </w:r>
      <w:r>
        <w:rPr>
          <w:rFonts w:hint="eastAsia" w:ascii="方正仿宋_GBK" w:hAnsi="方正仿宋_GBK" w:eastAsia="方正仿宋_GBK" w:cs="方正仿宋_GBK"/>
          <w:sz w:val="32"/>
          <w:szCs w:val="32"/>
        </w:rPr>
        <w:t>巫溪县环卫运输设备采购</w:t>
      </w:r>
      <w:r>
        <w:rPr>
          <w:rFonts w:hint="eastAsia" w:ascii="方正仿宋_GBK" w:hAnsi="方正仿宋_GBK" w:eastAsia="方正仿宋_GBK" w:cs="方正仿宋_GBK"/>
          <w:sz w:val="32"/>
          <w:szCs w:val="32"/>
          <w:lang w:val="en-US" w:eastAsia="zh-CN"/>
        </w:rPr>
        <w:t>115.00万元以及</w:t>
      </w:r>
      <w:r>
        <w:rPr>
          <w:rFonts w:hint="eastAsia" w:ascii="方正仿宋_GBK" w:hAnsi="方正仿宋_GBK" w:eastAsia="方正仿宋_GBK" w:cs="方正仿宋_GBK"/>
          <w:sz w:val="32"/>
          <w:szCs w:val="32"/>
        </w:rPr>
        <w:t>扫描仪</w:t>
      </w:r>
      <w:r>
        <w:rPr>
          <w:rFonts w:hint="eastAsia" w:ascii="方正仿宋_GBK" w:hAnsi="方正仿宋_GBK" w:eastAsia="方正仿宋_GBK" w:cs="方正仿宋_GBK"/>
          <w:sz w:val="32"/>
          <w:szCs w:val="32"/>
          <w:lang w:eastAsia="zh-CN"/>
        </w:rPr>
        <w:t>采购。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（一）单位自评情况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根据预算绩效管理要求，我部门（单位）对部门整体和</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个二级项目开展了绩效自评，涉及财政拨款项目支出资金</w:t>
      </w:r>
      <w:r>
        <w:rPr>
          <w:rFonts w:hint="eastAsia" w:ascii="方正仿宋_GBK" w:hAnsi="方正仿宋_GBK" w:eastAsia="方正仿宋_GBK" w:cs="方正仿宋_GBK"/>
          <w:sz w:val="32"/>
          <w:szCs w:val="32"/>
          <w:lang w:val="en-US" w:eastAsia="zh-CN"/>
        </w:rPr>
        <w:t>7742.39</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rPr>
        <w:t>部门整体绩效自评</w:t>
      </w:r>
      <w:r>
        <w:rPr>
          <w:rFonts w:hint="eastAsia" w:ascii="方正仿宋_GBK" w:hAnsi="方正仿宋_GBK" w:eastAsia="方正仿宋_GBK" w:cs="方正仿宋_GBK"/>
          <w:b/>
          <w:bCs/>
          <w:sz w:val="32"/>
          <w:szCs w:val="32"/>
          <w:lang w:eastAsia="zh-CN"/>
        </w:rPr>
        <w:t>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2024年7月根据巫溪委办发【2024】7号文件要求，县城市管理局合并至县住房城乡建委，相关职能及下属单位一并划转。因此，本年度县城市管理局没有开展部门整体绩效自评。</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项目支出绩效自评表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选取相关项目支出绩效评价表见附件</w:t>
      </w:r>
      <w:r>
        <w:rPr>
          <w:rFonts w:hint="eastAsia" w:ascii="方正仿宋_GBK" w:hAnsi="方正仿宋_GBK" w:eastAsia="方正仿宋_GBK" w:cs="方正仿宋_GBK"/>
          <w:sz w:val="32"/>
          <w:szCs w:val="32"/>
          <w:lang w:val="en-US" w:eastAsia="zh-CN"/>
        </w:rPr>
        <w:t>1、附件2。</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项目支出绩效自评表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（二）部门绩效评价情况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我部门（单位）对部门整体和</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个二级项目开展了绩效自评，涉及财政拨款项目支出资金</w:t>
      </w:r>
      <w:r>
        <w:rPr>
          <w:rFonts w:hint="eastAsia" w:ascii="方正仿宋_GBK" w:hAnsi="方正仿宋_GBK" w:eastAsia="方正仿宋_GBK" w:cs="方正仿宋_GBK"/>
          <w:sz w:val="32"/>
          <w:szCs w:val="32"/>
          <w:lang w:val="en-US" w:eastAsia="zh-CN"/>
        </w:rPr>
        <w:t>7742.39</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。如：</w:t>
      </w:r>
      <w:r>
        <w:rPr>
          <w:rFonts w:hint="eastAsia" w:ascii="方正仿宋_GBK" w:hAnsi="方正仿宋_GBK" w:eastAsia="方正仿宋_GBK" w:cs="方正仿宋_GBK"/>
          <w:sz w:val="32"/>
          <w:szCs w:val="32"/>
        </w:rPr>
        <w:t>生活垃圾转运奉节焚烧处置</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开展了绩效评价，涉及财政拨款项目资金</w:t>
      </w:r>
      <w:r>
        <w:rPr>
          <w:rFonts w:hint="eastAsia" w:ascii="方正仿宋_GBK" w:hAnsi="方正仿宋_GBK" w:eastAsia="方正仿宋_GBK" w:cs="方正仿宋_GBK"/>
          <w:sz w:val="32"/>
          <w:szCs w:val="32"/>
          <w:lang w:val="en-US" w:eastAsia="zh-CN"/>
        </w:rPr>
        <w:t>370</w:t>
      </w:r>
      <w:r>
        <w:rPr>
          <w:rFonts w:hint="eastAsia" w:ascii="方正仿宋_GBK" w:hAnsi="方正仿宋_GBK" w:eastAsia="方正仿宋_GBK" w:cs="方正仿宋_GBK"/>
          <w:sz w:val="32"/>
          <w:szCs w:val="32"/>
        </w:rPr>
        <w:t>万元，评价得分</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分，评价等次为</w:t>
      </w:r>
      <w:r>
        <w:rPr>
          <w:rFonts w:hint="eastAsia" w:ascii="方正仿宋_GBK" w:hAnsi="方正仿宋_GBK" w:eastAsia="方正仿宋_GBK" w:cs="方正仿宋_GBK"/>
          <w:sz w:val="32"/>
          <w:szCs w:val="32"/>
          <w:lang w:eastAsia="zh-CN"/>
        </w:rPr>
        <w:t>做强做优</w:t>
      </w:r>
      <w:r>
        <w:rPr>
          <w:rFonts w:hint="eastAsia" w:ascii="方正仿宋_GBK" w:hAnsi="方正仿宋_GBK" w:eastAsia="方正仿宋_GBK" w:cs="方正仿宋_GBK"/>
          <w:sz w:val="32"/>
          <w:szCs w:val="32"/>
        </w:rPr>
        <w:t>，绩效评价</w:t>
      </w:r>
      <w:r>
        <w:rPr>
          <w:rFonts w:hint="eastAsia" w:ascii="方正仿宋_GBK" w:hAnsi="方正仿宋_GBK" w:eastAsia="方正仿宋_GBK" w:cs="方正仿宋_GBK"/>
          <w:sz w:val="32"/>
          <w:szCs w:val="32"/>
          <w:lang w:eastAsia="zh-CN"/>
        </w:rPr>
        <w:t>未发现问题</w:t>
      </w:r>
      <w:r>
        <w:rPr>
          <w:rFonts w:hint="eastAsia" w:ascii="方正仿宋_GBK" w:hAnsi="方正仿宋_GBK" w:eastAsia="方正仿宋_GBK" w:cs="方正仿宋_GBK"/>
          <w:sz w:val="32"/>
          <w:szCs w:val="32"/>
        </w:rPr>
        <w:t>；对环卫清扫、清运处置支出</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开展了绩效评价，涉及财政拨款项目资金</w:t>
      </w:r>
      <w:r>
        <w:rPr>
          <w:rFonts w:hint="eastAsia" w:ascii="方正仿宋_GBK" w:hAnsi="方正仿宋_GBK" w:eastAsia="方正仿宋_GBK" w:cs="方正仿宋_GBK"/>
          <w:sz w:val="32"/>
          <w:szCs w:val="32"/>
          <w:lang w:val="en-US" w:eastAsia="zh-CN"/>
        </w:rPr>
        <w:t>1010.63</w:t>
      </w:r>
      <w:r>
        <w:rPr>
          <w:rFonts w:hint="eastAsia" w:ascii="方正仿宋_GBK" w:hAnsi="方正仿宋_GBK" w:eastAsia="方正仿宋_GBK" w:cs="方正仿宋_GBK"/>
          <w:sz w:val="32"/>
          <w:szCs w:val="32"/>
        </w:rPr>
        <w:t>万元，评价得分</w:t>
      </w:r>
      <w:r>
        <w:rPr>
          <w:rFonts w:hint="eastAsia" w:ascii="方正仿宋_GBK" w:hAnsi="方正仿宋_GBK" w:eastAsia="方正仿宋_GBK" w:cs="方正仿宋_GBK"/>
          <w:sz w:val="32"/>
          <w:szCs w:val="32"/>
          <w:lang w:val="en-US" w:eastAsia="zh-CN"/>
        </w:rPr>
        <w:t>80</w:t>
      </w:r>
      <w:r>
        <w:rPr>
          <w:rFonts w:hint="eastAsia" w:ascii="方正仿宋_GBK" w:hAnsi="方正仿宋_GBK" w:eastAsia="方正仿宋_GBK" w:cs="方正仿宋_GBK"/>
          <w:sz w:val="32"/>
          <w:szCs w:val="32"/>
        </w:rPr>
        <w:t>分，评价等次为</w:t>
      </w:r>
      <w:r>
        <w:rPr>
          <w:rFonts w:hint="eastAsia" w:ascii="方正仿宋_GBK" w:hAnsi="方正仿宋_GBK" w:eastAsia="方正仿宋_GBK" w:cs="方正仿宋_GBK"/>
          <w:sz w:val="32"/>
          <w:szCs w:val="32"/>
          <w:lang w:eastAsia="zh-CN"/>
        </w:rPr>
        <w:t>良</w:t>
      </w:r>
      <w:r>
        <w:rPr>
          <w:rFonts w:hint="eastAsia" w:ascii="方正仿宋_GBK" w:hAnsi="方正仿宋_GBK" w:eastAsia="方正仿宋_GBK" w:cs="方正仿宋_GBK"/>
          <w:sz w:val="32"/>
          <w:szCs w:val="32"/>
        </w:rPr>
        <w:t>，绩效评价发现了</w:t>
      </w:r>
      <w:r>
        <w:rPr>
          <w:rFonts w:hint="eastAsia" w:ascii="方正仿宋_GBK" w:hAnsi="方正仿宋_GBK" w:eastAsia="方正仿宋_GBK" w:cs="方正仿宋_GBK"/>
          <w:sz w:val="32"/>
          <w:szCs w:val="32"/>
          <w:lang w:eastAsia="zh-CN"/>
        </w:rPr>
        <w:t>垃圾清运垃圾量不达标</w:t>
      </w:r>
      <w:r>
        <w:rPr>
          <w:rFonts w:hint="eastAsia" w:ascii="方正仿宋_GBK" w:hAnsi="方正仿宋_GBK" w:eastAsia="方正仿宋_GBK" w:cs="方正仿宋_GBK"/>
          <w:sz w:val="32"/>
          <w:szCs w:val="32"/>
        </w:rPr>
        <w:t>等主要问题，提出</w:t>
      </w:r>
      <w:r>
        <w:rPr>
          <w:rFonts w:hint="eastAsia" w:ascii="方正仿宋_GBK" w:hAnsi="方正仿宋_GBK" w:eastAsia="方正仿宋_GBK" w:cs="方正仿宋_GBK"/>
          <w:sz w:val="32"/>
          <w:szCs w:val="32"/>
          <w:lang w:eastAsia="zh-CN"/>
        </w:rPr>
        <w:t>加大</w:t>
      </w:r>
      <w:r>
        <w:rPr>
          <w:rFonts w:hint="eastAsia" w:ascii="方正仿宋_GBK" w:hAnsi="方正仿宋_GBK" w:eastAsia="方正仿宋_GBK" w:cs="方正仿宋_GBK"/>
          <w:sz w:val="32"/>
          <w:szCs w:val="32"/>
        </w:rPr>
        <w:t>垃圾分类工作</w:t>
      </w:r>
      <w:r>
        <w:rPr>
          <w:rFonts w:hint="eastAsia" w:ascii="方正仿宋_GBK" w:hAnsi="方正仿宋_GBK" w:eastAsia="方正仿宋_GBK" w:cs="方正仿宋_GBK"/>
          <w:sz w:val="32"/>
          <w:szCs w:val="32"/>
          <w:lang w:eastAsia="zh-CN"/>
        </w:rPr>
        <w:t>力度</w:t>
      </w:r>
      <w:r>
        <w:rPr>
          <w:rFonts w:hint="eastAsia" w:ascii="方正仿宋_GBK" w:hAnsi="方正仿宋_GBK" w:eastAsia="方正仿宋_GBK" w:cs="方正仿宋_GBK"/>
          <w:sz w:val="32"/>
          <w:szCs w:val="32"/>
        </w:rPr>
        <w:t>和建筑垃圾违规倾倒监察执法力度</w:t>
      </w:r>
      <w:r>
        <w:rPr>
          <w:rFonts w:hint="eastAsia" w:ascii="方正仿宋_GBK" w:hAnsi="方正仿宋_GBK" w:eastAsia="方正仿宋_GBK" w:cs="方正仿宋_GBK"/>
          <w:sz w:val="32"/>
          <w:szCs w:val="32"/>
          <w:lang w:eastAsia="zh-CN"/>
        </w:rPr>
        <w:t>的建议。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（三）财政绩效评价情况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财政局</w:t>
      </w:r>
      <w:r>
        <w:rPr>
          <w:rFonts w:hint="eastAsia" w:ascii="方正仿宋_GBK" w:hAnsi="方正仿宋_GBK" w:eastAsia="方正仿宋_GBK" w:cs="方正仿宋_GBK"/>
          <w:sz w:val="32"/>
          <w:szCs w:val="32"/>
          <w:lang w:eastAsia="zh-CN"/>
        </w:rPr>
        <w:t>未</w:t>
      </w:r>
      <w:r>
        <w:rPr>
          <w:rFonts w:hint="eastAsia" w:ascii="方正仿宋_GBK" w:hAnsi="方正仿宋_GBK" w:eastAsia="方正仿宋_GBK" w:cs="方正仿宋_GBK"/>
          <w:sz w:val="32"/>
          <w:szCs w:val="32"/>
        </w:rPr>
        <w:t>委托第三方对我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开展了绩效评价</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 xml:space="preserve">   六、专业名词解释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（二）事业收入：</w:t>
      </w:r>
      <w:r>
        <w:rPr>
          <w:rFonts w:hint="eastAsia" w:ascii="方正仿宋_GBK" w:hAnsi="方正仿宋_GBK" w:eastAsia="方正仿宋_GBK" w:cs="方正仿宋_GBK"/>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（五）使用非财政拨款结余</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（十二）“三公”经费：指</w:t>
      </w:r>
      <w:r>
        <w:rPr>
          <w:rFonts w:hint="eastAsia" w:ascii="方正仿宋_GBK" w:hAnsi="方正仿宋_GBK" w:eastAsia="方正仿宋_GBK" w:cs="方正仿宋_GBK"/>
          <w:sz w:val="32"/>
          <w:szCs w:val="32"/>
          <w:lang w:val="en-US" w:eastAsia="zh-CN"/>
        </w:rPr>
        <w:t>用一般公共预算财政拨款安排</w:t>
      </w:r>
      <w:r>
        <w:rPr>
          <w:rFonts w:hint="eastAsia" w:ascii="方正仿宋_GBK" w:hAnsi="方正仿宋_GBK" w:eastAsia="方正仿宋_GBK" w:cs="方正仿宋_GBK"/>
          <w:sz w:val="32"/>
          <w:szCs w:val="32"/>
        </w:rPr>
        <w:t>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（十五）商品和服务支出（支出经济分类科目类级）：反</w:t>
      </w:r>
      <w:r>
        <w:rPr>
          <w:rFonts w:hint="eastAsia" w:ascii="方正仿宋_GBK" w:hAnsi="方正仿宋_GBK" w:eastAsia="方正仿宋_GBK" w:cs="方正仿宋_GBK"/>
          <w:sz w:val="32"/>
          <w:szCs w:val="32"/>
        </w:rPr>
        <w:t>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本单位决算公开信息反馈和联系方式：</w:t>
      </w:r>
      <w:r>
        <w:rPr>
          <w:rFonts w:hint="eastAsia" w:ascii="方正黑体_GBK" w:hAnsi="方正黑体_GBK" w:eastAsia="方正黑体_GBK" w:cs="方正黑体_GBK"/>
          <w:sz w:val="32"/>
          <w:szCs w:val="32"/>
        </w:rPr>
        <w:t>023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51520334</w:t>
      </w:r>
    </w:p>
    <w:p>
      <w:pPr>
        <w:pStyle w:val="11"/>
        <w:autoSpaceDE w:val="0"/>
        <w:spacing w:line="596" w:lineRule="exact"/>
        <w:ind w:left="0" w:leftChars="0" w:firstLine="0" w:firstLineChars="0"/>
        <w:jc w:val="both"/>
        <w:rPr>
          <w:rStyle w:val="13"/>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kern w:val="0"/>
          <w:sz w:val="32"/>
          <w:szCs w:val="32"/>
          <w:shd w:val="clear" w:fill="FFFFFF"/>
          <w:lang w:eastAsia="zh-CN"/>
        </w:rPr>
      </w:pP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附件：</w:t>
      </w:r>
      <w:r>
        <w:rPr>
          <w:rFonts w:hint="eastAsia" w:ascii="方正仿宋_GBK" w:hAnsi="方正仿宋_GBK" w:eastAsia="方正仿宋_GBK" w:cs="方正仿宋_GBK"/>
          <w:kern w:val="0"/>
          <w:sz w:val="32"/>
          <w:szCs w:val="32"/>
          <w:shd w:val="clear" w:fill="FFFFFF"/>
          <w:lang w:val="en-US" w:eastAsia="zh-CN"/>
        </w:rPr>
        <w:t xml:space="preserve"> </w:t>
      </w: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lang w:val="en-US" w:eastAsia="zh-CN"/>
        </w:rPr>
        <w:t xml:space="preserve">2024生活垃圾转运奉节焚烧处置项目绩效自评表  </w:t>
      </w: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firstLine="1600" w:firstLineChars="500"/>
        <w:textAlignment w:val="auto"/>
        <w:rPr>
          <w:rStyle w:val="13"/>
          <w:rFonts w:hint="eastAsia" w:ascii="方正仿宋_GBK" w:hAnsi="方正仿宋_GBK" w:eastAsia="方正仿宋_GBK" w:cs="方正仿宋_GBK"/>
          <w:b/>
          <w:bCs/>
          <w:sz w:val="32"/>
          <w:szCs w:val="32"/>
          <w:shd w:val="clear" w:fill="FFFF00"/>
          <w:lang w:val="en-US" w:eastAsia="zh-CN"/>
        </w:rPr>
        <w:sectPr>
          <w:footerReference r:id="rId3" w:type="default"/>
          <w:pgSz w:w="11915" w:h="16840"/>
          <w:pgMar w:top="1984" w:right="1800" w:bottom="1644" w:left="1446"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rPr>
        <w:t>2.2024环卫清扫、清运处置支出项目绩效自评表</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巫溪县城市管理局</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8,941.60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119.20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8,057.61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9,060.80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9,060.80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9,060.80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9,060.80</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巫溪县城市管理局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9,060.80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9,060.80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2110304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固体废弃物与化学品</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8,057.61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8,057.61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城管执法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4,736.53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4,736.53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4,736.53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4,736.53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巫溪县城市管理局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9,060.80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1,318.41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7,742.39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2110304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固体废弃物与化学品</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8,057.61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7,134.70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1,271.63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城管执法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1,168.47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4,736.53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4,346.53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4,736.53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4,346.53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巫溪县城市管理局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8,941.60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8,057.61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8,057.61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520.69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401.49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119.20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9,060.80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9,060.80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8,941.60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119.20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9,060.80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9,060.80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8,941.60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119.20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巫溪县城市管理局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8,941.60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1,318.41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7,623.19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8,941.60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1,318.41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7,623.19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2110304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固体废弃物与化学品</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8,057.61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7,134.70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8,057.61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7,134.70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476.44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1,271.63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476.44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1,271.63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城管执法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1,168.47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1,168.47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城乡社区公共设施</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1,516.54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1,516.54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其他城乡社区公共设施支出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1,516.54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1,516.54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4,736.53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390.01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4,346.53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4,736.53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390.01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4,346.53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4,736.53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390.01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4,346.53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4,736.53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390.01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4,346.53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巫溪县城市管理局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1,152.88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285.85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42.19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370.61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137.55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75.30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bookmarkStart w:id="0" w:name="_GoBack"/>
            <w:r>
              <w:rPr>
                <w:rFonts w:hint="eastAsia" w:ascii="宋体" w:hAnsi="宋体" w:eastAsia="宋体" w:cs="宋体"/>
                <w:i w:val="0"/>
                <w:iCs w:val="0"/>
                <w:color w:val="000000"/>
                <w:kern w:val="0"/>
                <w:sz w:val="22"/>
                <w:szCs w:val="22"/>
                <w:u w:val="none"/>
                <w:lang w:val="en-US" w:eastAsia="zh-CN" w:bidi="ar"/>
              </w:rPr>
              <w:t>公务用车</w:t>
            </w:r>
            <w:bookmarkEnd w:id="0"/>
            <w:r>
              <w:rPr>
                <w:rFonts w:hint="eastAsia" w:ascii="宋体" w:hAnsi="宋体" w:eastAsia="宋体" w:cs="宋体"/>
                <w:i w:val="0"/>
                <w:iCs w:val="0"/>
                <w:color w:val="000000"/>
                <w:kern w:val="0"/>
                <w:sz w:val="22"/>
                <w:szCs w:val="22"/>
                <w:u w:val="none"/>
                <w:lang w:val="en-US" w:eastAsia="zh-CN" w:bidi="ar"/>
              </w:rPr>
              <w:t>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31.78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1,191.72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126.69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巫溪县城市管理局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21369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国家重大水利工程建设基金安排的支出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2136902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三峡后续工作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巫溪县城市管理局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宋体" w:hAnsi="宋体" w:eastAsia="宋体" w:cs="宋体"/>
          <w:sz w:val="21"/>
          <w:szCs w:val="21"/>
          <w:lang w:val="en-US" w:eastAsia="zh-CN"/>
        </w:rPr>
      </w:pPr>
      <w:r>
        <w:rPr>
          <w:color w:val="000000"/>
          <w:sz w:val="20"/>
          <w:u w:color="auto"/>
        </w:rPr>
        <w:t>本</w:t>
      </w:r>
      <w:r>
        <w:rPr>
          <w:rFonts w:hint="eastAsia"/>
          <w:color w:val="000000"/>
          <w:sz w:val="20"/>
          <w:u w:color="auto"/>
          <w:lang w:val="en-US" w:eastAsia="zh-CN"/>
        </w:rPr>
        <w:t>部门</w:t>
      </w:r>
      <w:r>
        <w:rPr>
          <w:color w:val="000000"/>
          <w:sz w:val="20"/>
          <w:u w:color="auto"/>
        </w:rPr>
        <w:t>无该项收支，故此表无数据</w:t>
      </w:r>
      <w:r>
        <w:rPr>
          <w:rFonts w:hint="eastAsia"/>
          <w:color w:val="000000"/>
          <w:sz w:val="20"/>
          <w:u w:color="auto"/>
          <w:lang w:eastAsia="zh-CN"/>
        </w:rPr>
        <w:t>。</w:t>
      </w: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巫溪县城市管理局</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16.19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9.19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9.19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1,014</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0.30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1.83</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6.33</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cs="宋体"/>
          <w:color w:val="000000"/>
          <w:sz w:val="21"/>
          <w:szCs w:val="21"/>
          <w:lang w:val="en-US" w:eastAsia="zh-CN" w:bidi="ar"/>
        </w:rPr>
      </w:pPr>
    </w:p>
    <w:p>
      <w:pPr>
        <w:pStyle w:val="2"/>
        <w:rPr>
          <w:rFonts w:hint="eastAsia" w:ascii="宋体" w:hAnsi="宋体" w:cs="宋体"/>
          <w:color w:val="000000"/>
          <w:sz w:val="21"/>
          <w:szCs w:val="21"/>
          <w:lang w:val="en-US" w:eastAsia="zh-CN" w:bidi="ar"/>
        </w:rPr>
      </w:pPr>
      <w:r>
        <w:rPr>
          <w:rFonts w:hint="eastAsia" w:ascii="宋体" w:hAnsi="宋体" w:cs="宋体"/>
          <w:color w:val="000000"/>
          <w:sz w:val="21"/>
          <w:szCs w:val="21"/>
          <w:lang w:val="en-US" w:eastAsia="zh-CN" w:bidi="ar"/>
        </w:rPr>
        <w:t>附件1</w:t>
      </w:r>
    </w:p>
    <w:p>
      <w:pPr>
        <w:pStyle w:val="2"/>
        <w:rPr>
          <w:rFonts w:hint="default" w:ascii="宋体" w:hAnsi="宋体" w:cs="宋体"/>
          <w:color w:val="000000"/>
          <w:sz w:val="21"/>
          <w:szCs w:val="21"/>
          <w:lang w:val="en-US" w:eastAsia="zh-CN" w:bidi="ar"/>
        </w:rPr>
      </w:pPr>
    </w:p>
    <w:p>
      <w:pPr>
        <w:pStyle w:val="11"/>
        <w:autoSpaceDE w:val="0"/>
        <w:ind w:firstLine="0" w:firstLineChars="0"/>
        <w:rPr>
          <w:rFonts w:hint="default" w:ascii="宋体" w:hAnsi="宋体" w:eastAsia="宋体" w:cs="宋体"/>
          <w:sz w:val="21"/>
          <w:szCs w:val="21"/>
        </w:rPr>
      </w:pPr>
    </w:p>
    <w:p>
      <w:pPr>
        <w:pStyle w:val="11"/>
        <w:autoSpaceDE w:val="0"/>
        <w:ind w:firstLine="0" w:firstLineChars="0"/>
        <w:rPr>
          <w:rFonts w:hint="eastAsia" w:cs="宋体"/>
          <w:sz w:val="21"/>
          <w:szCs w:val="21"/>
          <w:lang w:val="en-US" w:eastAsia="zh-CN"/>
        </w:rPr>
      </w:pPr>
      <w:r>
        <w:rPr>
          <w:rFonts w:hint="eastAsia" w:cs="宋体"/>
          <w:sz w:val="21"/>
          <w:szCs w:val="21"/>
          <w:lang w:val="en-US" w:eastAsia="zh-CN"/>
        </w:rPr>
        <w:object>
          <v:shape id="_x0000_i1025" o:spt="75" type="#_x0000_t75" style="height:557.4pt;width:941.4pt;" o:ole="t" filled="f" o:preferrelative="t" stroked="f" coordsize="21600,21600">
            <v:path/>
            <v:fill on="f" focussize="0,0"/>
            <v:stroke on="f"/>
            <v:imagedata r:id="rId8" o:title=""/>
            <o:lock v:ext="edit" aspectratio="f"/>
            <w10:wrap type="none"/>
            <w10:anchorlock/>
          </v:shape>
          <o:OLEObject Type="Embed" ProgID="Excel.Sheet.12" ShapeID="_x0000_i1025" DrawAspect="Content" ObjectID="_1468075725" r:id="rId7">
            <o:LockedField>false</o:LockedField>
          </o:OLEObject>
        </w:object>
      </w: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eastAsia" w:cs="宋体"/>
          <w:sz w:val="21"/>
          <w:szCs w:val="21"/>
          <w:lang w:val="en-US" w:eastAsia="zh-CN"/>
        </w:rPr>
      </w:pPr>
      <w:r>
        <w:rPr>
          <w:rFonts w:hint="eastAsia" w:cs="宋体"/>
          <w:sz w:val="21"/>
          <w:szCs w:val="21"/>
          <w:lang w:val="en-US" w:eastAsia="zh-CN"/>
        </w:rPr>
        <w:t>附件2</w:t>
      </w:r>
    </w:p>
    <w:p>
      <w:pPr>
        <w:pStyle w:val="11"/>
        <w:autoSpaceDE w:val="0"/>
        <w:ind w:firstLine="0" w:firstLineChars="0"/>
        <w:rPr>
          <w:rFonts w:hint="default" w:cs="宋体"/>
          <w:sz w:val="21"/>
          <w:szCs w:val="21"/>
          <w:lang w:val="en-US" w:eastAsia="zh-CN"/>
        </w:rPr>
      </w:pPr>
      <w:r>
        <w:rPr>
          <w:rFonts w:hint="default" w:cs="宋体"/>
          <w:sz w:val="21"/>
          <w:szCs w:val="21"/>
          <w:lang w:val="en-US" w:eastAsia="zh-CN"/>
        </w:rPr>
        <w:object>
          <v:shape id="_x0000_i1026" o:spt="75" type="#_x0000_t75" style="height:629.4pt;width:949.8pt;" o:ole="t" filled="f" o:preferrelative="t" stroked="f" coordsize="21600,21600">
            <v:path/>
            <v:fill on="f" focussize="0,0"/>
            <v:stroke on="f"/>
            <v:imagedata r:id="rId10" o:title=""/>
            <o:lock v:ext="edit" aspectratio="f"/>
            <w10:wrap type="none"/>
            <w10:anchorlock/>
          </v:shape>
          <o:OLEObject Type="Embed" ProgID="Excel.Sheet.12" ShapeID="_x0000_i1026" DrawAspect="Content" ObjectID="_1468075726" r:id="rId9">
            <o:LockedField>false</o:LockedField>
          </o:OLEObject>
        </w:object>
      </w: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4791CC1"/>
    <w:rsid w:val="1580711B"/>
    <w:rsid w:val="16D80EBF"/>
    <w:rsid w:val="17EE8638"/>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074657E"/>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BD5A14"/>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CB03FA"/>
    <w:rsid w:val="44EF6BE8"/>
    <w:rsid w:val="45A30364"/>
    <w:rsid w:val="465B470D"/>
    <w:rsid w:val="469D6AD4"/>
    <w:rsid w:val="47674801"/>
    <w:rsid w:val="48225EF7"/>
    <w:rsid w:val="484733A8"/>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0365BF9"/>
    <w:rsid w:val="51760217"/>
    <w:rsid w:val="51E36677"/>
    <w:rsid w:val="51E932DA"/>
    <w:rsid w:val="522F6E0C"/>
    <w:rsid w:val="52463BA1"/>
    <w:rsid w:val="529F078E"/>
    <w:rsid w:val="52AD456D"/>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C723B0"/>
    <w:rsid w:val="64FB113D"/>
    <w:rsid w:val="6544377C"/>
    <w:rsid w:val="655F5939"/>
    <w:rsid w:val="656152C6"/>
    <w:rsid w:val="6587477F"/>
    <w:rsid w:val="658C3A08"/>
    <w:rsid w:val="65C031CA"/>
    <w:rsid w:val="65CE6852"/>
    <w:rsid w:val="65F004F9"/>
    <w:rsid w:val="66267C04"/>
    <w:rsid w:val="663F505A"/>
    <w:rsid w:val="667F2393"/>
    <w:rsid w:val="66AE0FDF"/>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BD7EB3"/>
    <w:rsid w:val="70DE5507"/>
    <w:rsid w:val="718C12E2"/>
    <w:rsid w:val="71C34D91"/>
    <w:rsid w:val="71ED38AA"/>
    <w:rsid w:val="72DB435C"/>
    <w:rsid w:val="74B79B30"/>
    <w:rsid w:val="74E74763"/>
    <w:rsid w:val="74ED1B1B"/>
    <w:rsid w:val="750837F0"/>
    <w:rsid w:val="762A73EF"/>
    <w:rsid w:val="7631412E"/>
    <w:rsid w:val="764F62AB"/>
    <w:rsid w:val="765C45EC"/>
    <w:rsid w:val="76856ADF"/>
    <w:rsid w:val="768A7619"/>
    <w:rsid w:val="7714640F"/>
    <w:rsid w:val="77EA362A"/>
    <w:rsid w:val="7875383E"/>
    <w:rsid w:val="792F45BF"/>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EBBFF57"/>
    <w:rsid w:val="7FF723E4"/>
    <w:rsid w:val="EF5F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样式 正文文本 + 首行缩进:  2 字符"/>
    <w:basedOn w:val="3"/>
    <w:qFormat/>
    <w:uiPriority w:val="0"/>
    <w:pPr>
      <w:widowControl w:val="0"/>
      <w:spacing w:after="120"/>
      <w:jc w:val="both"/>
      <w:outlineLvl w:val="1"/>
    </w:pPr>
    <w:rPr>
      <w:rFonts w:ascii="Calibri" w:hAnsi="Calibri" w:eastAsia="宋体" w:cs="宋体"/>
      <w:kern w:val="0"/>
      <w:sz w:val="21"/>
      <w:szCs w:val="24"/>
      <w:lang w:val="en-US" w:eastAsia="zh-CN" w:bidi="ar-SA"/>
    </w:r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5">
    <w:name w:val="font41"/>
    <w:basedOn w:val="9"/>
    <w:qFormat/>
    <w:uiPriority w:val="0"/>
    <w:rPr>
      <w:rFonts w:hint="eastAsia" w:ascii="宋体" w:hAnsi="宋体" w:eastAsia="宋体" w:cs="宋体"/>
      <w:color w:val="000000"/>
      <w:sz w:val="18"/>
      <w:szCs w:val="18"/>
      <w:u w:val="none"/>
    </w:rPr>
  </w:style>
  <w:style w:type="character" w:customStyle="1" w:styleId="16">
    <w:name w:val="font71"/>
    <w:basedOn w:val="9"/>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9050</Words>
  <Characters>11927</Characters>
  <Lines>161</Lines>
  <Paragraphs>45</Paragraphs>
  <TotalTime>11</TotalTime>
  <ScaleCrop>false</ScaleCrop>
  <LinksUpToDate>false</LinksUpToDate>
  <CharactersWithSpaces>12548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GreatWall</cp:lastModifiedBy>
  <dcterms:modified xsi:type="dcterms:W3CDTF">2026-06-11T15:22:03Z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0C7CC4F29F2FBFAC7C602A6A0E4224D5</vt:lpwstr>
  </property>
  <property fmtid="{D5CDD505-2E9C-101B-9397-08002B2CF9AE}" pid="4" name="KSOTemplateDocerSaveRecord">
    <vt:lpwstr>eyJoZGlkIjoiNmUzYjY1NzJkN2ZjZDBiMjhjMzM3OGUzNjVlNWI5YjIifQ==</vt:lpwstr>
  </property>
</Properties>
</file>