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巫溪县</w:t>
      </w:r>
      <w:r>
        <w:rPr>
          <w:rFonts w:hint="eastAsia" w:ascii="方正小标宋_GBK" w:hAnsi="方正小标宋_GBK" w:eastAsia="方正小标宋_GBK" w:cs="方正小标宋_GBK"/>
          <w:b w:val="0"/>
          <w:bCs w:val="0"/>
          <w:sz w:val="44"/>
          <w:szCs w:val="44"/>
          <w:lang w:eastAsia="zh-CN"/>
        </w:rPr>
        <w:t>住房和城乡建设委员会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lang w:eastAsia="zh-CN"/>
        </w:rPr>
      </w:pPr>
      <w:r>
        <w:rPr>
          <w:rFonts w:hint="default" w:ascii="Times New Roman" w:hAnsi="Times New Roman" w:eastAsia="方正小标宋_GBK" w:cs="Times New Roman"/>
          <w:color w:val="000000"/>
          <w:sz w:val="44"/>
          <w:szCs w:val="44"/>
        </w:rPr>
        <w:t>关于废止部分部门规范性文件的决定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szCs w:val="32"/>
          <w:shd w:val="clear" w:color="auto" w:fill="FFFFFF"/>
        </w:rPr>
      </w:pPr>
      <w:r>
        <w:rPr>
          <w:szCs w:val="32"/>
          <w:shd w:val="clear" w:color="auto" w:fill="FFFFFF"/>
        </w:rPr>
        <w:t>巫溪</w:t>
      </w:r>
      <w:r>
        <w:rPr>
          <w:rFonts w:hint="eastAsia"/>
          <w:szCs w:val="32"/>
          <w:shd w:val="clear" w:color="auto" w:fill="FFFFFF"/>
          <w:lang w:eastAsia="zh-CN"/>
        </w:rPr>
        <w:t>住建发</w:t>
      </w:r>
      <w:r>
        <w:rPr>
          <w:szCs w:val="32"/>
          <w:shd w:val="clear" w:color="auto" w:fill="FFFFFF"/>
        </w:rPr>
        <w:t>〔20</w:t>
      </w:r>
      <w:r>
        <w:rPr>
          <w:rFonts w:hint="eastAsia"/>
          <w:szCs w:val="32"/>
          <w:shd w:val="clear" w:color="auto" w:fill="FFFFFF"/>
        </w:rPr>
        <w:t>2</w:t>
      </w:r>
      <w:r>
        <w:rPr>
          <w:rFonts w:hint="eastAsia"/>
          <w:szCs w:val="32"/>
          <w:shd w:val="clear" w:color="auto" w:fill="FFFFFF"/>
          <w:lang w:val="en-US" w:eastAsia="zh-CN"/>
        </w:rPr>
        <w:t>3</w:t>
      </w:r>
      <w:r>
        <w:rPr>
          <w:szCs w:val="32"/>
          <w:shd w:val="clear" w:color="auto" w:fill="FFFFFF"/>
        </w:rPr>
        <w:t>〕</w:t>
      </w:r>
      <w:r>
        <w:rPr>
          <w:rFonts w:hint="eastAsia"/>
          <w:szCs w:val="32"/>
          <w:shd w:val="clear" w:color="auto" w:fill="FFFFFF"/>
          <w:lang w:val="en-US" w:eastAsia="zh-CN"/>
        </w:rPr>
        <w:t>72</w:t>
      </w:r>
      <w:r>
        <w:rPr>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方正仿宋_GBK" w:cs="方正仿宋_GBK"/>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eastAsia="zh-CN"/>
        </w:rPr>
        <w:t>委属各事业单位、机关各科室</w:t>
      </w:r>
      <w:r>
        <w:rPr>
          <w:rFonts w:hint="eastAsia" w:ascii="Times New Roman" w:hAnsi="Times New Roman" w:eastAsia="方正仿宋_GBK" w:cs="方正仿宋_GBK"/>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根据《重庆市行政规范性文件管理办法》（重庆市人民政府令第329号）规定，县</w:t>
      </w:r>
      <w:r>
        <w:rPr>
          <w:rFonts w:hint="eastAsia" w:ascii="Times New Roman" w:hAnsi="Times New Roman" w:eastAsia="方正仿宋_GBK" w:cs="Times New Roman"/>
          <w:sz w:val="32"/>
          <w:szCs w:val="32"/>
          <w:shd w:val="clear" w:color="auto" w:fill="FFFFFF"/>
          <w:lang w:eastAsia="zh-CN"/>
        </w:rPr>
        <w:t>住房城乡建委就现行有效的部门行政规范性文件进行了清理，</w:t>
      </w:r>
      <w:r>
        <w:rPr>
          <w:rFonts w:hint="eastAsia" w:ascii="Times New Roman" w:hAnsi="Times New Roman" w:eastAsia="方正仿宋_GBK" w:cs="Times New Roman"/>
          <w:sz w:val="32"/>
          <w:szCs w:val="32"/>
          <w:shd w:val="clear" w:color="auto" w:fill="FFFFFF"/>
        </w:rPr>
        <w:t>根据清理</w:t>
      </w:r>
      <w:r>
        <w:rPr>
          <w:rFonts w:hint="eastAsia" w:ascii="Times New Roman" w:hAnsi="Times New Roman" w:eastAsia="方正仿宋_GBK" w:cs="方正仿宋_GBK"/>
          <w:color w:val="auto"/>
          <w:sz w:val="32"/>
          <w:szCs w:val="32"/>
          <w:shd w:val="clear" w:color="auto" w:fill="FFFFFF"/>
        </w:rPr>
        <w:t>结果，决定</w:t>
      </w:r>
      <w:r>
        <w:rPr>
          <w:rFonts w:hint="eastAsia" w:ascii="Times New Roman" w:hAnsi="Times New Roman" w:eastAsia="方正仿宋_GBK" w:cs="方正仿宋_GBK"/>
          <w:color w:val="auto"/>
          <w:sz w:val="32"/>
          <w:szCs w:val="32"/>
          <w:shd w:val="clear" w:color="auto" w:fill="FFFFFF"/>
          <w:lang w:eastAsia="zh-CN"/>
        </w:rPr>
        <w:t>将《巫溪县城乡建设委员会关于〈进一步规范建筑工地管理〉的通知</w:t>
      </w:r>
      <w:r>
        <w:rPr>
          <w:rFonts w:hint="eastAsia" w:ascii="Times New Roman" w:hAnsi="Times New Roman" w:eastAsia="方正仿宋_GBK" w:cs="Times New Roman"/>
          <w:sz w:val="32"/>
          <w:szCs w:val="32"/>
          <w:shd w:val="clear" w:color="auto" w:fill="FFFFFF"/>
          <w:lang w:eastAsia="zh-CN"/>
        </w:rPr>
        <w:t>》等</w:t>
      </w:r>
      <w:r>
        <w:rPr>
          <w:rFonts w:hint="eastAsia" w:ascii="Times New Roman" w:hAnsi="Times New Roman" w:eastAsia="方正仿宋_GBK" w:cs="Times New Roman"/>
          <w:sz w:val="32"/>
          <w:szCs w:val="32"/>
          <w:shd w:val="clear" w:color="auto" w:fill="FFFFFF"/>
          <w:lang w:val="en-US" w:eastAsia="zh-CN"/>
        </w:rPr>
        <w:t>1</w:t>
      </w:r>
      <w:r>
        <w:rPr>
          <w:rFonts w:hint="eastAsia"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rPr>
        <w:t>件</w:t>
      </w:r>
      <w:r>
        <w:rPr>
          <w:rFonts w:hint="eastAsia" w:ascii="Times New Roman" w:hAnsi="Times New Roman" w:eastAsia="方正仿宋_GBK" w:cs="Times New Roman"/>
          <w:sz w:val="32"/>
          <w:szCs w:val="32"/>
          <w:shd w:val="clear" w:color="auto" w:fill="FFFFFF"/>
          <w:lang w:eastAsia="zh-CN"/>
        </w:rPr>
        <w:t>文件</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详</w:t>
      </w:r>
      <w:r>
        <w:rPr>
          <w:rFonts w:hint="eastAsia" w:ascii="Times New Roman" w:hAnsi="Times New Roman" w:eastAsia="方正仿宋_GBK" w:cs="Times New Roman"/>
          <w:sz w:val="32"/>
          <w:szCs w:val="32"/>
          <w:shd w:val="clear" w:color="auto" w:fill="FFFFFF"/>
        </w:rPr>
        <w:t>见附件）</w:t>
      </w:r>
      <w:r>
        <w:rPr>
          <w:rFonts w:hint="eastAsia" w:ascii="Times New Roman" w:hAnsi="Times New Roman" w:eastAsia="方正仿宋_GBK" w:cs="Times New Roman"/>
          <w:sz w:val="32"/>
          <w:szCs w:val="32"/>
          <w:shd w:val="clear" w:color="auto" w:fill="FFFFFF"/>
          <w:lang w:eastAsia="zh-CN"/>
        </w:rPr>
        <w:t>予以废止。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Times New Roman"/>
          <w:sz w:val="32"/>
          <w:szCs w:val="32"/>
          <w:shd w:val="clear" w:color="auto" w:fill="FFFFFF"/>
        </w:rPr>
        <w:t>本决定</w:t>
      </w:r>
      <w:r>
        <w:rPr>
          <w:rFonts w:hint="eastAsia" w:ascii="Times New Roman" w:hAnsi="Times New Roman" w:eastAsia="方正仿宋_GBK" w:cs="Times New Roman"/>
          <w:sz w:val="32"/>
          <w:szCs w:val="32"/>
          <w:shd w:val="clear" w:color="auto" w:fill="FFFFFF"/>
          <w:lang w:eastAsia="zh-CN"/>
        </w:rPr>
        <w:t>自公布</w:t>
      </w:r>
      <w:r>
        <w:rPr>
          <w:rFonts w:hint="eastAsia" w:ascii="Times New Roman" w:hAnsi="Times New Roman" w:eastAsia="方正仿宋_GBK" w:cs="Times New Roman"/>
          <w:sz w:val="32"/>
          <w:szCs w:val="32"/>
          <w:shd w:val="clear" w:color="auto" w:fill="FFFFFF"/>
        </w:rPr>
        <w:t>之日起</w:t>
      </w:r>
      <w:r>
        <w:rPr>
          <w:rFonts w:hint="eastAsia" w:ascii="Times New Roman" w:hAnsi="Times New Roman" w:eastAsia="方正仿宋_GBK" w:cs="Times New Roman"/>
          <w:sz w:val="32"/>
          <w:szCs w:val="32"/>
          <w:shd w:val="clear" w:color="auto" w:fill="FFFFFF"/>
          <w:lang w:eastAsia="zh-CN"/>
        </w:rPr>
        <w:t>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rPr>
        <w:t>附件：废止</w:t>
      </w:r>
      <w:r>
        <w:rPr>
          <w:rFonts w:hint="eastAsia" w:ascii="Times New Roman" w:hAnsi="Times New Roman" w:eastAsia="方正仿宋_GBK" w:cs="方正仿宋_GBK"/>
          <w:color w:val="auto"/>
          <w:sz w:val="32"/>
          <w:szCs w:val="32"/>
          <w:shd w:val="clear" w:color="auto" w:fill="FFFFFF"/>
          <w:lang w:eastAsia="zh-CN"/>
        </w:rPr>
        <w:t>的部门</w:t>
      </w:r>
      <w:r>
        <w:rPr>
          <w:rFonts w:hint="eastAsia" w:ascii="Times New Roman" w:hAnsi="Times New Roman" w:eastAsia="方正仿宋_GBK" w:cs="方正仿宋_GBK"/>
          <w:color w:val="auto"/>
          <w:sz w:val="32"/>
          <w:szCs w:val="32"/>
          <w:shd w:val="clear" w:color="auto" w:fill="FFFFFF"/>
        </w:rPr>
        <w:t>规范性文件目录</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1</w:t>
      </w:r>
      <w:r>
        <w:rPr>
          <w:rFonts w:hint="eastAsia" w:cs="方正仿宋_GBK"/>
          <w:color w:val="auto"/>
          <w:sz w:val="32"/>
          <w:szCs w:val="32"/>
          <w:shd w:val="clear" w:color="auto" w:fill="FFFFFF"/>
          <w:lang w:val="en-US" w:eastAsia="zh-CN"/>
        </w:rPr>
        <w:t>2</w:t>
      </w:r>
      <w:r>
        <w:rPr>
          <w:rFonts w:hint="eastAsia" w:ascii="Times New Roman" w:hAnsi="Times New Roman" w:eastAsia="方正仿宋_GBK" w:cs="方正仿宋_GBK"/>
          <w:color w:val="auto"/>
          <w:sz w:val="32"/>
          <w:szCs w:val="32"/>
          <w:shd w:val="clear" w:color="auto" w:fill="FFFFFF"/>
          <w:lang w:val="en-US" w:eastAsia="zh-CN"/>
        </w:rPr>
        <w:t>件</w:t>
      </w:r>
      <w:r>
        <w:rPr>
          <w:rFonts w:hint="eastAsia" w:ascii="Times New Roman" w:hAnsi="Times New Roman" w:eastAsia="方正仿宋_GBK" w:cs="方正仿宋_GBK"/>
          <w:color w:val="auto"/>
          <w:sz w:val="32"/>
          <w:szCs w:val="32"/>
          <w:shd w:val="clear" w:color="auto" w:fill="FFFFFF"/>
          <w:lang w:eastAsia="zh-CN"/>
        </w:rPr>
        <w:t>）</w:t>
      </w:r>
    </w:p>
    <w:p>
      <w:pPr>
        <w:pStyle w:val="9"/>
        <w:keepNext w:val="0"/>
        <w:keepLines w:val="0"/>
        <w:pageBreakBefore w:val="0"/>
        <w:widowControl w:val="0"/>
        <w:kinsoku/>
        <w:overflowPunct/>
        <w:topLinePunct w:val="0"/>
        <w:autoSpaceDE/>
        <w:autoSpaceDN/>
        <w:bidi w:val="0"/>
        <w:adjustRightInd/>
        <w:spacing w:line="600" w:lineRule="exact"/>
        <w:ind w:left="0" w:leftChars="0" w:firstLine="0" w:firstLineChars="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巫溪县</w:t>
      </w:r>
      <w:r>
        <w:rPr>
          <w:rFonts w:hint="eastAsia" w:ascii="Times New Roman" w:hAnsi="Times New Roman" w:cs="Times New Roman"/>
          <w:color w:val="000000"/>
          <w:sz w:val="32"/>
          <w:szCs w:val="32"/>
          <w:lang w:eastAsia="zh-CN"/>
        </w:rPr>
        <w:t>住房和城乡建设委员会</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overflowPunct/>
        <w:topLinePunct w:val="0"/>
        <w:autoSpaceDE/>
        <w:autoSpaceDN/>
        <w:bidi w:val="0"/>
        <w:adjustRightInd/>
        <w:spacing w:line="600" w:lineRule="exact"/>
        <w:ind w:firstLine="5372" w:firstLineChars="17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2023年</w:t>
      </w:r>
      <w:r>
        <w:rPr>
          <w:rFonts w:hint="eastAsia" w:ascii="Times New Roman" w:hAnsi="Times New Roman"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cs="Times New Roman"/>
          <w:color w:val="000000"/>
          <w:sz w:val="32"/>
          <w:szCs w:val="32"/>
          <w:lang w:val="en-US" w:eastAsia="zh-CN"/>
        </w:rPr>
        <w:t>22</w:t>
      </w:r>
      <w:r>
        <w:rPr>
          <w:rFonts w:hint="default" w:ascii="Times New Roman" w:hAnsi="Times New Roman" w:eastAsia="方正仿宋_GBK" w:cs="Times New Roman"/>
          <w:color w:val="000000"/>
          <w:sz w:val="32"/>
          <w:szCs w:val="32"/>
          <w:lang w:val="en-US" w:eastAsia="zh-CN"/>
        </w:rPr>
        <w:t xml:space="preserve">日 </w:t>
      </w:r>
    </w:p>
    <w:p>
      <w:pPr>
        <w:pStyle w:val="2"/>
        <w:ind w:firstLine="632" w:firstLineChars="200"/>
        <w:rPr>
          <w:rFonts w:hint="eastAsia" w:cs="Times New Roman"/>
          <w:color w:val="000000"/>
          <w:sz w:val="32"/>
          <w:szCs w:val="32"/>
          <w:lang w:val="en-US" w:eastAsia="zh-CN"/>
        </w:rPr>
      </w:pPr>
      <w:r>
        <w:rPr>
          <w:rFonts w:hint="eastAsia" w:cs="Times New Roman"/>
          <w:color w:val="000000"/>
          <w:sz w:val="32"/>
          <w:szCs w:val="32"/>
          <w:lang w:val="en-US" w:eastAsia="zh-CN"/>
        </w:rPr>
        <w:t>(此件公开发布）</w:t>
      </w:r>
    </w:p>
    <w:p>
      <w:pPr>
        <w:pStyle w:val="3"/>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578" w:lineRule="exact"/>
        <w:ind w:firstLine="0" w:firstLineChars="0"/>
        <w:textAlignment w:val="auto"/>
        <w:rPr>
          <w:rFonts w:hint="eastAsia" w:ascii="Times New Roman" w:hAnsi="Times New Roman" w:eastAsia="方正黑体_GBK" w:cs="方正黑体_GBK"/>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afterLines="0" w:line="578" w:lineRule="exact"/>
        <w:ind w:firstLine="0" w:firstLineChars="0"/>
        <w:textAlignment w:val="auto"/>
        <w:rPr>
          <w:rFonts w:hint="eastAsia"/>
          <w:lang w:val="en-US" w:eastAsia="zh-CN"/>
        </w:rPr>
      </w:pPr>
      <w:r>
        <w:rPr>
          <w:rFonts w:hint="eastAsia" w:ascii="Times New Roman" w:hAnsi="Times New Roman" w:eastAsia="方正黑体_GBK" w:cs="方正黑体_GBK"/>
          <w:color w:val="auto"/>
          <w:sz w:val="32"/>
          <w:szCs w:val="32"/>
        </w:rPr>
        <w:t>附件</w:t>
      </w:r>
    </w:p>
    <w:p>
      <w:pPr>
        <w:pStyle w:val="8"/>
        <w:keepNext w:val="0"/>
        <w:keepLines w:val="0"/>
        <w:pageBreakBefore w:val="0"/>
        <w:widowControl w:val="0"/>
        <w:kinsoku/>
        <w:wordWrap/>
        <w:overflowPunct/>
        <w:topLinePunct w:val="0"/>
        <w:autoSpaceDE/>
        <w:autoSpaceDN/>
        <w:bidi w:val="0"/>
        <w:adjustRightInd/>
        <w:snapToGrid/>
        <w:spacing w:after="0" w:afterLines="0" w:line="540" w:lineRule="exact"/>
        <w:ind w:firstLine="0" w:firstLineChars="0"/>
        <w:jc w:val="center"/>
        <w:textAlignment w:val="auto"/>
        <w:rPr>
          <w:rFonts w:hint="eastAsia" w:ascii="Times New Roman" w:hAnsi="Times New Roman" w:eastAsia="方正仿宋_GBK" w:cs="方正小标宋_GBK"/>
          <w:color w:val="auto"/>
          <w:sz w:val="32"/>
          <w:szCs w:val="44"/>
          <w:lang w:eastAsia="zh-CN"/>
        </w:rPr>
      </w:pPr>
      <w:r>
        <w:rPr>
          <w:rFonts w:hint="eastAsia" w:ascii="Times New Roman" w:hAnsi="Times New Roman" w:eastAsia="方正小标宋_GBK" w:cs="方正小标宋_GBK"/>
          <w:color w:val="auto"/>
          <w:sz w:val="44"/>
          <w:szCs w:val="44"/>
        </w:rPr>
        <w:t>废止</w:t>
      </w:r>
      <w:r>
        <w:rPr>
          <w:rFonts w:hint="eastAsia" w:ascii="Times New Roman" w:hAnsi="Times New Roman" w:eastAsia="方正小标宋_GBK" w:cs="方正小标宋_GBK"/>
          <w:color w:val="auto"/>
          <w:sz w:val="44"/>
          <w:szCs w:val="44"/>
          <w:lang w:eastAsia="zh-CN"/>
        </w:rPr>
        <w:t>的部门</w:t>
      </w:r>
      <w:r>
        <w:rPr>
          <w:rFonts w:hint="eastAsia" w:ascii="Times New Roman" w:hAnsi="Times New Roman" w:eastAsia="方正小标宋_GBK" w:cs="方正小标宋_GBK"/>
          <w:color w:val="auto"/>
          <w:sz w:val="44"/>
          <w:szCs w:val="44"/>
        </w:rPr>
        <w:t>规范性文件目录</w:t>
      </w:r>
      <w:r>
        <w:rPr>
          <w:rFonts w:hint="eastAsia" w:ascii="Times New Roman" w:hAnsi="Times New Roman" w:eastAsia="方正小标宋_GBK" w:cs="方正小标宋_GBK"/>
          <w:color w:val="auto"/>
          <w:sz w:val="44"/>
          <w:szCs w:val="44"/>
          <w:lang w:eastAsia="zh-CN"/>
        </w:rPr>
        <w:t>（</w:t>
      </w:r>
      <w:r>
        <w:rPr>
          <w:rFonts w:hint="eastAsia" w:ascii="Times New Roman" w:hAnsi="Times New Roman" w:eastAsia="方正小标宋_GBK" w:cs="方正小标宋_GBK"/>
          <w:color w:val="auto"/>
          <w:sz w:val="44"/>
          <w:szCs w:val="44"/>
          <w:lang w:val="en-US" w:eastAsia="zh-CN"/>
        </w:rPr>
        <w:t>12件</w:t>
      </w:r>
      <w:r>
        <w:rPr>
          <w:rFonts w:hint="eastAsia" w:ascii="Times New Roman" w:hAnsi="Times New Roman" w:eastAsia="方正小标宋_GBK" w:cs="方正小标宋_GBK"/>
          <w:color w:val="auto"/>
          <w:sz w:val="44"/>
          <w:szCs w:val="44"/>
          <w:lang w:eastAsia="zh-CN"/>
        </w:rPr>
        <w:t>）</w:t>
      </w:r>
    </w:p>
    <w:tbl>
      <w:tblPr>
        <w:tblStyle w:val="15"/>
        <w:tblpPr w:leftFromText="180" w:rightFromText="180" w:vertAnchor="text" w:horzAnchor="page" w:tblpXSpec="center" w:tblpY="436"/>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10"/>
        <w:gridCol w:w="2072"/>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黑体_GBK"/>
                <w:b/>
                <w:bCs/>
                <w:snapToGrid w:val="0"/>
                <w:sz w:val="24"/>
                <w:szCs w:val="24"/>
              </w:rPr>
            </w:pPr>
            <w:r>
              <w:rPr>
                <w:rFonts w:hint="eastAsia" w:ascii="Times New Roman" w:hAnsi="Times New Roman" w:eastAsia="方正仿宋_GBK" w:cs="方正黑体_GBK"/>
                <w:b/>
                <w:bCs/>
                <w:snapToGrid w:val="0"/>
                <w:sz w:val="24"/>
                <w:szCs w:val="24"/>
              </w:rPr>
              <w:t>序号</w:t>
            </w:r>
          </w:p>
        </w:tc>
        <w:tc>
          <w:tcPr>
            <w:tcW w:w="4910" w:type="dxa"/>
            <w:vAlign w:val="center"/>
          </w:tcPr>
          <w:p>
            <w:pPr>
              <w:keepNext w:val="0"/>
              <w:keepLines w:val="0"/>
              <w:pageBreakBefore w:val="0"/>
              <w:kinsoku/>
              <w:wordWrap/>
              <w:overflowPunct/>
              <w:topLinePunct w:val="0"/>
              <w:autoSpaceDE/>
              <w:autoSpaceDN/>
              <w:bidi w:val="0"/>
              <w:adjustRightInd/>
              <w:snapToGrid/>
              <w:spacing w:line="400" w:lineRule="exact"/>
              <w:ind w:firstLine="472" w:firstLineChars="200"/>
              <w:jc w:val="center"/>
              <w:outlineLvl w:val="9"/>
              <w:rPr>
                <w:rFonts w:hint="eastAsia" w:ascii="Times New Roman" w:hAnsi="Times New Roman" w:eastAsia="方正仿宋_GBK" w:cs="方正黑体_GBK"/>
                <w:b/>
                <w:bCs/>
                <w:snapToGrid w:val="0"/>
                <w:sz w:val="24"/>
                <w:szCs w:val="24"/>
              </w:rPr>
            </w:pPr>
            <w:r>
              <w:rPr>
                <w:rFonts w:hint="eastAsia" w:ascii="Times New Roman" w:hAnsi="Times New Roman" w:eastAsia="方正仿宋_GBK" w:cs="方正黑体_GBK"/>
                <w:b/>
                <w:bCs/>
                <w:snapToGrid w:val="0"/>
                <w:sz w:val="24"/>
                <w:szCs w:val="24"/>
              </w:rPr>
              <w:t>文</w:t>
            </w:r>
            <w:r>
              <w:rPr>
                <w:rFonts w:hint="eastAsia" w:ascii="Times New Roman" w:hAnsi="Times New Roman" w:eastAsia="方正仿宋_GBK" w:cs="方正黑体_GBK"/>
                <w:b/>
                <w:bCs/>
                <w:snapToGrid w:val="0"/>
                <w:sz w:val="24"/>
                <w:szCs w:val="24"/>
                <w:lang w:val="en-US" w:eastAsia="zh-CN"/>
              </w:rPr>
              <w:t xml:space="preserve"> </w:t>
            </w:r>
            <w:r>
              <w:rPr>
                <w:rFonts w:hint="eastAsia" w:ascii="Times New Roman" w:hAnsi="Times New Roman" w:eastAsia="方正仿宋_GBK" w:cs="方正黑体_GBK"/>
                <w:b/>
                <w:bCs/>
                <w:snapToGrid w:val="0"/>
                <w:sz w:val="24"/>
                <w:szCs w:val="24"/>
              </w:rPr>
              <w:t>件</w:t>
            </w:r>
            <w:r>
              <w:rPr>
                <w:rFonts w:hint="eastAsia" w:ascii="Times New Roman" w:hAnsi="Times New Roman" w:eastAsia="方正仿宋_GBK" w:cs="方正黑体_GBK"/>
                <w:b/>
                <w:bCs/>
                <w:snapToGrid w:val="0"/>
                <w:sz w:val="24"/>
                <w:szCs w:val="24"/>
                <w:lang w:val="en-US" w:eastAsia="zh-CN"/>
              </w:rPr>
              <w:t xml:space="preserve"> </w:t>
            </w:r>
            <w:r>
              <w:rPr>
                <w:rFonts w:hint="eastAsia" w:ascii="Times New Roman" w:hAnsi="Times New Roman" w:eastAsia="方正仿宋_GBK" w:cs="方正黑体_GBK"/>
                <w:b/>
                <w:bCs/>
                <w:snapToGrid w:val="0"/>
                <w:sz w:val="24"/>
                <w:szCs w:val="24"/>
              </w:rPr>
              <w:t>名</w:t>
            </w:r>
            <w:r>
              <w:rPr>
                <w:rFonts w:hint="eastAsia" w:ascii="Times New Roman" w:hAnsi="Times New Roman" w:eastAsia="方正仿宋_GBK" w:cs="方正黑体_GBK"/>
                <w:b/>
                <w:bCs/>
                <w:snapToGrid w:val="0"/>
                <w:sz w:val="24"/>
                <w:szCs w:val="24"/>
                <w:lang w:val="en-US" w:eastAsia="zh-CN"/>
              </w:rPr>
              <w:t xml:space="preserve"> </w:t>
            </w:r>
            <w:r>
              <w:rPr>
                <w:rFonts w:hint="eastAsia" w:ascii="Times New Roman" w:hAnsi="Times New Roman" w:eastAsia="方正仿宋_GBK" w:cs="方正黑体_GBK"/>
                <w:b/>
                <w:bCs/>
                <w:snapToGrid w:val="0"/>
                <w:sz w:val="24"/>
                <w:szCs w:val="24"/>
              </w:rPr>
              <w:t>称</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黑体_GBK"/>
                <w:b/>
                <w:bCs/>
                <w:snapToGrid w:val="0"/>
                <w:sz w:val="24"/>
                <w:szCs w:val="24"/>
              </w:rPr>
            </w:pPr>
            <w:r>
              <w:rPr>
                <w:rFonts w:hint="eastAsia" w:ascii="Times New Roman" w:hAnsi="Times New Roman" w:eastAsia="方正仿宋_GBK" w:cs="方正黑体_GBK"/>
                <w:b/>
                <w:bCs/>
                <w:snapToGrid w:val="0"/>
                <w:sz w:val="24"/>
                <w:szCs w:val="24"/>
              </w:rPr>
              <w:t>文件号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ind w:firstLine="236" w:firstLineChars="100"/>
              <w:jc w:val="center"/>
              <w:outlineLvl w:val="9"/>
              <w:rPr>
                <w:rFonts w:hint="eastAsia" w:ascii="Times New Roman" w:hAnsi="Times New Roman" w:eastAsia="方正仿宋_GBK" w:cs="方正黑体_GBK"/>
                <w:b/>
                <w:bCs/>
                <w:snapToGrid w:val="0"/>
                <w:sz w:val="24"/>
                <w:szCs w:val="24"/>
                <w:lang w:val="en-US" w:eastAsia="zh-CN"/>
              </w:rPr>
            </w:pPr>
            <w:r>
              <w:rPr>
                <w:rFonts w:hint="eastAsia" w:ascii="Times New Roman" w:hAnsi="Times New Roman" w:eastAsia="方正仿宋_GBK" w:cs="方正黑体_GBK"/>
                <w:b/>
                <w:bCs/>
                <w:snapToGrid w:val="0"/>
                <w:sz w:val="24"/>
                <w:szCs w:val="24"/>
                <w:lang w:val="en-US" w:eastAsia="zh-CN"/>
              </w:rPr>
              <w:t>废止理由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1</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t>巫溪县城厢建设委员会关于进一步</w:t>
            </w:r>
            <w:r>
              <w:rPr>
                <w:rFonts w:hint="eastAsia" w:ascii="Times New Roman" w:hAnsi="Times New Roman" w:eastAsia="方正仿宋_GBK" w:cs="方正仿宋_GBK"/>
                <w:b w:val="0"/>
                <w:bCs w:val="0"/>
                <w:color w:val="000000" w:themeColor="text1"/>
                <w:kern w:val="28"/>
                <w:sz w:val="24"/>
                <w:szCs w:val="24"/>
                <w14:textFill>
                  <w14:solidFill>
                    <w14:schemeClr w14:val="tx1"/>
                  </w14:solidFill>
                </w14:textFill>
              </w:rPr>
              <w:t>加强建筑施工安全生产防暑降温及防洪防汛工作的紧急通知</w:t>
            </w:r>
            <w:r>
              <w:rPr>
                <w:rFonts w:hint="eastAsia" w:ascii="Times New Roman" w:hAnsi="Times New Roman" w:eastAsia="方正仿宋_GBK" w:cs="方正仿宋_GBK"/>
                <w:b w:val="0"/>
                <w:bCs w:val="0"/>
                <w:color w:val="000000" w:themeColor="text1"/>
                <w:kern w:val="28"/>
                <w:sz w:val="24"/>
                <w:szCs w:val="24"/>
                <w:lang w:eastAsia="zh-CN"/>
                <w14:textFill>
                  <w14:solidFill>
                    <w14:schemeClr w14:val="tx1"/>
                  </w14:solidFill>
                </w14:textFill>
              </w:rPr>
              <w:t>》</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巫溪城建发〔2014〕56号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已过使用期限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2</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巫溪县城乡建设委员会关于进一步规范建筑工地管理的通知</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巫溪城建发〔2012〕69号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已过使用期限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3</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《巫溪县城乡建设委员会关于印发巫溪县建筑起重机械安全监督管理办法的通知》</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巫溪城建发〔2014〕133号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已过使用期限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4</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巫溪县城乡建设委员会关于印发建筑施工领域安全风险分级管控与隐患“日周月”排查治理双重预防工作机制实施方案的通知</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p>
        </w:tc>
        <w:tc>
          <w:tcPr>
            <w:tcW w:w="2072" w:type="dxa"/>
            <w:vAlign w:val="center"/>
          </w:tcPr>
          <w:p>
            <w:pPr>
              <w:keepNext w:val="0"/>
              <w:keepLines w:val="0"/>
              <w:pageBreakBefore w:val="0"/>
              <w:tabs>
                <w:tab w:val="left" w:pos="8320"/>
                <w:tab w:val="left" w:pos="8640"/>
              </w:tabs>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巫溪城建发〔2017〕198号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已过使用期限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5</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巫溪县城乡建设委员会关于印发建筑施工企业落实全员安全生产责任制实施方案的通知</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p>
        </w:tc>
        <w:tc>
          <w:tcPr>
            <w:tcW w:w="2072" w:type="dxa"/>
            <w:vAlign w:val="center"/>
          </w:tcPr>
          <w:p>
            <w:pPr>
              <w:keepNext w:val="0"/>
              <w:keepLines w:val="0"/>
              <w:pageBreakBefore w:val="0"/>
              <w:tabs>
                <w:tab w:val="left" w:pos="8320"/>
                <w:tab w:val="left" w:pos="8640"/>
              </w:tabs>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巫溪城建发〔2017〕199号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已过使用期限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6</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《巫溪县城乡建设委员</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会巫溪县城市管理局</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关于印发巫溪县城区建筑弃渣污染防治规定的通知》</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巫溪城建发〔2018〕91号</w:t>
            </w:r>
          </w:p>
        </w:tc>
        <w:tc>
          <w:tcPr>
            <w:tcW w:w="2193" w:type="dxa"/>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无上位依据或上位依据失效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7</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巫溪县住房和城乡建设委员会关于建筑施工现场扬尘治理实现“红黄绿”牌管理的通知</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巫溪住建发〔2020〕6号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eastAsia="zh-CN"/>
                <w14:textFill>
                  <w14:solidFill>
                    <w14:schemeClr w14:val="tx1"/>
                  </w14:solidFill>
                </w14:textFill>
              </w:rPr>
              <w:t>涉嫌增设行政许可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8</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巫溪县住房和城乡建设委员会关于印发建筑施工冬春季消防火灾防控方案的通知</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巫溪住建发〔2021〕2号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已过使用期限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9</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巫溪住房和城乡建设委员会关于住房城乡建设领域使用第三方信用报告的通知</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巫溪住建发〔2020〕170号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eastAsia="zh-CN"/>
                <w14:textFill>
                  <w14:solidFill>
                    <w14:schemeClr w14:val="tx1"/>
                  </w14:solidFill>
                </w14:textFill>
              </w:rPr>
              <w:t>涉嫌增设行政许可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10</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巫溪县住房和城乡建设委员会关于加强农房建设和危房改造质量安全管理的通知</w:t>
            </w:r>
            <w:r>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t>》</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kern w:val="0"/>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巫溪住建发〔2021〕114号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bCs/>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t>市级政策发生变化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 w:type="dxa"/>
            <w:vAlign w:val="center"/>
          </w:tcPr>
          <w:p>
            <w:pPr>
              <w:keepNext w:val="0"/>
              <w:keepLines w:val="0"/>
              <w:pageBreakBefore w:val="0"/>
              <w:tabs>
                <w:tab w:val="left" w:pos="445"/>
              </w:tabs>
              <w:kinsoku/>
              <w:wordWrap/>
              <w:overflowPunct/>
              <w:topLinePunct w:val="0"/>
              <w:autoSpaceDE/>
              <w:autoSpaceDN/>
              <w:bidi w:val="0"/>
              <w:adjustRightInd/>
              <w:snapToGrid/>
              <w:spacing w:line="400" w:lineRule="exact"/>
              <w:ind w:firstLine="236" w:firstLineChars="100"/>
              <w:jc w:val="left"/>
              <w:outlineLvl w:val="9"/>
              <w:rPr>
                <w:rFonts w:hint="default"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cs="方正仿宋_GBK"/>
                <w:b w:val="0"/>
                <w:bCs w:val="0"/>
                <w:snapToGrid w:val="0"/>
                <w:color w:val="000000" w:themeColor="text1"/>
                <w:sz w:val="24"/>
                <w:szCs w:val="24"/>
                <w:lang w:val="en-US" w:eastAsia="zh-CN"/>
                <w14:textFill>
                  <w14:solidFill>
                    <w14:schemeClr w14:val="tx1"/>
                  </w14:solidFill>
                </w14:textFill>
              </w:rPr>
              <w:t>11</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Times New Roman" w:hAnsi="Times New Roman" w:eastAsia="方正仿宋_GBK" w:cs="方正仿宋_GBK"/>
                <w:b w:val="0"/>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i w:val="0"/>
                <w:caps w:val="0"/>
                <w:color w:val="606266"/>
                <w:spacing w:val="0"/>
                <w:sz w:val="24"/>
                <w:szCs w:val="24"/>
                <w:shd w:val="clear" w:fill="FFFFFF" w:themeFill="background1"/>
              </w:rPr>
              <w:t>巫溪县住房和城乡建设委员会巫溪县消防救</w:t>
            </w:r>
            <w:r>
              <w:rPr>
                <w:rFonts w:hint="eastAsia" w:ascii="方正仿宋_GBK" w:hAnsi="方正仿宋_GBK" w:eastAsia="方正仿宋_GBK" w:cs="方正仿宋_GBK"/>
                <w:b w:val="0"/>
                <w:bCs w:val="0"/>
                <w:i w:val="0"/>
                <w:caps w:val="0"/>
                <w:color w:val="606266"/>
                <w:spacing w:val="0"/>
                <w:sz w:val="24"/>
                <w:szCs w:val="24"/>
                <w:shd w:val="clear" w:fill="FFFFFF" w:themeFill="background1"/>
              </w:rPr>
              <w:t>援大队关于明确消防设施紧急使用物业专项维修资金有关事项的通知</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巫溪住建发〔202</w:t>
            </w:r>
            <w:r>
              <w:rPr>
                <w:rFonts w:hint="eastAsia" w:cs="方正仿宋_GBK"/>
                <w:b w:val="0"/>
                <w:bCs w:val="0"/>
                <w:color w:val="000000" w:themeColor="text1"/>
                <w:sz w:val="24"/>
                <w:szCs w:val="24"/>
                <w:lang w:val="en-US" w:eastAsia="zh-CN"/>
                <w14:textFill>
                  <w14:solidFill>
                    <w14:schemeClr w14:val="tx1"/>
                  </w14:solidFill>
                </w14:textFill>
              </w:rPr>
              <w:t>0</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〕11</w:t>
            </w:r>
            <w:r>
              <w:rPr>
                <w:rFonts w:hint="eastAsia" w:cs="方正仿宋_GBK"/>
                <w:b w:val="0"/>
                <w:bCs w:val="0"/>
                <w:color w:val="000000" w:themeColor="text1"/>
                <w:sz w:val="24"/>
                <w:szCs w:val="24"/>
                <w:lang w:val="en-US" w:eastAsia="zh-CN"/>
                <w14:textFill>
                  <w14:solidFill>
                    <w14:schemeClr w14:val="tx1"/>
                  </w14:solidFill>
                </w14:textFill>
              </w:rPr>
              <w:t>2</w:t>
            </w: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cs="方正仿宋_GBK"/>
                <w:b w:val="0"/>
                <w:bCs w:val="0"/>
                <w:snapToGrid w:val="0"/>
                <w:color w:val="000000" w:themeColor="text1"/>
                <w:sz w:val="24"/>
                <w:szCs w:val="24"/>
                <w:lang w:val="en-US" w:eastAsia="zh-CN"/>
                <w14:textFill>
                  <w14:solidFill>
                    <w14:schemeClr w14:val="tx1"/>
                  </w14:solidFill>
                </w14:textFill>
              </w:rPr>
              <w:t>上位文件失效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 w:type="dxa"/>
            <w:vAlign w:val="center"/>
          </w:tcPr>
          <w:p>
            <w:pPr>
              <w:keepNext w:val="0"/>
              <w:keepLines w:val="0"/>
              <w:pageBreakBefore w:val="0"/>
              <w:tabs>
                <w:tab w:val="left" w:pos="445"/>
              </w:tabs>
              <w:kinsoku/>
              <w:wordWrap/>
              <w:overflowPunct/>
              <w:topLinePunct w:val="0"/>
              <w:autoSpaceDE/>
              <w:autoSpaceDN/>
              <w:bidi w:val="0"/>
              <w:adjustRightInd/>
              <w:snapToGrid/>
              <w:spacing w:line="400" w:lineRule="exact"/>
              <w:ind w:firstLine="236" w:firstLineChars="100"/>
              <w:jc w:val="left"/>
              <w:outlineLvl w:val="9"/>
              <w:rPr>
                <w:rFonts w:hint="default" w:cs="方正仿宋_GBK"/>
                <w:b w:val="0"/>
                <w:bCs w:val="0"/>
                <w:snapToGrid w:val="0"/>
                <w:color w:val="000000" w:themeColor="text1"/>
                <w:sz w:val="24"/>
                <w:szCs w:val="24"/>
                <w:lang w:val="en-US" w:eastAsia="zh-CN"/>
                <w14:textFill>
                  <w14:solidFill>
                    <w14:schemeClr w14:val="tx1"/>
                  </w14:solidFill>
                </w14:textFill>
              </w:rPr>
            </w:pPr>
            <w:r>
              <w:rPr>
                <w:rFonts w:hint="eastAsia" w:cs="方正仿宋_GBK"/>
                <w:b w:val="0"/>
                <w:bCs w:val="0"/>
                <w:snapToGrid w:val="0"/>
                <w:color w:val="000000" w:themeColor="text1"/>
                <w:sz w:val="24"/>
                <w:szCs w:val="24"/>
                <w:lang w:val="en-US" w:eastAsia="zh-CN"/>
                <w14:textFill>
                  <w14:solidFill>
                    <w14:schemeClr w14:val="tx1"/>
                  </w14:solidFill>
                </w14:textFill>
              </w:rPr>
              <w:t>12</w:t>
            </w:r>
          </w:p>
        </w:tc>
        <w:tc>
          <w:tcPr>
            <w:tcW w:w="49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hint="eastAsia" w:ascii="方正仿宋_GBK" w:hAnsi="方正仿宋_GBK" w:eastAsia="方正仿宋_GBK" w:cs="方正仿宋_GBK"/>
                <w:b/>
                <w:bCs/>
                <w:i w:val="0"/>
                <w:caps w:val="0"/>
                <w:color w:val="606266"/>
                <w:spacing w:val="0"/>
                <w:sz w:val="24"/>
                <w:szCs w:val="24"/>
                <w:shd w:val="clear" w:fill="FFFFFF" w:themeFill="background1"/>
              </w:rPr>
            </w:pPr>
            <w:r>
              <w:rPr>
                <w:rFonts w:hint="eastAsia" w:ascii="方正仿宋_GBK" w:hAnsi="方正仿宋_GBK" w:eastAsia="方正仿宋_GBK" w:cs="方正仿宋_GBK"/>
                <w:b w:val="0"/>
                <w:bCs w:val="0"/>
                <w:i w:val="0"/>
                <w:caps w:val="0"/>
                <w:color w:val="606266"/>
                <w:spacing w:val="0"/>
                <w:sz w:val="24"/>
                <w:szCs w:val="24"/>
                <w:shd w:val="clear" w:fill="FFFFFF" w:themeFill="background1"/>
              </w:rPr>
              <w:t>巫溪县住房和城乡建设委员会关于印发巫溪县建设工程质量检测监督管理实施细则的通知</w:t>
            </w:r>
          </w:p>
        </w:tc>
        <w:tc>
          <w:tcPr>
            <w:tcW w:w="2072"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方正仿宋_GBK"/>
                <w:b w:val="0"/>
                <w:bCs w:val="0"/>
                <w:color w:val="000000" w:themeColor="text1"/>
                <w:sz w:val="24"/>
                <w:szCs w:val="24"/>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14:textFill>
                  <w14:solidFill>
                    <w14:schemeClr w14:val="tx1"/>
                  </w14:solidFill>
                </w14:textFill>
              </w:rPr>
              <w:t>巫溪住建发〔2022〕73号</w:t>
            </w:r>
          </w:p>
        </w:tc>
        <w:tc>
          <w:tcPr>
            <w:tcW w:w="2193" w:type="dxa"/>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eastAsia="方正仿宋_GBK" w:cs="方正仿宋_GBK"/>
                <w:b w:val="0"/>
                <w:bCs w:val="0"/>
                <w:snapToGrid w:val="0"/>
                <w:color w:val="000000" w:themeColor="text1"/>
                <w:sz w:val="24"/>
                <w:szCs w:val="24"/>
                <w:lang w:val="en-US" w:eastAsia="zh-CN"/>
                <w14:textFill>
                  <w14:solidFill>
                    <w14:schemeClr w14:val="tx1"/>
                  </w14:solidFill>
                </w14:textFill>
              </w:rPr>
            </w:pPr>
            <w:r>
              <w:rPr>
                <w:rFonts w:hint="eastAsia" w:cs="方正仿宋_GBK"/>
                <w:b w:val="0"/>
                <w:bCs w:val="0"/>
                <w:snapToGrid w:val="0"/>
                <w:color w:val="000000" w:themeColor="text1"/>
                <w:sz w:val="24"/>
                <w:szCs w:val="24"/>
                <w:lang w:val="en-US" w:eastAsia="zh-CN"/>
                <w14:textFill>
                  <w14:solidFill>
                    <w14:schemeClr w14:val="tx1"/>
                  </w14:solidFill>
                </w14:textFill>
              </w:rPr>
              <w:t>上位文件失效</w:t>
            </w:r>
          </w:p>
        </w:tc>
      </w:tr>
    </w:tbl>
    <w:p>
      <w:pPr>
        <w:pStyle w:val="13"/>
        <w:spacing w:after="0" w:line="240" w:lineRule="auto"/>
        <w:rPr>
          <w:rFonts w:hint="default" w:ascii="Times New Roman" w:hAnsi="Times New Roman" w:eastAsia="方正仿宋_GBK" w:cs="方正仿宋_GBK"/>
          <w:sz w:val="28"/>
          <w:szCs w:val="28"/>
          <w:lang w:val="en-US" w:eastAsia="zh-CN"/>
        </w:rPr>
      </w:pPr>
      <w:bookmarkStart w:id="0" w:name="_GoBack"/>
      <w:bookmarkEnd w:id="0"/>
    </w:p>
    <w:sectPr>
      <w:headerReference r:id="rId3" w:type="default"/>
      <w:footerReference r:id="rId4" w:type="default"/>
      <w:pgSz w:w="11906" w:h="16838"/>
      <w:pgMar w:top="1962" w:right="1474" w:bottom="1848" w:left="1588" w:header="851" w:footer="992" w:gutter="0"/>
      <w:pgNumType w:fmt="numberInDash"/>
      <w:cols w:space="720" w:num="1"/>
      <w:rtlGutter w:val="0"/>
      <w:docGrid w:type="linesAndChars" w:linePitch="59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11"/>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0" b="1143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WGuU&#10;1QAAAAgBAAAPAAAAAAAAAAEAIAAAACIAAABkcnMvZG93bnJldi54bWxQSwECFAAUAAAACACHTuJA&#10;Rf8KSesBAADCAwAADgAAAAAAAAABACAAAAAkAQAAZHJzL2Uyb0RvYy54bWxQSwUGAAAAAAYABgBZ&#10;AQAAgQUAAAAA&#10;">
              <v:fill on="f" focussize="0,0"/>
              <v:stroke weight="1.75pt" color="#005192" miterlimit="8" joinstyle="miter"/>
              <v:imagedata o:title=""/>
              <o:lock v:ext="edit" aspectratio="f"/>
            </v:line>
          </w:pict>
        </mc:Fallback>
      </mc:AlternateContent>
    </w:r>
  </w:p>
  <w:p>
    <w:pPr>
      <w:pStyle w:val="11"/>
      <w:wordWrap w:val="0"/>
      <w:jc w:val="right"/>
      <w:rPr>
        <w:rFonts w:ascii="宋体" w:hAnsi="宋体" w:cs="宋体"/>
        <w:b/>
        <w:bCs/>
        <w:color w:val="005192"/>
        <w:sz w:val="28"/>
        <w:szCs w:val="44"/>
      </w:rPr>
    </w:pPr>
    <w:r>
      <w:rPr>
        <w:rFonts w:hint="eastAsia" w:ascii="宋体" w:hAnsi="宋体" w:cs="宋体"/>
        <w:b/>
        <w:bCs/>
        <w:color w:val="005192"/>
        <w:sz w:val="28"/>
        <w:szCs w:val="44"/>
      </w:rPr>
      <w:t>重庆市</w:t>
    </w:r>
    <w:r>
      <w:rPr>
        <w:rFonts w:hint="eastAsia" w:ascii="宋体" w:hAnsi="宋体" w:cs="宋体"/>
        <w:b/>
        <w:bCs/>
        <w:color w:val="005192"/>
        <w:sz w:val="28"/>
        <w:szCs w:val="44"/>
        <w:lang w:eastAsia="zh-CN"/>
      </w:rPr>
      <w:t>巫溪县住房和建设委员会办公室</w:t>
    </w: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0" b="1143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1"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重庆市</w:t>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ZmFlNTFhYWQxZTUwZTdlMzU1ZTRjMWQ5NDg5MzU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93D58"/>
    <w:rsid w:val="042D49E6"/>
    <w:rsid w:val="0493404A"/>
    <w:rsid w:val="04B679C3"/>
    <w:rsid w:val="05323B20"/>
    <w:rsid w:val="05F07036"/>
    <w:rsid w:val="06496017"/>
    <w:rsid w:val="06E00104"/>
    <w:rsid w:val="080F63D8"/>
    <w:rsid w:val="08393BA7"/>
    <w:rsid w:val="08B977A1"/>
    <w:rsid w:val="09341458"/>
    <w:rsid w:val="098254C2"/>
    <w:rsid w:val="0A766EDE"/>
    <w:rsid w:val="0AD64BE8"/>
    <w:rsid w:val="0B0912D7"/>
    <w:rsid w:val="0CB2190E"/>
    <w:rsid w:val="0CC16B7E"/>
    <w:rsid w:val="0E025194"/>
    <w:rsid w:val="0EEF0855"/>
    <w:rsid w:val="0F8143B9"/>
    <w:rsid w:val="11DB7C71"/>
    <w:rsid w:val="152D2DCA"/>
    <w:rsid w:val="170773AB"/>
    <w:rsid w:val="18097AD9"/>
    <w:rsid w:val="187168EA"/>
    <w:rsid w:val="196673CA"/>
    <w:rsid w:val="1A9A6167"/>
    <w:rsid w:val="1CF147C7"/>
    <w:rsid w:val="1CF734C9"/>
    <w:rsid w:val="1D0600A4"/>
    <w:rsid w:val="1D951428"/>
    <w:rsid w:val="1DEC284C"/>
    <w:rsid w:val="1E6523AC"/>
    <w:rsid w:val="1F966B02"/>
    <w:rsid w:val="201B3E66"/>
    <w:rsid w:val="214E080F"/>
    <w:rsid w:val="22440422"/>
    <w:rsid w:val="22BB4BBB"/>
    <w:rsid w:val="23EA3A53"/>
    <w:rsid w:val="24C77958"/>
    <w:rsid w:val="25EB1AF4"/>
    <w:rsid w:val="2618019A"/>
    <w:rsid w:val="26DE5BEE"/>
    <w:rsid w:val="2964062C"/>
    <w:rsid w:val="2BBF5FEE"/>
    <w:rsid w:val="2CB81AC6"/>
    <w:rsid w:val="2DAD678D"/>
    <w:rsid w:val="2DD05FE1"/>
    <w:rsid w:val="2EAE3447"/>
    <w:rsid w:val="319B78DD"/>
    <w:rsid w:val="31A15F24"/>
    <w:rsid w:val="33510CC6"/>
    <w:rsid w:val="36FB1DF0"/>
    <w:rsid w:val="37B53210"/>
    <w:rsid w:val="395347B5"/>
    <w:rsid w:val="397D1296"/>
    <w:rsid w:val="39A232A0"/>
    <w:rsid w:val="39E745AA"/>
    <w:rsid w:val="3B5A6BBB"/>
    <w:rsid w:val="3CA154E3"/>
    <w:rsid w:val="3EC11C25"/>
    <w:rsid w:val="3EDA13A6"/>
    <w:rsid w:val="3FF56C14"/>
    <w:rsid w:val="400B13AA"/>
    <w:rsid w:val="417B75E9"/>
    <w:rsid w:val="42430A63"/>
    <w:rsid w:val="42F058B7"/>
    <w:rsid w:val="436109F6"/>
    <w:rsid w:val="441A38D4"/>
    <w:rsid w:val="44832D3F"/>
    <w:rsid w:val="4504239D"/>
    <w:rsid w:val="4BC77339"/>
    <w:rsid w:val="4C9236C5"/>
    <w:rsid w:val="4DFD6D30"/>
    <w:rsid w:val="4E250A85"/>
    <w:rsid w:val="4FFD4925"/>
    <w:rsid w:val="505C172E"/>
    <w:rsid w:val="506405EA"/>
    <w:rsid w:val="52313360"/>
    <w:rsid w:val="52F46F0B"/>
    <w:rsid w:val="532B6A10"/>
    <w:rsid w:val="539E4E99"/>
    <w:rsid w:val="53D8014D"/>
    <w:rsid w:val="550C209A"/>
    <w:rsid w:val="55E064E0"/>
    <w:rsid w:val="56A93273"/>
    <w:rsid w:val="572C6D10"/>
    <w:rsid w:val="5C817D87"/>
    <w:rsid w:val="5D663C6C"/>
    <w:rsid w:val="5DC34279"/>
    <w:rsid w:val="5DFA0D2E"/>
    <w:rsid w:val="5FCD688E"/>
    <w:rsid w:val="5FD408AE"/>
    <w:rsid w:val="5FF9BDAA"/>
    <w:rsid w:val="6013250F"/>
    <w:rsid w:val="608816D1"/>
    <w:rsid w:val="60EF4E7F"/>
    <w:rsid w:val="628A506A"/>
    <w:rsid w:val="63701A69"/>
    <w:rsid w:val="648B0A32"/>
    <w:rsid w:val="655C634A"/>
    <w:rsid w:val="658F6764"/>
    <w:rsid w:val="665233C1"/>
    <w:rsid w:val="66E71282"/>
    <w:rsid w:val="69AC0D42"/>
    <w:rsid w:val="6AD9688B"/>
    <w:rsid w:val="6B68303F"/>
    <w:rsid w:val="6B882FFF"/>
    <w:rsid w:val="6CC4688A"/>
    <w:rsid w:val="6D0E3F22"/>
    <w:rsid w:val="71224680"/>
    <w:rsid w:val="71900E5F"/>
    <w:rsid w:val="72075C73"/>
    <w:rsid w:val="744E4660"/>
    <w:rsid w:val="753355A2"/>
    <w:rsid w:val="759F1C61"/>
    <w:rsid w:val="75B55A9A"/>
    <w:rsid w:val="769F2DE8"/>
    <w:rsid w:val="76FDEB7C"/>
    <w:rsid w:val="7826374D"/>
    <w:rsid w:val="7982049C"/>
    <w:rsid w:val="79C65162"/>
    <w:rsid w:val="79EE7E31"/>
    <w:rsid w:val="7A4F7B0A"/>
    <w:rsid w:val="7B5F0E21"/>
    <w:rsid w:val="7BB6D5F7"/>
    <w:rsid w:val="7BF773EF"/>
    <w:rsid w:val="7C80031C"/>
    <w:rsid w:val="7C9011D9"/>
    <w:rsid w:val="7CA93830"/>
    <w:rsid w:val="7DC651C5"/>
    <w:rsid w:val="7F5F1379"/>
    <w:rsid w:val="7FCC2834"/>
    <w:rsid w:val="7FE50BD3"/>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6">
    <w:name w:val="heading 4"/>
    <w:basedOn w:val="5"/>
    <w:next w:val="1"/>
    <w:unhideWhenUsed/>
    <w:qFormat/>
    <w:uiPriority w:val="0"/>
    <w:pPr>
      <w:keepNext/>
      <w:keepLines/>
      <w:spacing w:before="280" w:after="290" w:line="372" w:lineRule="auto"/>
      <w:outlineLvl w:val="3"/>
    </w:pPr>
    <w:rPr>
      <w:rFonts w:ascii="Arial" w:hAnsi="Arial" w:eastAsia="黑体"/>
      <w:sz w:val="28"/>
    </w:rPr>
  </w:style>
  <w:style w:type="character" w:default="1" w:styleId="16">
    <w:name w:val="Default Paragraph Font"/>
    <w:link w:val="17"/>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annotation text"/>
    <w:basedOn w:val="1"/>
    <w:qFormat/>
    <w:uiPriority w:val="0"/>
    <w:pPr>
      <w:jc w:val="left"/>
    </w:pPr>
  </w:style>
  <w:style w:type="paragraph" w:styleId="8">
    <w:name w:val="Body Text"/>
    <w:basedOn w:val="1"/>
    <w:next w:val="9"/>
    <w:qFormat/>
    <w:uiPriority w:val="0"/>
    <w:pPr>
      <w:spacing w:line="240" w:lineRule="atLeast"/>
    </w:pPr>
    <w:rPr>
      <w:rFonts w:ascii="Calibri" w:hAnsi="Calibri" w:eastAsia="宋体"/>
      <w:sz w:val="21"/>
      <w:szCs w:val="22"/>
    </w:rPr>
  </w:style>
  <w:style w:type="paragraph" w:styleId="9">
    <w:name w:val="toc 5"/>
    <w:basedOn w:val="1"/>
    <w:next w:val="1"/>
    <w:qFormat/>
    <w:uiPriority w:val="0"/>
    <w:pPr>
      <w:ind w:left="1680" w:leftChars="800"/>
    </w:pPr>
    <w:rPr>
      <w:rFonts w:ascii="Calibri" w:hAnsi="Calibri"/>
    </w:rPr>
  </w:style>
  <w:style w:type="paragraph" w:styleId="10">
    <w:name w:val="Balloon Text"/>
    <w:basedOn w:val="1"/>
    <w:link w:val="21"/>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7"/>
    <w:basedOn w:val="1"/>
    <w:next w:val="1"/>
    <w:unhideWhenUsed/>
    <w:uiPriority w:val="99"/>
    <w:pPr>
      <w:ind w:left="1200" w:leftChars="1200"/>
    </w:pPr>
  </w:style>
  <w:style w:type="paragraph" w:styleId="13">
    <w:name w:val="Body Text 2"/>
    <w:basedOn w:val="1"/>
    <w:qFormat/>
    <w:uiPriority w:val="0"/>
    <w:pPr>
      <w:spacing w:after="120" w:line="480" w:lineRule="auto"/>
    </w:pPr>
    <w:rPr>
      <w:rFonts w:ascii="Tahoma" w:hAnsi="Tahoma" w:eastAsia="宋体"/>
      <w:sz w:val="21"/>
      <w:szCs w:val="24"/>
    </w:rPr>
  </w:style>
  <w:style w:type="paragraph" w:styleId="14">
    <w:name w:val="Normal (Web)"/>
    <w:basedOn w:val="1"/>
    <w:qFormat/>
    <w:uiPriority w:val="0"/>
    <w:pPr>
      <w:spacing w:beforeAutospacing="1" w:afterAutospacing="1"/>
      <w:jc w:val="left"/>
    </w:pPr>
    <w:rPr>
      <w:rFonts w:cs="Times New Roman"/>
      <w:kern w:val="0"/>
      <w:sz w:val="24"/>
    </w:rPr>
  </w:style>
  <w:style w:type="paragraph" w:customStyle="1" w:styleId="17">
    <w:name w:val=" Char Char Char Char Char Char Char"/>
    <w:basedOn w:val="1"/>
    <w:link w:val="16"/>
    <w:qFormat/>
    <w:uiPriority w:val="0"/>
    <w:pPr>
      <w:widowControl/>
      <w:spacing w:after="160" w:afterLines="0" w:line="240" w:lineRule="exact"/>
      <w:jc w:val="left"/>
    </w:pPr>
  </w:style>
  <w:style w:type="character" w:styleId="18">
    <w:name w:val="Strong"/>
    <w:basedOn w:val="16"/>
    <w:qFormat/>
    <w:uiPriority w:val="0"/>
    <w:rPr>
      <w:b/>
      <w:bCs/>
    </w:rPr>
  </w:style>
  <w:style w:type="character" w:styleId="19">
    <w:name w:val="page number"/>
    <w:basedOn w:val="16"/>
    <w:qFormat/>
    <w:uiPriority w:val="0"/>
  </w:style>
  <w:style w:type="character" w:styleId="20">
    <w:name w:val="annotation reference"/>
    <w:basedOn w:val="16"/>
    <w:qFormat/>
    <w:uiPriority w:val="0"/>
    <w:rPr>
      <w:sz w:val="21"/>
      <w:szCs w:val="21"/>
    </w:rPr>
  </w:style>
  <w:style w:type="character" w:customStyle="1" w:styleId="21">
    <w:name w:val="批注框文本 Char"/>
    <w:basedOn w:val="16"/>
    <w:link w:val="10"/>
    <w:qFormat/>
    <w:uiPriority w:val="0"/>
    <w:rPr>
      <w:rFonts w:ascii="Calibri" w:hAnsi="Calibri" w:eastAsia="宋体" w:cs="Times New Roman"/>
      <w:kern w:val="2"/>
      <w:sz w:val="18"/>
      <w:szCs w:val="18"/>
    </w:rPr>
  </w:style>
  <w:style w:type="paragraph" w:customStyle="1" w:styleId="22">
    <w:name w:val="Normal (Web)"/>
    <w:basedOn w:val="1"/>
    <w:qFormat/>
    <w:uiPriority w:val="0"/>
    <w:pPr>
      <w:spacing w:before="100" w:beforeAutospacing="1" w:after="100" w:afterAutospacing="1"/>
      <w:jc w:val="left"/>
    </w:pPr>
    <w:rPr>
      <w:rFonts w:ascii="Calibri" w:hAnsi="Calibri" w:eastAsia="宋体"/>
      <w:kern w:val="0"/>
      <w:sz w:val="24"/>
    </w:rPr>
  </w:style>
  <w:style w:type="paragraph" w:customStyle="1" w:styleId="23">
    <w:name w:val="p0"/>
    <w:basedOn w:val="1"/>
    <w:qFormat/>
    <w:uiPriority w:val="0"/>
    <w:pPr>
      <w:widowControl/>
    </w:pPr>
    <w:rPr>
      <w:rFonts w:ascii="Calibri" w:hAnsi="Calibri" w:eastAsia="宋体" w:cs="宋体"/>
      <w:kern w:val="0"/>
      <w:szCs w:val="32"/>
    </w:rPr>
  </w:style>
  <w:style w:type="paragraph" w:customStyle="1" w:styleId="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25">
    <w:name w:val="List Paragraph"/>
    <w:basedOn w:val="1"/>
    <w:qFormat/>
    <w:uiPriority w:val="34"/>
    <w:pPr>
      <w:ind w:firstLine="42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2</Pages>
  <Words>832</Words>
  <Characters>889</Characters>
  <Lines>26</Lines>
  <Paragraphs>7</Paragraphs>
  <TotalTime>20</TotalTime>
  <ScaleCrop>false</ScaleCrop>
  <LinksUpToDate>false</LinksUpToDate>
  <CharactersWithSpaces>896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2022-06-09T09:32:00Z</dcterms:created>
  <dc:creator>罗玲</dc:creator>
  <cp:lastModifiedBy>杜伟</cp:lastModifiedBy>
  <cp:lastPrinted>2022-06-07T00:09:00Z</cp:lastPrinted>
  <dcterms:modified xsi:type="dcterms:W3CDTF">2023-12-20T09:25:24Z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7AE9670E74A24C148CE73FB427CA577E_13</vt:lpwstr>
  </property>
</Properties>
</file>