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巫溪县柏杨街道劳动就业和社会保障服务所</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2024年度决算公开说明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Style w:val="8"/>
          <w:rFonts w:hint="eastAsia" w:ascii="方正仿宋_GBK" w:hAnsi="方正仿宋_GBK" w:eastAsia="方正仿宋_GBK" w:cs="方正仿宋_GBK"/>
          <w:sz w:val="32"/>
          <w:szCs w:val="32"/>
          <w:shd w:val="clear" w:color="auto" w:fill="FFFFFF"/>
        </w:rPr>
      </w:pPr>
    </w:p>
    <w:p>
      <w:pPr>
        <w:pStyle w:val="5"/>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78"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一、</w:t>
      </w:r>
      <w:r>
        <w:rPr>
          <w:rStyle w:val="8"/>
          <w:rFonts w:hint="eastAsia" w:ascii="方正黑体_GBK" w:hAnsi="方正黑体_GBK" w:eastAsia="方正黑体_GBK" w:cs="方正黑体_GBK"/>
          <w:b w:val="0"/>
          <w:bCs/>
          <w:sz w:val="32"/>
          <w:szCs w:val="32"/>
          <w:shd w:val="clear" w:color="auto" w:fill="FFFFFF"/>
          <w:lang w:eastAsia="zh-CN"/>
        </w:rPr>
        <w:t>单位</w:t>
      </w:r>
      <w:r>
        <w:rPr>
          <w:rStyle w:val="8"/>
          <w:rFonts w:hint="eastAsia" w:ascii="方正黑体_GBK" w:hAnsi="方正黑体_GBK" w:eastAsia="方正黑体_GBK" w:cs="方正黑体_GBK"/>
          <w:b w:val="0"/>
          <w:bCs/>
          <w:sz w:val="32"/>
          <w:szCs w:val="32"/>
          <w:shd w:val="clear" w:color="auto" w:fill="FFFFFF"/>
        </w:rPr>
        <w:t>基本情况</w:t>
      </w:r>
    </w:p>
    <w:p>
      <w:pPr>
        <w:pStyle w:val="5"/>
        <w:keepNext w:val="0"/>
        <w:keepLines w:val="0"/>
        <w:pageBreakBefore w:val="0"/>
        <w:widowControl/>
        <w:shd w:val="clear" w:color="auto" w:fill="FFFFFF"/>
        <w:kinsoku/>
        <w:wordWrap/>
        <w:overflowPunct/>
        <w:topLinePunct w:val="0"/>
        <w:autoSpaceDN/>
        <w:bidi w:val="0"/>
        <w:adjustRightInd w:val="0"/>
        <w:snapToGrid w:val="0"/>
        <w:spacing w:beforeAutospacing="0" w:afterAutospacing="0" w:line="578" w:lineRule="exact"/>
        <w:ind w:firstLine="420"/>
        <w:textAlignment w:val="auto"/>
        <w:rPr>
          <w:rFonts w:hint="eastAsia" w:ascii="方正楷体_GBK" w:hAnsi="方正楷体_GBK" w:eastAsia="方正楷体_GBK" w:cs="方正楷体_GBK"/>
          <w:b w:val="0"/>
          <w:bCs/>
          <w:sz w:val="32"/>
          <w:szCs w:val="32"/>
        </w:rPr>
      </w:pPr>
      <w:r>
        <w:rPr>
          <w:rStyle w:val="8"/>
          <w:rFonts w:hint="eastAsia" w:ascii="方正楷体_GBK" w:hAnsi="方正楷体_GBK" w:eastAsia="方正楷体_GBK" w:cs="方正楷体_GBK"/>
          <w:b w:val="0"/>
          <w:bCs/>
          <w:sz w:val="32"/>
          <w:szCs w:val="32"/>
          <w:shd w:val="clear" w:color="auto" w:fill="FFFFFF"/>
        </w:rPr>
        <w:t>（一）职能职责</w:t>
      </w:r>
    </w:p>
    <w:p>
      <w:pPr>
        <w:pStyle w:val="5"/>
        <w:keepNext w:val="0"/>
        <w:keepLines w:val="0"/>
        <w:pageBreakBefore w:val="0"/>
        <w:widowControl/>
        <w:shd w:val="clear" w:color="auto" w:fill="FFFFFF"/>
        <w:kinsoku/>
        <w:wordWrap/>
        <w:overflowPunct/>
        <w:topLinePunct w:val="0"/>
        <w:autoSpaceDN/>
        <w:bidi w:val="0"/>
        <w:adjustRightInd w:val="0"/>
        <w:snapToGrid w:val="0"/>
        <w:spacing w:beforeAutospacing="0" w:afterAutospacing="0" w:line="578" w:lineRule="exact"/>
        <w:ind w:firstLine="640" w:firstLineChars="200"/>
        <w:textAlignment w:val="auto"/>
        <w:rPr>
          <w:rFonts w:hint="eastAsia" w:ascii="方正仿宋_GBK" w:hAnsi="方正仿宋_GBK" w:eastAsia="方正仿宋_GBK" w:cs="方正仿宋_GBK"/>
          <w:b w:val="0"/>
          <w:bCs/>
          <w:sz w:val="32"/>
          <w:szCs w:val="32"/>
          <w:shd w:val="clear" w:color="auto" w:fill="FFFFFF"/>
          <w:lang w:eastAsia="zh-CN"/>
        </w:rPr>
      </w:pPr>
      <w:r>
        <w:rPr>
          <w:rFonts w:hint="eastAsia" w:ascii="方正仿宋_GBK" w:hAnsi="方正仿宋_GBK" w:eastAsia="方正仿宋_GBK" w:cs="方正仿宋_GBK"/>
          <w:b w:val="0"/>
          <w:bCs/>
          <w:sz w:val="32"/>
          <w:szCs w:val="32"/>
          <w:shd w:val="clear" w:color="auto" w:fill="FFFFFF"/>
          <w:lang w:eastAsia="zh-CN"/>
        </w:rPr>
        <w:t>承担职业技能培训、就业指导、创业扶持等劳动就业服务，基本养 老保险、基本医疗保险、工伤、失业和生育保险等社会保险服务等工作。</w:t>
      </w:r>
    </w:p>
    <w:p>
      <w:pPr>
        <w:pStyle w:val="5"/>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78"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二、</w:t>
      </w:r>
      <w:r>
        <w:rPr>
          <w:rStyle w:val="8"/>
          <w:rFonts w:hint="eastAsia" w:ascii="方正黑体_GBK" w:hAnsi="方正黑体_GBK" w:eastAsia="方正黑体_GBK" w:cs="方正黑体_GBK"/>
          <w:b w:val="0"/>
          <w:bCs/>
          <w:sz w:val="32"/>
          <w:szCs w:val="32"/>
          <w:shd w:val="clear" w:color="auto" w:fill="FFFFFF"/>
          <w:lang w:eastAsia="zh-CN"/>
        </w:rPr>
        <w:t>单位</w:t>
      </w:r>
      <w:r>
        <w:rPr>
          <w:rStyle w:val="8"/>
          <w:rFonts w:hint="eastAsia" w:ascii="方正黑体_GBK" w:hAnsi="方正黑体_GBK" w:eastAsia="方正黑体_GBK" w:cs="方正黑体_GBK"/>
          <w:b w:val="0"/>
          <w:bCs/>
          <w:sz w:val="32"/>
          <w:szCs w:val="32"/>
          <w:shd w:val="clear" w:color="auto" w:fill="FFFFFF"/>
        </w:rPr>
        <w:t>决算</w:t>
      </w:r>
      <w:r>
        <w:rPr>
          <w:rStyle w:val="8"/>
          <w:rFonts w:hint="eastAsia" w:ascii="方正黑体_GBK" w:hAnsi="方正黑体_GBK" w:eastAsia="方正黑体_GBK" w:cs="方正黑体_GBK"/>
          <w:b w:val="0"/>
          <w:bCs/>
          <w:sz w:val="32"/>
          <w:szCs w:val="32"/>
          <w:shd w:val="clear" w:color="auto" w:fill="FFFFFF"/>
          <w:lang w:eastAsia="zh-CN"/>
        </w:rPr>
        <w:t>收支</w:t>
      </w:r>
      <w:r>
        <w:rPr>
          <w:rStyle w:val="8"/>
          <w:rFonts w:hint="eastAsia" w:ascii="方正黑体_GBK" w:hAnsi="方正黑体_GBK" w:eastAsia="方正黑体_GBK" w:cs="方正黑体_GBK"/>
          <w:b w:val="0"/>
          <w:bCs/>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val="0"/>
        <w:snapToGrid w:val="0"/>
        <w:spacing w:beforeAutospacing="0" w:afterAutospacing="0" w:line="578" w:lineRule="exact"/>
        <w:ind w:firstLine="643"/>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（一）收入支出决算总体情况说明</w:t>
      </w:r>
    </w:p>
    <w:p>
      <w:pPr>
        <w:pStyle w:val="5"/>
        <w:keepNext w:val="0"/>
        <w:keepLines w:val="0"/>
        <w:pageBreakBefore w:val="0"/>
        <w:widowControl/>
        <w:shd w:val="clear" w:color="auto" w:fill="FFFFFF"/>
        <w:kinsoku/>
        <w:wordWrap/>
        <w:overflowPunct/>
        <w:topLinePunct w:val="0"/>
        <w:autoSpaceDN/>
        <w:bidi w:val="0"/>
        <w:adjustRightInd w:val="0"/>
        <w:snapToGrid w:val="0"/>
        <w:spacing w:beforeAutospacing="0" w:afterAutospacing="0" w:line="578" w:lineRule="exact"/>
        <w:ind w:firstLine="643" w:firstLineChars="200"/>
        <w:textAlignment w:val="auto"/>
        <w:rPr>
          <w:rFonts w:hint="eastAsia" w:ascii="方正仿宋_GBK" w:hAnsi="方正仿宋_GBK" w:eastAsia="方正仿宋_GBK" w:cs="方正仿宋_GBK"/>
          <w:b w:val="0"/>
          <w:bCs/>
          <w:sz w:val="32"/>
          <w:szCs w:val="32"/>
        </w:rPr>
      </w:pPr>
      <w:r>
        <w:rPr>
          <w:rStyle w:val="8"/>
          <w:rFonts w:hint="eastAsia" w:ascii="方正仿宋_GBK" w:hAnsi="方正仿宋_GBK" w:eastAsia="方正仿宋_GBK" w:cs="方正仿宋_GBK"/>
          <w:b/>
          <w:bCs w:val="0"/>
          <w:sz w:val="32"/>
          <w:szCs w:val="32"/>
          <w:shd w:val="clear" w:color="auto" w:fill="FFFFFF"/>
        </w:rPr>
        <w:t>1.总体情况。</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度收入总计384.39万元，支出总计</w:t>
      </w:r>
      <w:r>
        <w:rPr>
          <w:rFonts w:hint="eastAsia" w:ascii="方正仿宋_GBK" w:hAnsi="方正仿宋_GBK" w:eastAsia="方正仿宋_GBK" w:cs="方正仿宋_GBK"/>
          <w:b w:val="0"/>
          <w:bCs/>
          <w:sz w:val="32"/>
          <w:szCs w:val="32"/>
        </w:rPr>
        <w:t>384.39</w:t>
      </w:r>
      <w:r>
        <w:rPr>
          <w:rFonts w:hint="eastAsia" w:ascii="方正仿宋_GBK" w:hAnsi="方正仿宋_GBK" w:eastAsia="方正仿宋_GBK" w:cs="方正仿宋_GBK"/>
          <w:b w:val="0"/>
          <w:bCs/>
          <w:sz w:val="32"/>
          <w:szCs w:val="32"/>
          <w:shd w:val="clear" w:color="auto" w:fill="FFFFFF"/>
        </w:rPr>
        <w:t>万元。收、支与2023年度相比，增加384.39万元，增长100.0%，主要原因是</w:t>
      </w:r>
      <w:r>
        <w:rPr>
          <w:rFonts w:hint="eastAsia" w:ascii="方正仿宋_GBK" w:hAnsi="方正仿宋_GBK" w:eastAsia="方正仿宋_GBK" w:cs="方正仿宋_GBK"/>
          <w:b w:val="0"/>
          <w:bCs/>
          <w:i w:val="0"/>
          <w:iCs w:val="0"/>
          <w:caps w:val="0"/>
          <w:color w:val="333333"/>
          <w:spacing w:val="0"/>
          <w:sz w:val="32"/>
          <w:szCs w:val="32"/>
          <w:shd w:val="clear" w:fill="FFFFFF"/>
        </w:rPr>
        <w:t>本单位</w:t>
      </w:r>
      <w:r>
        <w:rPr>
          <w:rFonts w:hint="eastAsia" w:ascii="方正仿宋_GBK" w:hAnsi="方正仿宋_GBK" w:eastAsia="方正仿宋_GBK" w:cs="方正仿宋_GBK"/>
          <w:b w:val="0"/>
          <w:bCs/>
          <w:i w:val="0"/>
          <w:iCs w:val="0"/>
          <w:caps w:val="0"/>
          <w:color w:val="333333"/>
          <w:spacing w:val="0"/>
          <w:sz w:val="32"/>
          <w:szCs w:val="32"/>
          <w:shd w:val="clear" w:fill="FFFFFF"/>
          <w:lang w:val="en-US" w:eastAsia="zh-CN"/>
        </w:rPr>
        <w:t>2023年度与行政机关本级一起预算，</w:t>
      </w:r>
      <w:r>
        <w:rPr>
          <w:rFonts w:hint="eastAsia" w:ascii="方正仿宋_GBK" w:hAnsi="方正仿宋_GBK" w:eastAsia="方正仿宋_GBK" w:cs="方正仿宋_GBK"/>
          <w:b w:val="0"/>
          <w:bCs/>
          <w:i w:val="0"/>
          <w:iCs w:val="0"/>
          <w:caps w:val="0"/>
          <w:color w:val="333333"/>
          <w:spacing w:val="0"/>
          <w:sz w:val="32"/>
          <w:szCs w:val="32"/>
          <w:shd w:val="clear" w:fill="FFFFFF"/>
        </w:rPr>
        <w:t>2024年单独预算，故上年度无数据。</w:t>
      </w:r>
    </w:p>
    <w:p>
      <w:pPr>
        <w:pStyle w:val="5"/>
        <w:keepNext w:val="0"/>
        <w:keepLines w:val="0"/>
        <w:pageBreakBefore w:val="0"/>
        <w:widowControl/>
        <w:kinsoku/>
        <w:wordWrap/>
        <w:overflowPunct/>
        <w:topLinePunct w:val="0"/>
        <w:autoSpaceDN/>
        <w:bidi w:val="0"/>
        <w:adjustRightInd w:val="0"/>
        <w:snapToGrid w:val="0"/>
        <w:spacing w:before="0" w:beforeAutospacing="0" w:after="0" w:afterAutospacing="0" w:line="578" w:lineRule="exact"/>
        <w:ind w:firstLine="643" w:firstLineChars="200"/>
        <w:jc w:val="both"/>
        <w:textAlignment w:val="auto"/>
        <w:rPr>
          <w:rFonts w:hint="eastAsia" w:ascii="方正仿宋_GBK" w:hAnsi="方正仿宋_GBK" w:eastAsia="方正仿宋_GBK" w:cs="方正仿宋_GBK"/>
          <w:b w:val="0"/>
          <w:bCs/>
          <w:sz w:val="32"/>
          <w:szCs w:val="32"/>
          <w:shd w:val="clear" w:color="auto" w:fill="FFFFFF"/>
        </w:rPr>
      </w:pPr>
      <w:r>
        <w:rPr>
          <w:rStyle w:val="8"/>
          <w:rFonts w:hint="eastAsia" w:ascii="方正仿宋_GBK" w:hAnsi="方正仿宋_GBK" w:eastAsia="方正仿宋_GBK" w:cs="方正仿宋_GBK"/>
          <w:b/>
          <w:bCs w:val="0"/>
          <w:sz w:val="32"/>
          <w:szCs w:val="32"/>
          <w:shd w:val="clear" w:color="auto" w:fill="FFFFFF"/>
        </w:rPr>
        <w:t>2.收入情况。</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度收入合计384.39万元，与2023年度相比，增加384.39万元，增长100.0%，主要</w:t>
      </w:r>
      <w:r>
        <w:rPr>
          <w:rFonts w:hint="eastAsia" w:ascii="方正仿宋_GBK" w:hAnsi="方正仿宋_GBK" w:eastAsia="方正仿宋_GBK" w:cs="方正仿宋_GBK"/>
          <w:b w:val="0"/>
          <w:bCs/>
          <w:sz w:val="32"/>
          <w:szCs w:val="32"/>
          <w:shd w:val="clear" w:color="auto" w:fill="FFFFFF"/>
          <w:lang w:eastAsia="zh-CN"/>
        </w:rPr>
        <w:t>原因是</w:t>
      </w:r>
      <w:r>
        <w:rPr>
          <w:rFonts w:hint="eastAsia" w:ascii="方正仿宋_GBK" w:hAnsi="方正仿宋_GBK" w:eastAsia="方正仿宋_GBK" w:cs="方正仿宋_GBK"/>
          <w:b w:val="0"/>
          <w:bCs/>
          <w:i w:val="0"/>
          <w:iCs w:val="0"/>
          <w:caps w:val="0"/>
          <w:color w:val="333333"/>
          <w:spacing w:val="0"/>
          <w:sz w:val="32"/>
          <w:szCs w:val="32"/>
          <w:shd w:val="clear" w:fill="FFFFFF"/>
        </w:rPr>
        <w:t>本单位</w:t>
      </w:r>
      <w:r>
        <w:rPr>
          <w:rFonts w:hint="eastAsia" w:ascii="方正仿宋_GBK" w:hAnsi="方正仿宋_GBK" w:eastAsia="方正仿宋_GBK" w:cs="方正仿宋_GBK"/>
          <w:b w:val="0"/>
          <w:bCs/>
          <w:i w:val="0"/>
          <w:iCs w:val="0"/>
          <w:caps w:val="0"/>
          <w:color w:val="333333"/>
          <w:spacing w:val="0"/>
          <w:sz w:val="32"/>
          <w:szCs w:val="32"/>
          <w:shd w:val="clear" w:fill="FFFFFF"/>
          <w:lang w:val="en-US" w:eastAsia="zh-CN"/>
        </w:rPr>
        <w:t>2023年度与行政机关本级一起预算，</w:t>
      </w:r>
      <w:r>
        <w:rPr>
          <w:rFonts w:hint="eastAsia" w:ascii="方正仿宋_GBK" w:hAnsi="方正仿宋_GBK" w:eastAsia="方正仿宋_GBK" w:cs="方正仿宋_GBK"/>
          <w:b w:val="0"/>
          <w:bCs/>
          <w:i w:val="0"/>
          <w:iCs w:val="0"/>
          <w:caps w:val="0"/>
          <w:color w:val="333333"/>
          <w:spacing w:val="0"/>
          <w:sz w:val="32"/>
          <w:szCs w:val="32"/>
          <w:shd w:val="clear" w:fill="FFFFFF"/>
        </w:rPr>
        <w:t>2024年单独预算，故上年度无数据。</w:t>
      </w:r>
      <w:r>
        <w:rPr>
          <w:rFonts w:hint="eastAsia" w:ascii="方正仿宋_GBK" w:hAnsi="方正仿宋_GBK" w:eastAsia="方正仿宋_GBK" w:cs="方正仿宋_GBK"/>
          <w:b w:val="0"/>
          <w:bCs/>
          <w:sz w:val="32"/>
          <w:szCs w:val="32"/>
          <w:shd w:val="clear" w:color="auto" w:fill="FFFFFF"/>
        </w:rPr>
        <w:t>其中：财政拨款收入</w:t>
      </w:r>
      <w:r>
        <w:rPr>
          <w:rFonts w:hint="eastAsia" w:ascii="方正仿宋_GBK" w:hAnsi="方正仿宋_GBK" w:eastAsia="方正仿宋_GBK" w:cs="方正仿宋_GBK"/>
          <w:b w:val="0"/>
          <w:bCs/>
          <w:sz w:val="32"/>
          <w:szCs w:val="32"/>
        </w:rPr>
        <w:t>384.39</w:t>
      </w:r>
      <w:r>
        <w:rPr>
          <w:rFonts w:hint="eastAsia" w:ascii="方正仿宋_GBK" w:hAnsi="方正仿宋_GBK" w:eastAsia="方正仿宋_GBK" w:cs="方正仿宋_GBK"/>
          <w:b w:val="0"/>
          <w:bCs/>
          <w:sz w:val="32"/>
          <w:szCs w:val="32"/>
          <w:shd w:val="clear" w:color="auto" w:fill="FFFFFF"/>
        </w:rPr>
        <w:t>万元，占</w:t>
      </w:r>
      <w:r>
        <w:rPr>
          <w:rFonts w:hint="eastAsia" w:ascii="方正仿宋_GBK" w:hAnsi="方正仿宋_GBK" w:eastAsia="方正仿宋_GBK" w:cs="方正仿宋_GBK"/>
          <w:b w:val="0"/>
          <w:bCs/>
          <w:sz w:val="32"/>
          <w:szCs w:val="32"/>
        </w:rPr>
        <w:t>100.00</w:t>
      </w:r>
      <w:r>
        <w:rPr>
          <w:rFonts w:hint="eastAsia" w:ascii="方正仿宋_GBK" w:hAnsi="方正仿宋_GBK" w:eastAsia="方正仿宋_GBK" w:cs="方正仿宋_GBK"/>
          <w:b w:val="0"/>
          <w:bCs/>
          <w:sz w:val="32"/>
          <w:szCs w:val="32"/>
          <w:shd w:val="clear" w:color="auto" w:fill="FFFFFF"/>
        </w:rPr>
        <w:t>%；事业收入</w:t>
      </w:r>
      <w:r>
        <w:rPr>
          <w:rFonts w:hint="eastAsia" w:ascii="方正仿宋_GBK" w:hAnsi="方正仿宋_GBK" w:eastAsia="方正仿宋_GBK" w:cs="方正仿宋_GBK"/>
          <w:b w:val="0"/>
          <w:bCs/>
          <w:sz w:val="32"/>
          <w:szCs w:val="32"/>
        </w:rPr>
        <w:t>0.00</w:t>
      </w:r>
      <w:r>
        <w:rPr>
          <w:rFonts w:hint="eastAsia" w:ascii="方正仿宋_GBK" w:hAnsi="方正仿宋_GBK" w:eastAsia="方正仿宋_GBK" w:cs="方正仿宋_GBK"/>
          <w:b w:val="0"/>
          <w:bCs/>
          <w:sz w:val="32"/>
          <w:szCs w:val="32"/>
          <w:shd w:val="clear" w:color="auto" w:fill="FFFFFF"/>
        </w:rPr>
        <w:t>万元，占0.00%；经营收入</w:t>
      </w:r>
      <w:r>
        <w:rPr>
          <w:rFonts w:hint="eastAsia" w:ascii="方正仿宋_GBK" w:hAnsi="方正仿宋_GBK" w:eastAsia="方正仿宋_GBK" w:cs="方正仿宋_GBK"/>
          <w:b w:val="0"/>
          <w:bCs/>
          <w:sz w:val="32"/>
          <w:szCs w:val="32"/>
        </w:rPr>
        <w:t>0.00</w:t>
      </w:r>
      <w:r>
        <w:rPr>
          <w:rFonts w:hint="eastAsia" w:ascii="方正仿宋_GBK" w:hAnsi="方正仿宋_GBK" w:eastAsia="方正仿宋_GBK" w:cs="方正仿宋_GBK"/>
          <w:b w:val="0"/>
          <w:bCs/>
          <w:sz w:val="32"/>
          <w:szCs w:val="32"/>
          <w:shd w:val="clear" w:color="auto" w:fill="FFFFFF"/>
        </w:rPr>
        <w:t>万元，占0.00%；其他收入</w:t>
      </w:r>
      <w:r>
        <w:rPr>
          <w:rFonts w:hint="eastAsia" w:ascii="方正仿宋_GBK" w:hAnsi="方正仿宋_GBK" w:eastAsia="方正仿宋_GBK" w:cs="方正仿宋_GBK"/>
          <w:b w:val="0"/>
          <w:bCs/>
          <w:sz w:val="32"/>
          <w:szCs w:val="32"/>
        </w:rPr>
        <w:t>0.00</w:t>
      </w:r>
      <w:r>
        <w:rPr>
          <w:rFonts w:hint="eastAsia" w:ascii="方正仿宋_GBK" w:hAnsi="方正仿宋_GBK" w:eastAsia="方正仿宋_GBK" w:cs="方正仿宋_GBK"/>
          <w:b w:val="0"/>
          <w:bCs/>
          <w:sz w:val="32"/>
          <w:szCs w:val="32"/>
          <w:shd w:val="clear" w:color="auto" w:fill="FFFFFF"/>
        </w:rPr>
        <w:t>万元，占0.00%。此外，使用非财政拨款结余和专用结余</w:t>
      </w:r>
      <w:r>
        <w:rPr>
          <w:rFonts w:hint="eastAsia" w:ascii="方正仿宋_GBK" w:hAnsi="方正仿宋_GBK" w:eastAsia="方正仿宋_GBK" w:cs="方正仿宋_GBK"/>
          <w:b w:val="0"/>
          <w:bCs/>
          <w:sz w:val="32"/>
          <w:szCs w:val="32"/>
        </w:rPr>
        <w:t>0.00</w:t>
      </w:r>
      <w:r>
        <w:rPr>
          <w:rFonts w:hint="eastAsia" w:ascii="方正仿宋_GBK" w:hAnsi="方正仿宋_GBK" w:eastAsia="方正仿宋_GBK" w:cs="方正仿宋_GBK"/>
          <w:b w:val="0"/>
          <w:bCs/>
          <w:sz w:val="32"/>
          <w:szCs w:val="32"/>
          <w:shd w:val="clear" w:color="auto" w:fill="FFFFFF"/>
        </w:rPr>
        <w:t>万元，年初结转和结余</w:t>
      </w:r>
      <w:r>
        <w:rPr>
          <w:rFonts w:hint="eastAsia" w:ascii="方正仿宋_GBK" w:hAnsi="方正仿宋_GBK" w:eastAsia="方正仿宋_GBK" w:cs="方正仿宋_GBK"/>
          <w:b w:val="0"/>
          <w:bCs/>
          <w:sz w:val="32"/>
          <w:szCs w:val="32"/>
        </w:rPr>
        <w:t>0.00</w:t>
      </w:r>
      <w:r>
        <w:rPr>
          <w:rFonts w:hint="eastAsia" w:ascii="方正仿宋_GBK" w:hAnsi="方正仿宋_GBK" w:eastAsia="方正仿宋_GBK" w:cs="方正仿宋_GBK"/>
          <w:b w:val="0"/>
          <w:bCs/>
          <w:sz w:val="32"/>
          <w:szCs w:val="32"/>
          <w:shd w:val="clear" w:color="auto" w:fill="FFFFFF"/>
        </w:rPr>
        <w:t>万元。</w:t>
      </w:r>
    </w:p>
    <w:p>
      <w:pPr>
        <w:pStyle w:val="5"/>
        <w:keepNext w:val="0"/>
        <w:keepLines w:val="0"/>
        <w:pageBreakBefore w:val="0"/>
        <w:widowControl/>
        <w:kinsoku/>
        <w:wordWrap/>
        <w:overflowPunct/>
        <w:topLinePunct w:val="0"/>
        <w:autoSpaceDN/>
        <w:bidi w:val="0"/>
        <w:adjustRightInd w:val="0"/>
        <w:snapToGrid w:val="0"/>
        <w:spacing w:before="0" w:beforeAutospacing="0" w:after="0" w:afterAutospacing="0" w:line="578" w:lineRule="exact"/>
        <w:ind w:firstLine="643" w:firstLineChars="200"/>
        <w:jc w:val="both"/>
        <w:textAlignment w:val="auto"/>
        <w:rPr>
          <w:rFonts w:hint="eastAsia" w:ascii="方正仿宋_GBK" w:hAnsi="方正仿宋_GBK" w:eastAsia="方正仿宋_GBK" w:cs="方正仿宋_GBK"/>
          <w:b w:val="0"/>
          <w:bCs/>
          <w:sz w:val="32"/>
          <w:szCs w:val="32"/>
          <w:shd w:val="clear" w:color="auto" w:fill="FFFFFF"/>
        </w:rPr>
      </w:pPr>
      <w:r>
        <w:rPr>
          <w:rStyle w:val="8"/>
          <w:rFonts w:hint="eastAsia" w:ascii="方正仿宋_GBK" w:hAnsi="方正仿宋_GBK" w:eastAsia="方正仿宋_GBK" w:cs="方正仿宋_GBK"/>
          <w:b/>
          <w:bCs w:val="0"/>
          <w:sz w:val="32"/>
          <w:szCs w:val="32"/>
          <w:shd w:val="clear" w:color="auto" w:fill="FFFFFF"/>
        </w:rPr>
        <w:t>3.支出情况。</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度支出合计</w:t>
      </w:r>
      <w:r>
        <w:rPr>
          <w:rFonts w:hint="eastAsia" w:ascii="方正仿宋_GBK" w:hAnsi="方正仿宋_GBK" w:eastAsia="方正仿宋_GBK" w:cs="方正仿宋_GBK"/>
          <w:b w:val="0"/>
          <w:bCs/>
          <w:sz w:val="32"/>
          <w:szCs w:val="32"/>
        </w:rPr>
        <w:t>384.39</w:t>
      </w:r>
      <w:r>
        <w:rPr>
          <w:rFonts w:hint="eastAsia" w:ascii="方正仿宋_GBK" w:hAnsi="方正仿宋_GBK" w:eastAsia="方正仿宋_GBK" w:cs="方正仿宋_GBK"/>
          <w:b w:val="0"/>
          <w:bCs/>
          <w:sz w:val="32"/>
          <w:szCs w:val="32"/>
          <w:shd w:val="clear" w:color="auto" w:fill="FFFFFF"/>
        </w:rPr>
        <w:t>万元，与2023年度相比，增加384.39万元，增长100.0%，主要</w:t>
      </w:r>
      <w:r>
        <w:rPr>
          <w:rFonts w:hint="eastAsia" w:ascii="方正仿宋_GBK" w:hAnsi="方正仿宋_GBK" w:eastAsia="方正仿宋_GBK" w:cs="方正仿宋_GBK"/>
          <w:b w:val="0"/>
          <w:bCs/>
          <w:sz w:val="32"/>
          <w:szCs w:val="32"/>
          <w:shd w:val="clear" w:color="auto" w:fill="FFFFFF"/>
          <w:lang w:eastAsia="zh-CN"/>
        </w:rPr>
        <w:t>原因是</w:t>
      </w:r>
      <w:r>
        <w:rPr>
          <w:rFonts w:hint="eastAsia" w:ascii="方正仿宋_GBK" w:hAnsi="方正仿宋_GBK" w:eastAsia="方正仿宋_GBK" w:cs="方正仿宋_GBK"/>
          <w:b w:val="0"/>
          <w:bCs/>
          <w:i w:val="0"/>
          <w:iCs w:val="0"/>
          <w:caps w:val="0"/>
          <w:color w:val="333333"/>
          <w:spacing w:val="0"/>
          <w:sz w:val="32"/>
          <w:szCs w:val="32"/>
          <w:shd w:val="clear" w:fill="FFFFFF"/>
        </w:rPr>
        <w:t>本单位</w:t>
      </w:r>
      <w:r>
        <w:rPr>
          <w:rFonts w:hint="eastAsia" w:ascii="方正仿宋_GBK" w:hAnsi="方正仿宋_GBK" w:eastAsia="方正仿宋_GBK" w:cs="方正仿宋_GBK"/>
          <w:b w:val="0"/>
          <w:bCs/>
          <w:i w:val="0"/>
          <w:iCs w:val="0"/>
          <w:caps w:val="0"/>
          <w:color w:val="333333"/>
          <w:spacing w:val="0"/>
          <w:sz w:val="32"/>
          <w:szCs w:val="32"/>
          <w:shd w:val="clear" w:fill="FFFFFF"/>
          <w:lang w:val="en-US" w:eastAsia="zh-CN"/>
        </w:rPr>
        <w:t>2023年度与行政机关本级一起预算，</w:t>
      </w:r>
      <w:r>
        <w:rPr>
          <w:rFonts w:hint="eastAsia" w:ascii="方正仿宋_GBK" w:hAnsi="方正仿宋_GBK" w:eastAsia="方正仿宋_GBK" w:cs="方正仿宋_GBK"/>
          <w:b w:val="0"/>
          <w:bCs/>
          <w:i w:val="0"/>
          <w:iCs w:val="0"/>
          <w:caps w:val="0"/>
          <w:color w:val="333333"/>
          <w:spacing w:val="0"/>
          <w:sz w:val="32"/>
          <w:szCs w:val="32"/>
          <w:shd w:val="clear" w:fill="FFFFFF"/>
        </w:rPr>
        <w:t>2024年单独预算，故上年度无数据。</w:t>
      </w:r>
      <w:r>
        <w:rPr>
          <w:rFonts w:hint="eastAsia" w:ascii="方正仿宋_GBK" w:hAnsi="方正仿宋_GBK" w:eastAsia="方正仿宋_GBK" w:cs="方正仿宋_GBK"/>
          <w:b w:val="0"/>
          <w:bCs/>
          <w:sz w:val="32"/>
          <w:szCs w:val="32"/>
          <w:shd w:val="clear" w:color="auto" w:fill="FFFFFF"/>
        </w:rPr>
        <w:t>其中：基本支出</w:t>
      </w:r>
      <w:r>
        <w:rPr>
          <w:rFonts w:hint="eastAsia" w:ascii="方正仿宋_GBK" w:hAnsi="方正仿宋_GBK" w:eastAsia="方正仿宋_GBK" w:cs="方正仿宋_GBK"/>
          <w:b w:val="0"/>
          <w:bCs/>
          <w:sz w:val="32"/>
          <w:szCs w:val="32"/>
        </w:rPr>
        <w:t>384.39</w:t>
      </w:r>
      <w:r>
        <w:rPr>
          <w:rFonts w:hint="eastAsia" w:ascii="方正仿宋_GBK" w:hAnsi="方正仿宋_GBK" w:eastAsia="方正仿宋_GBK" w:cs="方正仿宋_GBK"/>
          <w:b w:val="0"/>
          <w:bCs/>
          <w:sz w:val="32"/>
          <w:szCs w:val="32"/>
          <w:shd w:val="clear" w:color="auto" w:fill="FFFFFF"/>
        </w:rPr>
        <w:t>万元，占100.00%；项目支出</w:t>
      </w:r>
      <w:r>
        <w:rPr>
          <w:rFonts w:hint="eastAsia" w:ascii="方正仿宋_GBK" w:hAnsi="方正仿宋_GBK" w:eastAsia="方正仿宋_GBK" w:cs="方正仿宋_GBK"/>
          <w:b w:val="0"/>
          <w:bCs/>
          <w:sz w:val="32"/>
          <w:szCs w:val="32"/>
        </w:rPr>
        <w:t>0.00</w:t>
      </w:r>
      <w:r>
        <w:rPr>
          <w:rFonts w:hint="eastAsia" w:ascii="方正仿宋_GBK" w:hAnsi="方正仿宋_GBK" w:eastAsia="方正仿宋_GBK" w:cs="方正仿宋_GBK"/>
          <w:b w:val="0"/>
          <w:bCs/>
          <w:sz w:val="32"/>
          <w:szCs w:val="32"/>
          <w:shd w:val="clear" w:color="auto" w:fill="FFFFFF"/>
        </w:rPr>
        <w:t>万元，占0.00%；经营支出</w:t>
      </w:r>
      <w:r>
        <w:rPr>
          <w:rFonts w:hint="eastAsia" w:ascii="方正仿宋_GBK" w:hAnsi="方正仿宋_GBK" w:eastAsia="方正仿宋_GBK" w:cs="方正仿宋_GBK"/>
          <w:b w:val="0"/>
          <w:bCs/>
          <w:sz w:val="32"/>
          <w:szCs w:val="32"/>
        </w:rPr>
        <w:t>0.00</w:t>
      </w:r>
      <w:r>
        <w:rPr>
          <w:rFonts w:hint="eastAsia" w:ascii="方正仿宋_GBK" w:hAnsi="方正仿宋_GBK" w:eastAsia="方正仿宋_GBK" w:cs="方正仿宋_GBK"/>
          <w:b w:val="0"/>
          <w:bCs/>
          <w:sz w:val="32"/>
          <w:szCs w:val="32"/>
          <w:shd w:val="clear" w:color="auto" w:fill="FFFFFF"/>
        </w:rPr>
        <w:t>万元，占0.00%。此外，结余分配</w:t>
      </w:r>
      <w:r>
        <w:rPr>
          <w:rFonts w:hint="eastAsia" w:ascii="方正仿宋_GBK" w:hAnsi="方正仿宋_GBK" w:eastAsia="方正仿宋_GBK" w:cs="方正仿宋_GBK"/>
          <w:b w:val="0"/>
          <w:bCs/>
          <w:sz w:val="32"/>
          <w:szCs w:val="32"/>
        </w:rPr>
        <w:t>0.00</w:t>
      </w:r>
      <w:r>
        <w:rPr>
          <w:rFonts w:hint="eastAsia" w:ascii="方正仿宋_GBK" w:hAnsi="方正仿宋_GBK" w:eastAsia="方正仿宋_GBK" w:cs="方正仿宋_GBK"/>
          <w:b w:val="0"/>
          <w:bCs/>
          <w:sz w:val="32"/>
          <w:szCs w:val="32"/>
          <w:shd w:val="clear" w:color="auto" w:fill="FFFFFF"/>
        </w:rPr>
        <w:t>万元。</w:t>
      </w:r>
    </w:p>
    <w:p>
      <w:pPr>
        <w:pStyle w:val="5"/>
        <w:keepNext w:val="0"/>
        <w:keepLines w:val="0"/>
        <w:pageBreakBefore w:val="0"/>
        <w:widowControl/>
        <w:kinsoku/>
        <w:wordWrap/>
        <w:overflowPunct/>
        <w:topLinePunct w:val="0"/>
        <w:autoSpaceDN/>
        <w:bidi w:val="0"/>
        <w:adjustRightInd w:val="0"/>
        <w:snapToGrid w:val="0"/>
        <w:spacing w:before="0" w:beforeAutospacing="0" w:after="0" w:afterAutospacing="0" w:line="578" w:lineRule="exact"/>
        <w:ind w:firstLine="643" w:firstLineChars="200"/>
        <w:jc w:val="both"/>
        <w:textAlignment w:val="auto"/>
        <w:rPr>
          <w:rFonts w:hint="eastAsia" w:ascii="方正仿宋_GBK" w:hAnsi="方正仿宋_GBK" w:eastAsia="方正仿宋_GBK" w:cs="方正仿宋_GBK"/>
          <w:b w:val="0"/>
          <w:bCs/>
          <w:sz w:val="32"/>
          <w:szCs w:val="32"/>
          <w:lang w:eastAsia="zh-CN"/>
        </w:rPr>
      </w:pPr>
      <w:r>
        <w:rPr>
          <w:rStyle w:val="8"/>
          <w:rFonts w:hint="eastAsia" w:ascii="方正仿宋_GBK" w:hAnsi="方正仿宋_GBK" w:eastAsia="方正仿宋_GBK" w:cs="方正仿宋_GBK"/>
          <w:b/>
          <w:bCs w:val="0"/>
          <w:sz w:val="32"/>
          <w:szCs w:val="32"/>
          <w:shd w:val="clear" w:color="auto" w:fill="FFFFFF"/>
        </w:rPr>
        <w:t>4.结转结余情况。</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度年末结转和结余</w:t>
      </w:r>
      <w:r>
        <w:rPr>
          <w:rFonts w:hint="eastAsia" w:ascii="方正仿宋_GBK" w:hAnsi="方正仿宋_GBK" w:eastAsia="方正仿宋_GBK" w:cs="方正仿宋_GBK"/>
          <w:b w:val="0"/>
          <w:bCs/>
          <w:sz w:val="32"/>
          <w:szCs w:val="32"/>
        </w:rPr>
        <w:t>0.00</w:t>
      </w:r>
      <w:r>
        <w:rPr>
          <w:rFonts w:hint="eastAsia" w:ascii="方正仿宋_GBK" w:hAnsi="方正仿宋_GBK" w:eastAsia="方正仿宋_GBK" w:cs="方正仿宋_GBK"/>
          <w:b w:val="0"/>
          <w:bCs/>
          <w:sz w:val="32"/>
          <w:szCs w:val="32"/>
          <w:shd w:val="clear" w:color="auto" w:fill="FFFFFF"/>
        </w:rPr>
        <w:t>万元，与2023年度相比，无增减</w:t>
      </w:r>
      <w:r>
        <w:rPr>
          <w:rFonts w:hint="eastAsia" w:ascii="方正仿宋_GBK" w:hAnsi="方正仿宋_GBK" w:eastAsia="方正仿宋_GBK" w:cs="方正仿宋_GBK"/>
          <w:b w:val="0"/>
          <w:bCs/>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val="0"/>
        <w:snapToGrid w:val="0"/>
        <w:spacing w:beforeAutospacing="0" w:afterAutospacing="0" w:line="578" w:lineRule="exact"/>
        <w:ind w:firstLine="643"/>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（二）财政拨款收入支出决算总体情况说明</w:t>
      </w:r>
    </w:p>
    <w:p>
      <w:pPr>
        <w:pStyle w:val="5"/>
        <w:keepNext w:val="0"/>
        <w:keepLines w:val="0"/>
        <w:pageBreakBefore w:val="0"/>
        <w:widowControl/>
        <w:kinsoku/>
        <w:wordWrap/>
        <w:overflowPunct/>
        <w:topLinePunct w:val="0"/>
        <w:autoSpaceDN/>
        <w:bidi w:val="0"/>
        <w:adjustRightInd w:val="0"/>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度财政拨款收、支总计384.39万元。与202</w:t>
      </w:r>
      <w:r>
        <w:rPr>
          <w:rFonts w:hint="eastAsia" w:ascii="方正仿宋_GBK" w:hAnsi="方正仿宋_GBK" w:eastAsia="方正仿宋_GBK" w:cs="方正仿宋_GBK"/>
          <w:b w:val="0"/>
          <w:bCs/>
          <w:sz w:val="32"/>
          <w:szCs w:val="32"/>
          <w:shd w:val="clear" w:color="auto" w:fill="FFFFFF"/>
          <w:lang w:val="en-US" w:eastAsia="zh-CN"/>
        </w:rPr>
        <w:t>3</w:t>
      </w:r>
      <w:r>
        <w:rPr>
          <w:rFonts w:hint="eastAsia" w:ascii="方正仿宋_GBK" w:hAnsi="方正仿宋_GBK" w:eastAsia="方正仿宋_GBK" w:cs="方正仿宋_GBK"/>
          <w:b w:val="0"/>
          <w:bCs/>
          <w:sz w:val="32"/>
          <w:szCs w:val="32"/>
          <w:shd w:val="clear" w:color="auto" w:fill="FFFFFF"/>
        </w:rPr>
        <w:t>年相比，财政拨款收、支总计各增加384.39万元，增长100.0%。主要</w:t>
      </w:r>
      <w:r>
        <w:rPr>
          <w:rFonts w:hint="eastAsia" w:ascii="方正仿宋_GBK" w:hAnsi="方正仿宋_GBK" w:eastAsia="方正仿宋_GBK" w:cs="方正仿宋_GBK"/>
          <w:b w:val="0"/>
          <w:bCs/>
          <w:sz w:val="32"/>
          <w:szCs w:val="32"/>
          <w:shd w:val="clear" w:color="auto" w:fill="FFFFFF"/>
          <w:lang w:eastAsia="zh-CN"/>
        </w:rPr>
        <w:t>原因是</w:t>
      </w:r>
      <w:r>
        <w:rPr>
          <w:rFonts w:hint="eastAsia" w:ascii="方正仿宋_GBK" w:hAnsi="方正仿宋_GBK" w:eastAsia="方正仿宋_GBK" w:cs="方正仿宋_GBK"/>
          <w:b w:val="0"/>
          <w:bCs/>
          <w:i w:val="0"/>
          <w:iCs w:val="0"/>
          <w:caps w:val="0"/>
          <w:color w:val="333333"/>
          <w:spacing w:val="0"/>
          <w:sz w:val="32"/>
          <w:szCs w:val="32"/>
          <w:shd w:val="clear" w:fill="FFFFFF"/>
        </w:rPr>
        <w:t>本单位</w:t>
      </w:r>
      <w:r>
        <w:rPr>
          <w:rFonts w:hint="eastAsia" w:ascii="方正仿宋_GBK" w:hAnsi="方正仿宋_GBK" w:eastAsia="方正仿宋_GBK" w:cs="方正仿宋_GBK"/>
          <w:b w:val="0"/>
          <w:bCs/>
          <w:i w:val="0"/>
          <w:iCs w:val="0"/>
          <w:caps w:val="0"/>
          <w:color w:val="333333"/>
          <w:spacing w:val="0"/>
          <w:sz w:val="32"/>
          <w:szCs w:val="32"/>
          <w:shd w:val="clear" w:fill="FFFFFF"/>
          <w:lang w:val="en-US" w:eastAsia="zh-CN"/>
        </w:rPr>
        <w:t>2023年度与行政机关本级一起预算，</w:t>
      </w:r>
      <w:r>
        <w:rPr>
          <w:rFonts w:hint="eastAsia" w:ascii="方正仿宋_GBK" w:hAnsi="方正仿宋_GBK" w:eastAsia="方正仿宋_GBK" w:cs="方正仿宋_GBK"/>
          <w:b w:val="0"/>
          <w:bCs/>
          <w:i w:val="0"/>
          <w:iCs w:val="0"/>
          <w:caps w:val="0"/>
          <w:color w:val="333333"/>
          <w:spacing w:val="0"/>
          <w:sz w:val="32"/>
          <w:szCs w:val="32"/>
          <w:shd w:val="clear" w:fill="FFFFFF"/>
        </w:rPr>
        <w:t>2024年单独预算，故上年度无数据。</w:t>
      </w:r>
    </w:p>
    <w:p>
      <w:pPr>
        <w:pStyle w:val="9"/>
        <w:keepNext w:val="0"/>
        <w:keepLines w:val="0"/>
        <w:pageBreakBefore w:val="0"/>
        <w:widowControl/>
        <w:kinsoku/>
        <w:wordWrap/>
        <w:overflowPunct/>
        <w:topLinePunct w:val="0"/>
        <w:autoSpaceDE w:val="0"/>
        <w:autoSpaceDN/>
        <w:bidi w:val="0"/>
        <w:adjustRightInd w:val="0"/>
        <w:snapToGrid w:val="0"/>
        <w:spacing w:beforeAutospacing="0" w:afterAutospacing="0" w:line="578" w:lineRule="exact"/>
        <w:ind w:firstLine="643"/>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（三）一般公共预算财政拨款收入支出决算情况说明</w:t>
      </w:r>
    </w:p>
    <w:p>
      <w:pPr>
        <w:pStyle w:val="5"/>
        <w:keepNext w:val="0"/>
        <w:keepLines w:val="0"/>
        <w:pageBreakBefore w:val="0"/>
        <w:widowControl/>
        <w:kinsoku/>
        <w:wordWrap/>
        <w:overflowPunct/>
        <w:topLinePunct w:val="0"/>
        <w:autoSpaceDN/>
        <w:bidi w:val="0"/>
        <w:adjustRightInd w:val="0"/>
        <w:snapToGrid w:val="0"/>
        <w:spacing w:before="0" w:beforeAutospacing="0" w:after="0" w:afterAutospacing="0" w:line="578" w:lineRule="exact"/>
        <w:ind w:firstLine="643" w:firstLineChars="200"/>
        <w:jc w:val="both"/>
        <w:textAlignment w:val="auto"/>
        <w:rPr>
          <w:rFonts w:hint="eastAsia" w:ascii="方正仿宋_GBK" w:hAnsi="方正仿宋_GBK" w:eastAsia="方正仿宋_GBK" w:cs="方正仿宋_GBK"/>
          <w:b w:val="0"/>
          <w:bCs/>
          <w:sz w:val="32"/>
          <w:szCs w:val="32"/>
        </w:rPr>
      </w:pPr>
      <w:r>
        <w:rPr>
          <w:rStyle w:val="8"/>
          <w:rFonts w:hint="eastAsia" w:ascii="方正仿宋_GBK" w:hAnsi="方正仿宋_GBK" w:eastAsia="方正仿宋_GBK" w:cs="方正仿宋_GBK"/>
          <w:b/>
          <w:bCs w:val="0"/>
          <w:sz w:val="32"/>
          <w:szCs w:val="32"/>
          <w:shd w:val="clear" w:color="auto" w:fill="FFFFFF"/>
        </w:rPr>
        <w:t>1.收入情况。</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度一般公共预算财政拨款收入</w:t>
      </w:r>
      <w:r>
        <w:rPr>
          <w:rFonts w:hint="eastAsia" w:ascii="方正仿宋_GBK" w:hAnsi="方正仿宋_GBK" w:eastAsia="方正仿宋_GBK" w:cs="方正仿宋_GBK"/>
          <w:b w:val="0"/>
          <w:bCs/>
          <w:sz w:val="32"/>
          <w:szCs w:val="32"/>
        </w:rPr>
        <w:t>384.39</w:t>
      </w:r>
      <w:r>
        <w:rPr>
          <w:rFonts w:hint="eastAsia" w:ascii="方正仿宋_GBK" w:hAnsi="方正仿宋_GBK" w:eastAsia="方正仿宋_GBK" w:cs="方正仿宋_GBK"/>
          <w:b w:val="0"/>
          <w:bCs/>
          <w:sz w:val="32"/>
          <w:szCs w:val="32"/>
          <w:shd w:val="clear" w:color="auto" w:fill="FFFFFF"/>
        </w:rPr>
        <w:t>万元，与2023年度相比，增加384.39万元，增长100.0%。主要</w:t>
      </w:r>
      <w:r>
        <w:rPr>
          <w:rFonts w:hint="eastAsia" w:ascii="方正仿宋_GBK" w:hAnsi="方正仿宋_GBK" w:eastAsia="方正仿宋_GBK" w:cs="方正仿宋_GBK"/>
          <w:b w:val="0"/>
          <w:bCs/>
          <w:sz w:val="32"/>
          <w:szCs w:val="32"/>
          <w:shd w:val="clear" w:color="auto" w:fill="FFFFFF"/>
          <w:lang w:eastAsia="zh-CN"/>
        </w:rPr>
        <w:t>原因是</w:t>
      </w:r>
      <w:r>
        <w:rPr>
          <w:rFonts w:hint="eastAsia" w:ascii="方正仿宋_GBK" w:hAnsi="方正仿宋_GBK" w:eastAsia="方正仿宋_GBK" w:cs="方正仿宋_GBK"/>
          <w:b w:val="0"/>
          <w:bCs/>
          <w:i w:val="0"/>
          <w:iCs w:val="0"/>
          <w:caps w:val="0"/>
          <w:color w:val="333333"/>
          <w:spacing w:val="0"/>
          <w:sz w:val="32"/>
          <w:szCs w:val="32"/>
          <w:shd w:val="clear" w:fill="FFFFFF"/>
        </w:rPr>
        <w:t>本单位</w:t>
      </w:r>
      <w:r>
        <w:rPr>
          <w:rFonts w:hint="eastAsia" w:ascii="方正仿宋_GBK" w:hAnsi="方正仿宋_GBK" w:eastAsia="方正仿宋_GBK" w:cs="方正仿宋_GBK"/>
          <w:b w:val="0"/>
          <w:bCs/>
          <w:i w:val="0"/>
          <w:iCs w:val="0"/>
          <w:caps w:val="0"/>
          <w:color w:val="333333"/>
          <w:spacing w:val="0"/>
          <w:sz w:val="32"/>
          <w:szCs w:val="32"/>
          <w:shd w:val="clear" w:fill="FFFFFF"/>
          <w:lang w:val="en-US" w:eastAsia="zh-CN"/>
        </w:rPr>
        <w:t>2023年度与行政机关本级一起预算，</w:t>
      </w:r>
      <w:r>
        <w:rPr>
          <w:rFonts w:hint="eastAsia" w:ascii="方正仿宋_GBK" w:hAnsi="方正仿宋_GBK" w:eastAsia="方正仿宋_GBK" w:cs="方正仿宋_GBK"/>
          <w:b w:val="0"/>
          <w:bCs/>
          <w:i w:val="0"/>
          <w:iCs w:val="0"/>
          <w:caps w:val="0"/>
          <w:color w:val="333333"/>
          <w:spacing w:val="0"/>
          <w:sz w:val="32"/>
          <w:szCs w:val="32"/>
          <w:shd w:val="clear" w:fill="FFFFFF"/>
        </w:rPr>
        <w:t>2024年单独预算，故上年度无数据。</w:t>
      </w:r>
      <w:r>
        <w:rPr>
          <w:rFonts w:hint="eastAsia" w:ascii="方正仿宋_GBK" w:hAnsi="方正仿宋_GBK" w:eastAsia="方正仿宋_GBK" w:cs="方正仿宋_GBK"/>
          <w:b w:val="0"/>
          <w:bCs/>
          <w:sz w:val="32"/>
          <w:szCs w:val="32"/>
          <w:shd w:val="clear" w:color="auto" w:fill="FFFFFF"/>
        </w:rPr>
        <w:t>较年初预算数减少16.18万元，下降4.0%。主要原因</w:t>
      </w:r>
      <w:r>
        <w:rPr>
          <w:rFonts w:hint="eastAsia" w:ascii="方正仿宋_GBK" w:hAnsi="方正仿宋_GBK" w:eastAsia="方正仿宋_GBK" w:cs="方正仿宋_GBK"/>
          <w:b w:val="0"/>
          <w:bCs/>
          <w:sz w:val="32"/>
          <w:szCs w:val="32"/>
          <w:shd w:val="clear" w:color="auto" w:fill="FFFFFF"/>
          <w:lang w:eastAsia="zh-CN"/>
        </w:rPr>
        <w:t>是事业人员超额绩效未发放完，较上年度减少</w:t>
      </w:r>
      <w:r>
        <w:rPr>
          <w:rFonts w:hint="eastAsia" w:ascii="方正仿宋_GBK" w:hAnsi="方正仿宋_GBK" w:eastAsia="方正仿宋_GBK" w:cs="方正仿宋_GBK"/>
          <w:b w:val="0"/>
          <w:bCs/>
          <w:sz w:val="32"/>
          <w:szCs w:val="32"/>
          <w:shd w:val="clear" w:color="auto" w:fill="FFFFFF"/>
          <w:lang w:val="en-US" w:eastAsia="zh-CN"/>
        </w:rPr>
        <w:t>16.18万元</w:t>
      </w:r>
      <w:r>
        <w:rPr>
          <w:rFonts w:hint="eastAsia" w:ascii="方正仿宋_GBK" w:hAnsi="方正仿宋_GBK" w:eastAsia="方正仿宋_GBK" w:cs="方正仿宋_GBK"/>
          <w:b w:val="0"/>
          <w:bCs/>
          <w:i w:val="0"/>
          <w:iCs w:val="0"/>
          <w:caps w:val="0"/>
          <w:color w:val="333333"/>
          <w:spacing w:val="0"/>
          <w:sz w:val="32"/>
          <w:szCs w:val="32"/>
          <w:shd w:val="clear" w:fill="FFFFFF"/>
          <w:lang w:eastAsia="zh-CN"/>
        </w:rPr>
        <w:t>。</w:t>
      </w:r>
      <w:r>
        <w:rPr>
          <w:rFonts w:hint="eastAsia" w:ascii="方正仿宋_GBK" w:hAnsi="方正仿宋_GBK" w:eastAsia="方正仿宋_GBK" w:cs="方正仿宋_GBK"/>
          <w:b w:val="0"/>
          <w:bCs/>
          <w:sz w:val="32"/>
          <w:szCs w:val="32"/>
          <w:shd w:val="clear" w:color="auto" w:fill="FFFFFF"/>
        </w:rPr>
        <w:t>此外，年初财政拨款结转和结余</w:t>
      </w:r>
      <w:r>
        <w:rPr>
          <w:rFonts w:hint="eastAsia" w:ascii="方正仿宋_GBK" w:hAnsi="方正仿宋_GBK" w:eastAsia="方正仿宋_GBK" w:cs="方正仿宋_GBK"/>
          <w:b w:val="0"/>
          <w:bCs/>
          <w:sz w:val="32"/>
          <w:szCs w:val="32"/>
        </w:rPr>
        <w:t>0.00</w:t>
      </w:r>
      <w:r>
        <w:rPr>
          <w:rFonts w:hint="eastAsia" w:ascii="方正仿宋_GBK" w:hAnsi="方正仿宋_GBK" w:eastAsia="方正仿宋_GBK" w:cs="方正仿宋_GBK"/>
          <w:b w:val="0"/>
          <w:bCs/>
          <w:sz w:val="32"/>
          <w:szCs w:val="32"/>
          <w:shd w:val="clear" w:color="auto" w:fill="FFFFFF"/>
        </w:rPr>
        <w:t>万元。</w:t>
      </w:r>
    </w:p>
    <w:p>
      <w:pPr>
        <w:pStyle w:val="5"/>
        <w:keepNext w:val="0"/>
        <w:keepLines w:val="0"/>
        <w:pageBreakBefore w:val="0"/>
        <w:widowControl/>
        <w:kinsoku/>
        <w:wordWrap/>
        <w:overflowPunct/>
        <w:topLinePunct w:val="0"/>
        <w:autoSpaceDN/>
        <w:bidi w:val="0"/>
        <w:adjustRightInd w:val="0"/>
        <w:snapToGrid w:val="0"/>
        <w:spacing w:before="0" w:beforeAutospacing="0" w:after="0" w:afterAutospacing="0" w:line="578" w:lineRule="exact"/>
        <w:ind w:firstLine="643" w:firstLineChars="200"/>
        <w:jc w:val="both"/>
        <w:textAlignment w:val="auto"/>
        <w:rPr>
          <w:rFonts w:hint="eastAsia" w:ascii="方正仿宋_GBK" w:hAnsi="方正仿宋_GBK" w:eastAsia="方正仿宋_GBK" w:cs="方正仿宋_GBK"/>
          <w:b w:val="0"/>
          <w:bCs/>
          <w:i w:val="0"/>
          <w:iCs w:val="0"/>
          <w:caps w:val="0"/>
          <w:color w:val="333333"/>
          <w:spacing w:val="0"/>
          <w:sz w:val="32"/>
          <w:szCs w:val="32"/>
          <w:shd w:val="clear" w:fill="FFFFFF"/>
          <w:lang w:eastAsia="zh-CN"/>
        </w:rPr>
      </w:pPr>
      <w:r>
        <w:rPr>
          <w:rStyle w:val="8"/>
          <w:rFonts w:hint="eastAsia" w:ascii="方正仿宋_GBK" w:hAnsi="方正仿宋_GBK" w:eastAsia="方正仿宋_GBK" w:cs="方正仿宋_GBK"/>
          <w:b/>
          <w:bCs w:val="0"/>
          <w:sz w:val="32"/>
          <w:szCs w:val="32"/>
          <w:shd w:val="clear" w:color="auto" w:fill="FFFFFF"/>
        </w:rPr>
        <w:t>2.支出情况。</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度一般公共预算财政拨款支出</w:t>
      </w:r>
      <w:r>
        <w:rPr>
          <w:rFonts w:hint="eastAsia" w:ascii="方正仿宋_GBK" w:hAnsi="方正仿宋_GBK" w:eastAsia="方正仿宋_GBK" w:cs="方正仿宋_GBK"/>
          <w:b w:val="0"/>
          <w:bCs/>
          <w:sz w:val="32"/>
          <w:szCs w:val="32"/>
        </w:rPr>
        <w:t>384.39</w:t>
      </w:r>
      <w:r>
        <w:rPr>
          <w:rFonts w:hint="eastAsia" w:ascii="方正仿宋_GBK" w:hAnsi="方正仿宋_GBK" w:eastAsia="方正仿宋_GBK" w:cs="方正仿宋_GBK"/>
          <w:b w:val="0"/>
          <w:bCs/>
          <w:sz w:val="32"/>
          <w:szCs w:val="32"/>
          <w:shd w:val="clear" w:color="auto" w:fill="FFFFFF"/>
        </w:rPr>
        <w:t>万元，与2023年度相比，增加384.39万元，增长100.0%。主要</w:t>
      </w:r>
      <w:r>
        <w:rPr>
          <w:rFonts w:hint="eastAsia" w:ascii="方正仿宋_GBK" w:hAnsi="方正仿宋_GBK" w:eastAsia="方正仿宋_GBK" w:cs="方正仿宋_GBK"/>
          <w:b w:val="0"/>
          <w:bCs/>
          <w:sz w:val="32"/>
          <w:szCs w:val="32"/>
          <w:shd w:val="clear" w:color="auto" w:fill="FFFFFF"/>
          <w:lang w:eastAsia="zh-CN"/>
        </w:rPr>
        <w:t>原因是</w:t>
      </w:r>
      <w:r>
        <w:rPr>
          <w:rFonts w:hint="eastAsia" w:ascii="方正仿宋_GBK" w:hAnsi="方正仿宋_GBK" w:eastAsia="方正仿宋_GBK" w:cs="方正仿宋_GBK"/>
          <w:b w:val="0"/>
          <w:bCs/>
          <w:i w:val="0"/>
          <w:iCs w:val="0"/>
          <w:caps w:val="0"/>
          <w:color w:val="333333"/>
          <w:spacing w:val="0"/>
          <w:sz w:val="32"/>
          <w:szCs w:val="32"/>
          <w:shd w:val="clear" w:fill="FFFFFF"/>
        </w:rPr>
        <w:t>本单位</w:t>
      </w:r>
      <w:r>
        <w:rPr>
          <w:rFonts w:hint="eastAsia" w:ascii="方正仿宋_GBK" w:hAnsi="方正仿宋_GBK" w:eastAsia="方正仿宋_GBK" w:cs="方正仿宋_GBK"/>
          <w:b w:val="0"/>
          <w:bCs/>
          <w:i w:val="0"/>
          <w:iCs w:val="0"/>
          <w:caps w:val="0"/>
          <w:color w:val="333333"/>
          <w:spacing w:val="0"/>
          <w:sz w:val="32"/>
          <w:szCs w:val="32"/>
          <w:shd w:val="clear" w:fill="FFFFFF"/>
          <w:lang w:val="en-US" w:eastAsia="zh-CN"/>
        </w:rPr>
        <w:t>2023年度与行政机关本级一起预算，</w:t>
      </w:r>
      <w:r>
        <w:rPr>
          <w:rFonts w:hint="eastAsia" w:ascii="方正仿宋_GBK" w:hAnsi="方正仿宋_GBK" w:eastAsia="方正仿宋_GBK" w:cs="方正仿宋_GBK"/>
          <w:b w:val="0"/>
          <w:bCs/>
          <w:i w:val="0"/>
          <w:iCs w:val="0"/>
          <w:caps w:val="0"/>
          <w:color w:val="333333"/>
          <w:spacing w:val="0"/>
          <w:sz w:val="32"/>
          <w:szCs w:val="32"/>
          <w:shd w:val="clear" w:fill="FFFFFF"/>
        </w:rPr>
        <w:t>2024年单独预算，故上年度无数据。</w:t>
      </w:r>
      <w:r>
        <w:rPr>
          <w:rFonts w:hint="eastAsia" w:ascii="方正仿宋_GBK" w:hAnsi="方正仿宋_GBK" w:eastAsia="方正仿宋_GBK" w:cs="方正仿宋_GBK"/>
          <w:b w:val="0"/>
          <w:bCs/>
          <w:sz w:val="32"/>
          <w:szCs w:val="32"/>
          <w:shd w:val="clear" w:color="auto" w:fill="FFFFFF"/>
        </w:rPr>
        <w:t>较年初预算数减少16.18万元，下降4.0%。主要原因是</w:t>
      </w:r>
      <w:r>
        <w:rPr>
          <w:rFonts w:hint="eastAsia" w:ascii="方正仿宋_GBK" w:hAnsi="方正仿宋_GBK" w:eastAsia="方正仿宋_GBK" w:cs="方正仿宋_GBK"/>
          <w:b w:val="0"/>
          <w:bCs/>
          <w:sz w:val="32"/>
          <w:szCs w:val="32"/>
          <w:shd w:val="clear" w:color="auto" w:fill="FFFFFF"/>
          <w:lang w:eastAsia="zh-CN"/>
        </w:rPr>
        <w:t>事业人员超额绩效未发放完，较上年度减少</w:t>
      </w:r>
      <w:r>
        <w:rPr>
          <w:rFonts w:hint="eastAsia" w:ascii="方正仿宋_GBK" w:hAnsi="方正仿宋_GBK" w:eastAsia="方正仿宋_GBK" w:cs="方正仿宋_GBK"/>
          <w:b w:val="0"/>
          <w:bCs/>
          <w:sz w:val="32"/>
          <w:szCs w:val="32"/>
          <w:shd w:val="clear" w:color="auto" w:fill="FFFFFF"/>
          <w:lang w:val="en-US" w:eastAsia="zh-CN"/>
        </w:rPr>
        <w:t>16.49万元</w:t>
      </w:r>
      <w:r>
        <w:rPr>
          <w:rFonts w:hint="eastAsia" w:ascii="方正仿宋_GBK" w:hAnsi="方正仿宋_GBK" w:eastAsia="方正仿宋_GBK" w:cs="方正仿宋_GBK"/>
          <w:b w:val="0"/>
          <w:bCs/>
          <w:i w:val="0"/>
          <w:iCs w:val="0"/>
          <w:caps w:val="0"/>
          <w:color w:val="333333"/>
          <w:spacing w:val="0"/>
          <w:sz w:val="32"/>
          <w:szCs w:val="32"/>
          <w:shd w:val="clear" w:fill="FFFFFF"/>
          <w:lang w:eastAsia="zh-CN"/>
        </w:rPr>
        <w:t>。</w:t>
      </w:r>
    </w:p>
    <w:p>
      <w:pPr>
        <w:pStyle w:val="5"/>
        <w:keepNext w:val="0"/>
        <w:keepLines w:val="0"/>
        <w:pageBreakBefore w:val="0"/>
        <w:widowControl/>
        <w:kinsoku/>
        <w:wordWrap/>
        <w:overflowPunct/>
        <w:topLinePunct w:val="0"/>
        <w:autoSpaceDN/>
        <w:bidi w:val="0"/>
        <w:adjustRightInd w:val="0"/>
        <w:snapToGrid w:val="0"/>
        <w:spacing w:before="0" w:beforeAutospacing="0" w:after="0" w:afterAutospacing="0" w:line="578" w:lineRule="exact"/>
        <w:ind w:firstLine="643" w:firstLineChars="200"/>
        <w:jc w:val="both"/>
        <w:textAlignment w:val="auto"/>
        <w:rPr>
          <w:rFonts w:hint="eastAsia" w:ascii="方正仿宋_GBK" w:hAnsi="方正仿宋_GBK" w:eastAsia="方正仿宋_GBK" w:cs="方正仿宋_GBK"/>
          <w:b w:val="0"/>
          <w:bCs/>
          <w:sz w:val="32"/>
          <w:szCs w:val="32"/>
          <w:lang w:eastAsia="zh-CN"/>
        </w:rPr>
      </w:pPr>
      <w:r>
        <w:rPr>
          <w:rStyle w:val="8"/>
          <w:rFonts w:hint="eastAsia" w:ascii="方正仿宋_GBK" w:hAnsi="方正仿宋_GBK" w:eastAsia="方正仿宋_GBK" w:cs="方正仿宋_GBK"/>
          <w:b/>
          <w:bCs w:val="0"/>
          <w:sz w:val="32"/>
          <w:szCs w:val="32"/>
          <w:shd w:val="clear" w:color="auto" w:fill="FFFFFF"/>
        </w:rPr>
        <w:t>3.结转结余情况。</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度年末一般公共预算财政拨款结转和结余</w:t>
      </w:r>
      <w:r>
        <w:rPr>
          <w:rFonts w:hint="eastAsia" w:ascii="方正仿宋_GBK" w:hAnsi="方正仿宋_GBK" w:eastAsia="方正仿宋_GBK" w:cs="方正仿宋_GBK"/>
          <w:b w:val="0"/>
          <w:bCs/>
          <w:sz w:val="32"/>
          <w:szCs w:val="32"/>
        </w:rPr>
        <w:t>0.00</w:t>
      </w:r>
      <w:r>
        <w:rPr>
          <w:rFonts w:hint="eastAsia" w:ascii="方正仿宋_GBK" w:hAnsi="方正仿宋_GBK" w:eastAsia="方正仿宋_GBK" w:cs="方正仿宋_GBK"/>
          <w:b w:val="0"/>
          <w:bCs/>
          <w:sz w:val="32"/>
          <w:szCs w:val="32"/>
          <w:shd w:val="clear" w:color="auto" w:fill="FFFFFF"/>
        </w:rPr>
        <w:t>万元，与2023年度相比，无增减</w:t>
      </w:r>
      <w:r>
        <w:rPr>
          <w:rFonts w:hint="eastAsia" w:ascii="方正仿宋_GBK" w:hAnsi="方正仿宋_GBK" w:eastAsia="方正仿宋_GBK" w:cs="方正仿宋_GBK"/>
          <w:b w:val="0"/>
          <w:bCs/>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val="0"/>
        <w:snapToGrid w:val="0"/>
        <w:spacing w:before="0" w:beforeAutospacing="0" w:after="0" w:afterAutospacing="0" w:line="578" w:lineRule="exact"/>
        <w:ind w:firstLine="643" w:firstLineChars="200"/>
        <w:jc w:val="both"/>
        <w:textAlignment w:val="auto"/>
        <w:rPr>
          <w:rFonts w:hint="eastAsia" w:ascii="方正仿宋_GBK" w:hAnsi="方正仿宋_GBK" w:eastAsia="方正仿宋_GBK" w:cs="方正仿宋_GBK"/>
          <w:b w:val="0"/>
          <w:bCs/>
          <w:color w:val="FF0000"/>
          <w:sz w:val="32"/>
          <w:szCs w:val="32"/>
          <w:highlight w:val="cyan"/>
          <w:shd w:val="clear" w:color="auto" w:fill="FFFFFF"/>
        </w:rPr>
      </w:pPr>
      <w:r>
        <w:rPr>
          <w:rStyle w:val="8"/>
          <w:rFonts w:hint="eastAsia" w:ascii="方正仿宋_GBK" w:hAnsi="方正仿宋_GBK" w:eastAsia="方正仿宋_GBK" w:cs="方正仿宋_GBK"/>
          <w:b/>
          <w:bCs w:val="0"/>
          <w:sz w:val="32"/>
          <w:szCs w:val="32"/>
          <w:shd w:val="clear" w:color="auto" w:fill="FFFFFF"/>
        </w:rPr>
        <w:t>4.比较情况。</w:t>
      </w:r>
      <w:r>
        <w:rPr>
          <w:rFonts w:hint="eastAsia" w:ascii="方正仿宋_GBK" w:hAnsi="方正仿宋_GBK" w:eastAsia="方正仿宋_GBK" w:cs="方正仿宋_GBK"/>
          <w:b w:val="0"/>
          <w:bCs/>
          <w:sz w:val="32"/>
          <w:szCs w:val="32"/>
          <w:shd w:val="clear" w:color="auto" w:fill="FFFFFF"/>
        </w:rPr>
        <w:t>本单位</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度一般公共预算财政拨款支出主要用于以下几个方面：</w:t>
      </w:r>
    </w:p>
    <w:p>
      <w:pPr>
        <w:pStyle w:val="5"/>
        <w:keepNext w:val="0"/>
        <w:keepLines w:val="0"/>
        <w:pageBreakBefore w:val="0"/>
        <w:widowControl/>
        <w:kinsoku/>
        <w:wordWrap/>
        <w:overflowPunct/>
        <w:topLinePunct w:val="0"/>
        <w:autoSpaceDN/>
        <w:bidi w:val="0"/>
        <w:adjustRightInd w:val="0"/>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shd w:val="clear" w:color="auto" w:fill="FFFFFF"/>
        </w:rPr>
        <w:t>（1）一般公共服务支出</w:t>
      </w:r>
      <w:r>
        <w:rPr>
          <w:rFonts w:hint="eastAsia" w:ascii="方正仿宋_GBK" w:hAnsi="方正仿宋_GBK" w:eastAsia="方正仿宋_GBK" w:cs="方正仿宋_GBK"/>
          <w:b w:val="0"/>
          <w:bCs/>
          <w:sz w:val="32"/>
          <w:szCs w:val="32"/>
        </w:rPr>
        <w:t>299.78</w:t>
      </w:r>
      <w:r>
        <w:rPr>
          <w:rFonts w:hint="eastAsia" w:ascii="方正仿宋_GBK" w:hAnsi="方正仿宋_GBK" w:eastAsia="方正仿宋_GBK" w:cs="方正仿宋_GBK"/>
          <w:b w:val="0"/>
          <w:bCs/>
          <w:sz w:val="32"/>
          <w:szCs w:val="32"/>
          <w:shd w:val="clear" w:color="auto" w:fill="FFFFFF"/>
        </w:rPr>
        <w:t>万元，占</w:t>
      </w:r>
      <w:r>
        <w:rPr>
          <w:rFonts w:hint="eastAsia" w:ascii="方正仿宋_GBK" w:hAnsi="方正仿宋_GBK" w:eastAsia="方正仿宋_GBK" w:cs="方正仿宋_GBK"/>
          <w:b w:val="0"/>
          <w:bCs/>
          <w:sz w:val="32"/>
          <w:szCs w:val="32"/>
        </w:rPr>
        <w:t>77.99</w:t>
      </w:r>
      <w:r>
        <w:rPr>
          <w:rFonts w:hint="eastAsia" w:ascii="方正仿宋_GBK" w:hAnsi="方正仿宋_GBK" w:eastAsia="方正仿宋_GBK" w:cs="方正仿宋_GBK"/>
          <w:b w:val="0"/>
          <w:bCs/>
          <w:sz w:val="32"/>
          <w:szCs w:val="32"/>
          <w:shd w:val="clear" w:color="auto" w:fill="FFFFFF"/>
        </w:rPr>
        <w:t>%，较年初预算数减少16.49万元，下降5.2%，主要原因是</w:t>
      </w:r>
      <w:r>
        <w:rPr>
          <w:rFonts w:hint="eastAsia" w:ascii="方正仿宋_GBK" w:hAnsi="方正仿宋_GBK" w:eastAsia="方正仿宋_GBK" w:cs="方正仿宋_GBK"/>
          <w:b w:val="0"/>
          <w:bCs/>
          <w:sz w:val="32"/>
          <w:szCs w:val="32"/>
          <w:shd w:val="clear" w:color="auto" w:fill="FFFFFF"/>
          <w:lang w:eastAsia="zh-CN"/>
        </w:rPr>
        <w:t>事业人员超额绩效未发放完，较上年度减少</w:t>
      </w:r>
      <w:r>
        <w:rPr>
          <w:rFonts w:hint="eastAsia" w:ascii="方正仿宋_GBK" w:hAnsi="方正仿宋_GBK" w:eastAsia="方正仿宋_GBK" w:cs="方正仿宋_GBK"/>
          <w:b w:val="0"/>
          <w:bCs/>
          <w:sz w:val="32"/>
          <w:szCs w:val="32"/>
          <w:shd w:val="clear" w:color="auto" w:fill="FFFFFF"/>
          <w:lang w:val="en-US" w:eastAsia="zh-CN"/>
        </w:rPr>
        <w:t>16.49万元</w:t>
      </w:r>
      <w:r>
        <w:rPr>
          <w:rFonts w:hint="eastAsia" w:ascii="方正仿宋_GBK" w:hAnsi="方正仿宋_GBK" w:eastAsia="方正仿宋_GBK" w:cs="方正仿宋_GBK"/>
          <w:b w:val="0"/>
          <w:bCs/>
          <w:i w:val="0"/>
          <w:iCs w:val="0"/>
          <w:caps w:val="0"/>
          <w:color w:val="333333"/>
          <w:spacing w:val="0"/>
          <w:sz w:val="32"/>
          <w:szCs w:val="32"/>
          <w:shd w:val="clear" w:fill="FFFFFF"/>
          <w:lang w:eastAsia="zh-CN"/>
        </w:rPr>
        <w:t>。</w:t>
      </w:r>
    </w:p>
    <w:p>
      <w:pPr>
        <w:pStyle w:val="5"/>
        <w:keepNext w:val="0"/>
        <w:keepLines w:val="0"/>
        <w:pageBreakBefore w:val="0"/>
        <w:widowControl/>
        <w:kinsoku/>
        <w:wordWrap/>
        <w:overflowPunct/>
        <w:topLinePunct w:val="0"/>
        <w:autoSpaceDN/>
        <w:bidi w:val="0"/>
        <w:adjustRightInd w:val="0"/>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shd w:val="clear" w:color="auto" w:fill="FFFFFF"/>
        </w:rPr>
        <w:t>（2）社会保障与就业支出</w:t>
      </w:r>
      <w:r>
        <w:rPr>
          <w:rFonts w:hint="eastAsia" w:ascii="方正仿宋_GBK" w:hAnsi="方正仿宋_GBK" w:eastAsia="方正仿宋_GBK" w:cs="方正仿宋_GBK"/>
          <w:b w:val="0"/>
          <w:bCs/>
          <w:sz w:val="32"/>
          <w:szCs w:val="32"/>
        </w:rPr>
        <w:t>46.55</w:t>
      </w:r>
      <w:r>
        <w:rPr>
          <w:rFonts w:hint="eastAsia" w:ascii="方正仿宋_GBK" w:hAnsi="方正仿宋_GBK" w:eastAsia="方正仿宋_GBK" w:cs="方正仿宋_GBK"/>
          <w:b w:val="0"/>
          <w:bCs/>
          <w:sz w:val="32"/>
          <w:szCs w:val="32"/>
          <w:shd w:val="clear" w:color="auto" w:fill="FFFFFF"/>
        </w:rPr>
        <w:t>万元，占</w:t>
      </w:r>
      <w:r>
        <w:rPr>
          <w:rFonts w:hint="eastAsia" w:ascii="方正仿宋_GBK" w:hAnsi="方正仿宋_GBK" w:eastAsia="方正仿宋_GBK" w:cs="方正仿宋_GBK"/>
          <w:b w:val="0"/>
          <w:bCs/>
          <w:sz w:val="32"/>
          <w:szCs w:val="32"/>
        </w:rPr>
        <w:t>12.11</w:t>
      </w:r>
      <w:r>
        <w:rPr>
          <w:rFonts w:hint="eastAsia" w:ascii="方正仿宋_GBK" w:hAnsi="方正仿宋_GBK" w:eastAsia="方正仿宋_GBK" w:cs="方正仿宋_GBK"/>
          <w:b w:val="0"/>
          <w:bCs/>
          <w:sz w:val="32"/>
          <w:szCs w:val="32"/>
          <w:shd w:val="clear" w:color="auto" w:fill="FFFFFF"/>
        </w:rPr>
        <w:t>%，较年初预算数增加0.31万元，增长0.7%，主要原因是</w:t>
      </w:r>
      <w:r>
        <w:rPr>
          <w:rFonts w:hint="eastAsia" w:ascii="方正仿宋_GBK" w:hAnsi="方正仿宋_GBK" w:eastAsia="方正仿宋_GBK" w:cs="方正仿宋_GBK"/>
          <w:b w:val="0"/>
          <w:bCs/>
          <w:sz w:val="32"/>
          <w:szCs w:val="32"/>
          <w:shd w:val="clear" w:color="auto" w:fill="FFFFFF"/>
          <w:lang w:eastAsia="zh-CN"/>
        </w:rPr>
        <w:t>事业人员养老保险缴费基数调高，养老保险缴费增加</w:t>
      </w:r>
      <w:r>
        <w:rPr>
          <w:rFonts w:hint="eastAsia" w:ascii="方正仿宋_GBK" w:hAnsi="方正仿宋_GBK" w:eastAsia="方正仿宋_GBK" w:cs="方正仿宋_GBK"/>
          <w:b w:val="0"/>
          <w:bCs/>
          <w:sz w:val="32"/>
          <w:szCs w:val="32"/>
          <w:shd w:val="clear" w:color="auto" w:fill="FFFFFF"/>
          <w:lang w:val="en-US" w:eastAsia="zh-CN"/>
        </w:rPr>
        <w:t>.</w:t>
      </w:r>
    </w:p>
    <w:p>
      <w:pPr>
        <w:pStyle w:val="5"/>
        <w:keepNext w:val="0"/>
        <w:keepLines w:val="0"/>
        <w:pageBreakBefore w:val="0"/>
        <w:widowControl/>
        <w:kinsoku/>
        <w:wordWrap/>
        <w:overflowPunct/>
        <w:topLinePunct w:val="0"/>
        <w:autoSpaceDN/>
        <w:bidi w:val="0"/>
        <w:adjustRightInd w:val="0"/>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lang w:eastAsia="zh-CN"/>
        </w:rPr>
      </w:pPr>
      <w:r>
        <w:rPr>
          <w:rFonts w:hint="eastAsia"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val="en-US" w:eastAsia="zh-CN"/>
        </w:rPr>
        <w:t>3</w:t>
      </w:r>
      <w:r>
        <w:rPr>
          <w:rFonts w:hint="eastAsia" w:ascii="方正仿宋_GBK" w:hAnsi="方正仿宋_GBK" w:eastAsia="方正仿宋_GBK" w:cs="方正仿宋_GBK"/>
          <w:b w:val="0"/>
          <w:bCs/>
          <w:sz w:val="32"/>
          <w:szCs w:val="32"/>
          <w:shd w:val="clear" w:color="auto" w:fill="FFFFFF"/>
        </w:rPr>
        <w:t>）卫生健康支出</w:t>
      </w:r>
      <w:r>
        <w:rPr>
          <w:rFonts w:hint="eastAsia" w:ascii="方正仿宋_GBK" w:hAnsi="方正仿宋_GBK" w:eastAsia="方正仿宋_GBK" w:cs="方正仿宋_GBK"/>
          <w:b w:val="0"/>
          <w:bCs/>
          <w:sz w:val="32"/>
          <w:szCs w:val="32"/>
        </w:rPr>
        <w:t>17.30</w:t>
      </w:r>
      <w:r>
        <w:rPr>
          <w:rFonts w:hint="eastAsia" w:ascii="方正仿宋_GBK" w:hAnsi="方正仿宋_GBK" w:eastAsia="方正仿宋_GBK" w:cs="方正仿宋_GBK"/>
          <w:b w:val="0"/>
          <w:bCs/>
          <w:sz w:val="32"/>
          <w:szCs w:val="32"/>
          <w:shd w:val="clear" w:color="auto" w:fill="FFFFFF"/>
        </w:rPr>
        <w:t>万元，占</w:t>
      </w:r>
      <w:r>
        <w:rPr>
          <w:rFonts w:hint="eastAsia" w:ascii="方正仿宋_GBK" w:hAnsi="方正仿宋_GBK" w:eastAsia="方正仿宋_GBK" w:cs="方正仿宋_GBK"/>
          <w:b w:val="0"/>
          <w:bCs/>
          <w:sz w:val="32"/>
          <w:szCs w:val="32"/>
        </w:rPr>
        <w:t>4.50</w:t>
      </w:r>
      <w:r>
        <w:rPr>
          <w:rFonts w:hint="eastAsia" w:ascii="方正仿宋_GBK" w:hAnsi="方正仿宋_GBK" w:eastAsia="方正仿宋_GBK" w:cs="方正仿宋_GBK"/>
          <w:b w:val="0"/>
          <w:bCs/>
          <w:sz w:val="32"/>
          <w:szCs w:val="32"/>
          <w:shd w:val="clear" w:color="auto" w:fill="FFFFFF"/>
        </w:rPr>
        <w:t>%，较年初预算数无增减</w:t>
      </w:r>
      <w:r>
        <w:rPr>
          <w:rFonts w:hint="eastAsia" w:ascii="方正仿宋_GBK" w:hAnsi="方正仿宋_GBK" w:eastAsia="方正仿宋_GBK" w:cs="方正仿宋_GBK"/>
          <w:b w:val="0"/>
          <w:bCs/>
          <w:sz w:val="32"/>
          <w:szCs w:val="32"/>
          <w:shd w:val="clear" w:color="auto" w:fill="FFFFFF"/>
          <w:lang w:eastAsia="zh-CN"/>
        </w:rPr>
        <w:t>。</w:t>
      </w:r>
    </w:p>
    <w:p>
      <w:pPr>
        <w:keepNext w:val="0"/>
        <w:keepLines w:val="0"/>
        <w:pageBreakBefore w:val="0"/>
        <w:widowControl/>
        <w:kinsoku/>
        <w:wordWrap/>
        <w:overflowPunct/>
        <w:topLinePunct w:val="0"/>
        <w:autoSpaceDN/>
        <w:bidi w:val="0"/>
        <w:adjustRightInd w:val="0"/>
        <w:snapToGrid w:val="0"/>
        <w:spacing w:beforeAutospacing="0" w:afterAutospacing="0" w:line="578" w:lineRule="exact"/>
        <w:ind w:firstLine="640" w:firstLineChars="200"/>
        <w:textAlignment w:val="auto"/>
        <w:rPr>
          <w:rFonts w:hint="eastAsia" w:ascii="方正仿宋_GBK" w:hAnsi="方正仿宋_GBK" w:eastAsia="方正仿宋_GBK" w:cs="方正仿宋_GBK"/>
          <w:b w:val="0"/>
          <w:bCs/>
          <w:color w:val="FF0000"/>
          <w:sz w:val="32"/>
          <w:szCs w:val="32"/>
          <w:shd w:val="clear" w:color="auto" w:fill="FFFFFF"/>
          <w:lang w:eastAsia="zh-CN"/>
        </w:rPr>
      </w:pPr>
      <w:r>
        <w:rPr>
          <w:rFonts w:hint="eastAsia"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val="en-US" w:eastAsia="zh-CN"/>
        </w:rPr>
        <w:t>4</w:t>
      </w:r>
      <w:r>
        <w:rPr>
          <w:rFonts w:hint="eastAsia"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rPr>
        <w:t>住房保障支出20.76</w:t>
      </w:r>
      <w:r>
        <w:rPr>
          <w:rFonts w:hint="eastAsia" w:ascii="方正仿宋_GBK" w:hAnsi="方正仿宋_GBK" w:eastAsia="方正仿宋_GBK" w:cs="方正仿宋_GBK"/>
          <w:b w:val="0"/>
          <w:bCs/>
          <w:sz w:val="32"/>
          <w:szCs w:val="32"/>
          <w:shd w:val="clear" w:color="auto" w:fill="FFFFFF"/>
        </w:rPr>
        <w:t>万元，占</w:t>
      </w:r>
      <w:r>
        <w:rPr>
          <w:rFonts w:hint="eastAsia" w:ascii="方正仿宋_GBK" w:hAnsi="方正仿宋_GBK" w:eastAsia="方正仿宋_GBK" w:cs="方正仿宋_GBK"/>
          <w:b w:val="0"/>
          <w:bCs/>
          <w:sz w:val="32"/>
          <w:szCs w:val="32"/>
        </w:rPr>
        <w:t>5.40</w:t>
      </w:r>
      <w:r>
        <w:rPr>
          <w:rFonts w:hint="eastAsia" w:ascii="方正仿宋_GBK" w:hAnsi="方正仿宋_GBK" w:eastAsia="方正仿宋_GBK" w:cs="方正仿宋_GBK"/>
          <w:b w:val="0"/>
          <w:bCs/>
          <w:sz w:val="32"/>
          <w:szCs w:val="32"/>
          <w:shd w:val="clear" w:color="auto" w:fill="FFFFFF"/>
        </w:rPr>
        <w:t>%，较年初预算数无增减</w:t>
      </w:r>
      <w:r>
        <w:rPr>
          <w:rFonts w:hint="eastAsia" w:ascii="方正仿宋_GBK" w:hAnsi="方正仿宋_GBK" w:eastAsia="方正仿宋_GBK" w:cs="方正仿宋_GBK"/>
          <w:b w:val="0"/>
          <w:bCs/>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val="0"/>
        <w:snapToGrid w:val="0"/>
        <w:spacing w:beforeAutospacing="0" w:afterAutospacing="0" w:line="578" w:lineRule="exact"/>
        <w:ind w:firstLine="643"/>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（四）一般公共预算财政拨款基本支出决算情况说明</w:t>
      </w:r>
    </w:p>
    <w:p>
      <w:pPr>
        <w:pStyle w:val="5"/>
        <w:keepNext w:val="0"/>
        <w:keepLines w:val="0"/>
        <w:pageBreakBefore w:val="0"/>
        <w:widowControl/>
        <w:kinsoku/>
        <w:wordWrap/>
        <w:overflowPunct/>
        <w:topLinePunct w:val="0"/>
        <w:autoSpaceDN/>
        <w:bidi w:val="0"/>
        <w:adjustRightInd w:val="0"/>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rPr>
      </w:pPr>
      <w:r>
        <w:rPr>
          <w:rFonts w:hint="eastAsia" w:ascii="方正仿宋_GBK" w:hAnsi="方正仿宋_GBK" w:eastAsia="方正仿宋_GBK" w:cs="方正仿宋_GBK"/>
          <w:b w:val="0"/>
          <w:bCs/>
          <w:sz w:val="32"/>
          <w:szCs w:val="32"/>
          <w:shd w:val="clear" w:color="auto" w:fill="FFFFFF"/>
        </w:rPr>
        <w:t> </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度一般公共财政拨款基本支出</w:t>
      </w:r>
      <w:r>
        <w:rPr>
          <w:rFonts w:hint="eastAsia" w:ascii="方正仿宋_GBK" w:hAnsi="方正仿宋_GBK" w:eastAsia="方正仿宋_GBK" w:cs="方正仿宋_GBK"/>
          <w:b w:val="0"/>
          <w:bCs/>
          <w:sz w:val="32"/>
          <w:szCs w:val="32"/>
        </w:rPr>
        <w:t>384.39</w:t>
      </w:r>
      <w:r>
        <w:rPr>
          <w:rFonts w:hint="eastAsia" w:ascii="方正仿宋_GBK" w:hAnsi="方正仿宋_GBK" w:eastAsia="方正仿宋_GBK" w:cs="方正仿宋_GBK"/>
          <w:b w:val="0"/>
          <w:bCs/>
          <w:sz w:val="32"/>
          <w:szCs w:val="32"/>
          <w:shd w:val="clear" w:color="auto" w:fill="FFFFFF"/>
        </w:rPr>
        <w:t>万元。其中：人员经费</w:t>
      </w:r>
      <w:r>
        <w:rPr>
          <w:rFonts w:hint="eastAsia" w:ascii="方正仿宋_GBK" w:hAnsi="方正仿宋_GBK" w:eastAsia="方正仿宋_GBK" w:cs="方正仿宋_GBK"/>
          <w:b w:val="0"/>
          <w:bCs/>
          <w:sz w:val="32"/>
          <w:szCs w:val="32"/>
        </w:rPr>
        <w:t>341.08</w:t>
      </w:r>
      <w:r>
        <w:rPr>
          <w:rFonts w:hint="eastAsia" w:ascii="方正仿宋_GBK" w:hAnsi="方正仿宋_GBK" w:eastAsia="方正仿宋_GBK" w:cs="方正仿宋_GBK"/>
          <w:b w:val="0"/>
          <w:bCs/>
          <w:sz w:val="32"/>
          <w:szCs w:val="32"/>
          <w:shd w:val="clear" w:color="auto" w:fill="FFFFFF"/>
        </w:rPr>
        <w:t>万元，与2023年度相比，增加341.08万元，增长100.0%，主要原因是本单位</w:t>
      </w:r>
      <w:r>
        <w:rPr>
          <w:rFonts w:hint="eastAsia" w:ascii="方正仿宋_GBK" w:hAnsi="方正仿宋_GBK" w:eastAsia="方正仿宋_GBK" w:cs="方正仿宋_GBK"/>
          <w:b w:val="0"/>
          <w:bCs/>
          <w:sz w:val="32"/>
          <w:szCs w:val="32"/>
          <w:shd w:val="clear" w:color="auto" w:fill="FFFFFF"/>
          <w:lang w:val="en-US" w:eastAsia="zh-CN"/>
        </w:rPr>
        <w:t>2023年度与行政机关本级一起预算，</w:t>
      </w:r>
      <w:r>
        <w:rPr>
          <w:rFonts w:hint="eastAsia" w:ascii="方正仿宋_GBK" w:hAnsi="方正仿宋_GBK" w:eastAsia="方正仿宋_GBK" w:cs="方正仿宋_GBK"/>
          <w:b w:val="0"/>
          <w:bCs/>
          <w:sz w:val="32"/>
          <w:szCs w:val="32"/>
          <w:shd w:val="clear" w:color="auto" w:fill="FFFFFF"/>
        </w:rPr>
        <w:t>2024年单独预算，故上年度无数据。人员经费用途主要包括基本工资、</w:t>
      </w:r>
      <w:r>
        <w:rPr>
          <w:rFonts w:hint="eastAsia" w:ascii="方正仿宋_GBK" w:hAnsi="方正仿宋_GBK" w:eastAsia="方正仿宋_GBK" w:cs="方正仿宋_GBK"/>
          <w:b w:val="0"/>
          <w:bCs/>
          <w:sz w:val="32"/>
          <w:szCs w:val="32"/>
          <w:shd w:val="clear" w:color="auto" w:fill="FFFFFF"/>
          <w:lang w:eastAsia="zh-CN"/>
        </w:rPr>
        <w:t>绩效</w:t>
      </w:r>
      <w:r>
        <w:rPr>
          <w:rFonts w:hint="eastAsia" w:ascii="方正仿宋_GBK" w:hAnsi="方正仿宋_GBK" w:eastAsia="方正仿宋_GBK" w:cs="方正仿宋_GBK"/>
          <w:b w:val="0"/>
          <w:bCs/>
          <w:sz w:val="32"/>
          <w:szCs w:val="32"/>
          <w:shd w:val="clear" w:color="auto" w:fill="FFFFFF"/>
        </w:rPr>
        <w:t>、奖金、社会保障缴费等</w:t>
      </w:r>
      <w:r>
        <w:rPr>
          <w:rFonts w:hint="eastAsia" w:ascii="方正仿宋_GBK" w:hAnsi="方正仿宋_GBK" w:eastAsia="方正仿宋_GBK" w:cs="方正仿宋_GBK"/>
          <w:b w:val="0"/>
          <w:bCs/>
          <w:sz w:val="32"/>
          <w:szCs w:val="32"/>
          <w:shd w:val="clear" w:color="auto" w:fill="FFFFFF"/>
          <w:lang w:eastAsia="zh-CN"/>
        </w:rPr>
        <w:t>。</w:t>
      </w:r>
      <w:r>
        <w:rPr>
          <w:rFonts w:hint="eastAsia" w:ascii="方正仿宋_GBK" w:hAnsi="方正仿宋_GBK" w:eastAsia="方正仿宋_GBK" w:cs="方正仿宋_GBK"/>
          <w:b w:val="0"/>
          <w:bCs/>
          <w:sz w:val="32"/>
          <w:szCs w:val="32"/>
          <w:shd w:val="clear" w:color="auto" w:fill="FFFFFF"/>
        </w:rPr>
        <w:t>公用经费</w:t>
      </w:r>
      <w:r>
        <w:rPr>
          <w:rFonts w:hint="eastAsia" w:ascii="方正仿宋_GBK" w:hAnsi="方正仿宋_GBK" w:eastAsia="方正仿宋_GBK" w:cs="方正仿宋_GBK"/>
          <w:b w:val="0"/>
          <w:bCs/>
          <w:sz w:val="32"/>
          <w:szCs w:val="32"/>
        </w:rPr>
        <w:t>43.31</w:t>
      </w:r>
      <w:r>
        <w:rPr>
          <w:rFonts w:hint="eastAsia" w:ascii="方正仿宋_GBK" w:hAnsi="方正仿宋_GBK" w:eastAsia="方正仿宋_GBK" w:cs="方正仿宋_GBK"/>
          <w:b w:val="0"/>
          <w:bCs/>
          <w:sz w:val="32"/>
          <w:szCs w:val="32"/>
          <w:shd w:val="clear" w:color="auto" w:fill="FFFFFF"/>
        </w:rPr>
        <w:t>万元，与2023年度相比，增加43.31万元，增长100.0%，主要原因是本单位</w:t>
      </w:r>
      <w:r>
        <w:rPr>
          <w:rFonts w:hint="eastAsia" w:ascii="方正仿宋_GBK" w:hAnsi="方正仿宋_GBK" w:eastAsia="方正仿宋_GBK" w:cs="方正仿宋_GBK"/>
          <w:b w:val="0"/>
          <w:bCs/>
          <w:sz w:val="32"/>
          <w:szCs w:val="32"/>
          <w:shd w:val="clear" w:color="auto" w:fill="FFFFFF"/>
          <w:lang w:val="en-US" w:eastAsia="zh-CN"/>
        </w:rPr>
        <w:t>2023年度与行政机关本级一起预算，</w:t>
      </w:r>
      <w:r>
        <w:rPr>
          <w:rFonts w:hint="eastAsia" w:ascii="方正仿宋_GBK" w:hAnsi="方正仿宋_GBK" w:eastAsia="方正仿宋_GBK" w:cs="方正仿宋_GBK"/>
          <w:b w:val="0"/>
          <w:bCs/>
          <w:sz w:val="32"/>
          <w:szCs w:val="32"/>
          <w:shd w:val="clear" w:color="auto" w:fill="FFFFFF"/>
        </w:rPr>
        <w:t>2024年单独预算，故上年度无数据。公用经费用途主要包括办公费、水电费、邮电费、差旅费、维修（护）费、福利费等支出。</w:t>
      </w:r>
    </w:p>
    <w:p>
      <w:pPr>
        <w:pStyle w:val="9"/>
        <w:keepNext w:val="0"/>
        <w:keepLines w:val="0"/>
        <w:pageBreakBefore w:val="0"/>
        <w:widowControl/>
        <w:kinsoku/>
        <w:wordWrap/>
        <w:overflowPunct/>
        <w:topLinePunct w:val="0"/>
        <w:autoSpaceDE w:val="0"/>
        <w:autoSpaceDN/>
        <w:bidi w:val="0"/>
        <w:adjustRightInd w:val="0"/>
        <w:snapToGrid w:val="0"/>
        <w:spacing w:beforeAutospacing="0" w:afterAutospacing="0" w:line="578" w:lineRule="exact"/>
        <w:ind w:firstLine="643"/>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（五）政府性基金预算收支决算情况说明</w:t>
      </w:r>
    </w:p>
    <w:p>
      <w:pPr>
        <w:pStyle w:val="5"/>
        <w:keepNext w:val="0"/>
        <w:keepLines w:val="0"/>
        <w:pageBreakBefore w:val="0"/>
        <w:widowControl/>
        <w:kinsoku/>
        <w:wordWrap/>
        <w:overflowPunct/>
        <w:topLinePunct w:val="0"/>
        <w:autoSpaceDN/>
        <w:bidi w:val="0"/>
        <w:adjustRightInd w:val="0"/>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rPr>
      </w:pPr>
      <w:r>
        <w:rPr>
          <w:rFonts w:hint="eastAsia" w:ascii="方正仿宋_GBK" w:hAnsi="方正仿宋_GBK" w:eastAsia="方正仿宋_GBK" w:cs="方正仿宋_GBK"/>
          <w:b w:val="0"/>
          <w:bCs/>
          <w:sz w:val="32"/>
          <w:szCs w:val="32"/>
          <w:shd w:val="clear" w:color="auto" w:fill="FFFFFF"/>
        </w:rPr>
        <w:t>本单位</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度无政府性基金预算财政拨款收支。</w:t>
      </w:r>
    </w:p>
    <w:p>
      <w:pPr>
        <w:pStyle w:val="9"/>
        <w:keepNext w:val="0"/>
        <w:keepLines w:val="0"/>
        <w:pageBreakBefore w:val="0"/>
        <w:widowControl/>
        <w:kinsoku/>
        <w:wordWrap/>
        <w:overflowPunct/>
        <w:topLinePunct w:val="0"/>
        <w:autoSpaceDE w:val="0"/>
        <w:autoSpaceDN/>
        <w:bidi w:val="0"/>
        <w:adjustRightInd w:val="0"/>
        <w:snapToGrid w:val="0"/>
        <w:spacing w:beforeAutospacing="0" w:afterAutospacing="0" w:line="578" w:lineRule="exact"/>
        <w:ind w:firstLine="643"/>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（六）国有资本经营预算财政拨款支出决算情况说明</w:t>
      </w:r>
    </w:p>
    <w:p>
      <w:pPr>
        <w:pStyle w:val="5"/>
        <w:keepNext w:val="0"/>
        <w:keepLines w:val="0"/>
        <w:pageBreakBefore w:val="0"/>
        <w:widowControl/>
        <w:kinsoku/>
        <w:wordWrap/>
        <w:overflowPunct/>
        <w:topLinePunct w:val="0"/>
        <w:autoSpaceDN/>
        <w:bidi w:val="0"/>
        <w:adjustRightInd w:val="0"/>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rPr>
      </w:pPr>
      <w:r>
        <w:rPr>
          <w:rFonts w:hint="eastAsia" w:ascii="方正仿宋_GBK" w:hAnsi="方正仿宋_GBK" w:eastAsia="方正仿宋_GBK" w:cs="方正仿宋_GBK"/>
          <w:b w:val="0"/>
          <w:bCs/>
          <w:sz w:val="32"/>
          <w:szCs w:val="32"/>
          <w:shd w:val="clear" w:color="auto" w:fill="FFFFFF"/>
        </w:rPr>
        <w:t> 本单位</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78"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三、</w:t>
      </w:r>
      <w:r>
        <w:rPr>
          <w:rStyle w:val="8"/>
          <w:rFonts w:hint="eastAsia" w:ascii="方正黑体_GBK" w:hAnsi="方正黑体_GBK" w:eastAsia="方正黑体_GBK" w:cs="方正黑体_GBK"/>
          <w:b w:val="0"/>
          <w:bCs/>
          <w:sz w:val="32"/>
          <w:szCs w:val="32"/>
          <w:shd w:val="clear" w:color="auto" w:fill="FFFFFF"/>
          <w:lang w:eastAsia="zh-CN"/>
        </w:rPr>
        <w:t>财政拨款</w:t>
      </w:r>
      <w:r>
        <w:rPr>
          <w:rStyle w:val="8"/>
          <w:rFonts w:hint="eastAsia" w:ascii="方正黑体_GBK" w:hAnsi="方正黑体_GBK" w:eastAsia="方正黑体_GBK" w:cs="方正黑体_GBK"/>
          <w:b w:val="0"/>
          <w:bCs/>
          <w:sz w:val="32"/>
          <w:szCs w:val="32"/>
          <w:shd w:val="clear" w:color="auto" w:fill="FFFFFF"/>
        </w:rPr>
        <w:t>“三公”经费情况说明</w:t>
      </w:r>
    </w:p>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我单位为2024年新增独立核算单位，未预算“三公”经费，“三公”经费在行政本级核算，因此24年无“三公”</w:t>
      </w:r>
      <w:bookmarkStart w:id="0" w:name="_GoBack"/>
      <w:bookmarkEnd w:id="0"/>
      <w:r>
        <w:rPr>
          <w:rFonts w:hint="eastAsia" w:ascii="方正仿宋_GBK" w:hAnsi="方正仿宋_GBK" w:eastAsia="方正仿宋_GBK" w:cs="方正仿宋_GBK"/>
          <w:b w:val="0"/>
          <w:bCs/>
          <w:sz w:val="32"/>
          <w:szCs w:val="32"/>
          <w:lang w:val="en-US" w:eastAsia="zh-CN"/>
        </w:rPr>
        <w:t>经费支出。</w:t>
      </w:r>
    </w:p>
    <w:p>
      <w:pPr>
        <w:pStyle w:val="5"/>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78"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四、其他需要说明的事项</w:t>
      </w:r>
    </w:p>
    <w:p>
      <w:pPr>
        <w:pStyle w:val="9"/>
        <w:keepNext w:val="0"/>
        <w:keepLines w:val="0"/>
        <w:pageBreakBefore w:val="0"/>
        <w:widowControl/>
        <w:kinsoku/>
        <w:wordWrap/>
        <w:overflowPunct/>
        <w:topLinePunct w:val="0"/>
        <w:autoSpaceDE w:val="0"/>
        <w:autoSpaceDN/>
        <w:bidi w:val="0"/>
        <w:adjustRightInd w:val="0"/>
        <w:snapToGrid w:val="0"/>
        <w:spacing w:beforeAutospacing="0" w:afterAutospacing="0" w:line="578" w:lineRule="exact"/>
        <w:ind w:firstLine="643"/>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 xml:space="preserve"> （一）财政拨款会议费和培训费情况说明</w:t>
      </w:r>
    </w:p>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我单位为2024年新增独立核算单位，未预算会议费和培训费，会议费和培训费在行政本级核算，因此24年无会议费和培训费支出。</w:t>
      </w:r>
    </w:p>
    <w:p>
      <w:pPr>
        <w:pStyle w:val="9"/>
        <w:keepNext w:val="0"/>
        <w:keepLines w:val="0"/>
        <w:pageBreakBefore w:val="0"/>
        <w:widowControl/>
        <w:numPr>
          <w:ilvl w:val="0"/>
          <w:numId w:val="1"/>
        </w:numPr>
        <w:kinsoku/>
        <w:wordWrap/>
        <w:overflowPunct/>
        <w:topLinePunct w:val="0"/>
        <w:autoSpaceDE w:val="0"/>
        <w:autoSpaceDN/>
        <w:bidi w:val="0"/>
        <w:adjustRightInd w:val="0"/>
        <w:snapToGrid w:val="0"/>
        <w:spacing w:beforeAutospacing="0" w:afterAutospacing="0" w:line="578" w:lineRule="exact"/>
        <w:ind w:firstLine="643"/>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机关运行经费情况说明</w:t>
      </w:r>
    </w:p>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按照部门决算列报口径，我单位不在机关运行经费统计范围之内。</w:t>
      </w:r>
    </w:p>
    <w:p>
      <w:pPr>
        <w:pStyle w:val="9"/>
        <w:keepNext w:val="0"/>
        <w:keepLines w:val="0"/>
        <w:pageBreakBefore w:val="0"/>
        <w:widowControl/>
        <w:kinsoku/>
        <w:wordWrap/>
        <w:overflowPunct/>
        <w:topLinePunct w:val="0"/>
        <w:autoSpaceDE w:val="0"/>
        <w:autoSpaceDN/>
        <w:bidi w:val="0"/>
        <w:adjustRightInd w:val="0"/>
        <w:snapToGrid w:val="0"/>
        <w:spacing w:beforeAutospacing="0" w:afterAutospacing="0" w:line="578" w:lineRule="exact"/>
        <w:ind w:firstLine="643"/>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（三）国有资产占用情况说明</w:t>
      </w:r>
    </w:p>
    <w:p>
      <w:pPr>
        <w:pStyle w:val="5"/>
        <w:keepNext w:val="0"/>
        <w:keepLines w:val="0"/>
        <w:pageBreakBefore w:val="0"/>
        <w:widowControl/>
        <w:kinsoku/>
        <w:wordWrap/>
        <w:overflowPunct/>
        <w:topLinePunct w:val="0"/>
        <w:autoSpaceDN/>
        <w:bidi w:val="0"/>
        <w:adjustRightInd w:val="0"/>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shd w:val="clear" w:color="auto" w:fill="FFFFFF"/>
        </w:rPr>
        <w:t>截至</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12月31日，本单位共有车辆</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辆，其中，副部（省）级及以上领导用车</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辆、主要负责人用车</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辆、机要通信用车</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辆、应急保障用车</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辆、执法执勤用车</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辆，特种专业技术用车</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辆，离退休干部用车</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辆。单价100万元（含）以上专用设备</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val="0"/>
        <w:snapToGrid w:val="0"/>
        <w:spacing w:beforeAutospacing="0" w:afterAutospacing="0" w:line="578" w:lineRule="exact"/>
        <w:ind w:firstLine="643"/>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（四）政府采购支出情况说明</w:t>
      </w:r>
    </w:p>
    <w:p>
      <w:pPr>
        <w:pStyle w:val="5"/>
        <w:keepNext w:val="0"/>
        <w:keepLines w:val="0"/>
        <w:pageBreakBefore w:val="0"/>
        <w:widowControl/>
        <w:kinsoku/>
        <w:wordWrap/>
        <w:overflowPunct/>
        <w:topLinePunct w:val="0"/>
        <w:autoSpaceDN/>
        <w:bidi w:val="0"/>
        <w:adjustRightInd w:val="0"/>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rPr>
      </w:pP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度我单位未发生政府采购事项，无相关经费支出。</w:t>
      </w:r>
    </w:p>
    <w:p>
      <w:pPr>
        <w:pStyle w:val="10"/>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lang w:val="en-US" w:eastAsia="zh-CN" w:bidi="ar-SA"/>
        </w:rPr>
      </w:pPr>
      <w:r>
        <w:rPr>
          <w:rStyle w:val="8"/>
          <w:rFonts w:hint="eastAsia" w:ascii="方正黑体_GBK" w:hAnsi="方正黑体_GBK" w:eastAsia="方正黑体_GBK" w:cs="方正黑体_GBK"/>
          <w:b w:val="0"/>
          <w:bCs/>
          <w:sz w:val="32"/>
          <w:szCs w:val="32"/>
          <w:shd w:val="clear" w:color="auto" w:fill="FFFFFF"/>
          <w:lang w:val="en-US" w:eastAsia="zh-CN" w:bidi="ar-SA"/>
        </w:rPr>
        <w:t>五、2024年度预算绩效管理情况说明</w:t>
      </w:r>
    </w:p>
    <w:p>
      <w:pPr>
        <w:pStyle w:val="10"/>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578" w:lineRule="exact"/>
        <w:ind w:firstLine="640" w:firstLineChars="200"/>
        <w:jc w:val="left"/>
        <w:textAlignment w:val="auto"/>
        <w:rPr>
          <w:rFonts w:hint="eastAsia" w:ascii="方正楷体_GBK" w:hAnsi="方正楷体_GBK" w:eastAsia="方正楷体_GBK" w:cs="方正楷体_GBK"/>
          <w:b w:val="0"/>
          <w:bCs/>
          <w:kern w:val="0"/>
          <w:sz w:val="32"/>
          <w:szCs w:val="32"/>
          <w:shd w:val="clear" w:fill="FFFFFF"/>
        </w:rPr>
      </w:pPr>
      <w:r>
        <w:rPr>
          <w:rFonts w:hint="eastAsia" w:ascii="方正楷体_GBK" w:hAnsi="方正楷体_GBK" w:eastAsia="方正楷体_GBK" w:cs="方正楷体_GBK"/>
          <w:b w:val="0"/>
          <w:bCs/>
          <w:kern w:val="0"/>
          <w:sz w:val="32"/>
          <w:szCs w:val="32"/>
          <w:shd w:val="clear" w:fill="FFFFFF"/>
        </w:rPr>
        <w:t>（一）单位自评情况</w:t>
      </w:r>
    </w:p>
    <w:p>
      <w:pPr>
        <w:pStyle w:val="10"/>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578" w:lineRule="exact"/>
        <w:ind w:firstLine="640" w:firstLineChars="200"/>
        <w:jc w:val="left"/>
        <w:textAlignment w:val="auto"/>
        <w:rPr>
          <w:rFonts w:hint="eastAsia" w:ascii="方正仿宋_GBK" w:hAnsi="方正仿宋_GBK" w:eastAsia="方正仿宋_GBK" w:cs="方正仿宋_GBK"/>
          <w:b w:val="0"/>
          <w:bCs/>
          <w:kern w:val="0"/>
          <w:sz w:val="32"/>
          <w:szCs w:val="32"/>
          <w:shd w:val="clear" w:fill="FFFFFF"/>
          <w:lang w:eastAsia="zh-CN"/>
        </w:rPr>
      </w:pPr>
      <w:r>
        <w:rPr>
          <w:rFonts w:hint="eastAsia" w:ascii="方正仿宋_GBK" w:hAnsi="方正仿宋_GBK" w:eastAsia="方正仿宋_GBK" w:cs="方正仿宋_GBK"/>
          <w:b w:val="0"/>
          <w:bCs/>
          <w:kern w:val="0"/>
          <w:sz w:val="32"/>
          <w:szCs w:val="32"/>
          <w:shd w:val="clear" w:fill="FFFFFF"/>
        </w:rPr>
        <w:t>根据预算绩效管理要求，我单位</w:t>
      </w:r>
      <w:r>
        <w:rPr>
          <w:rFonts w:hint="eastAsia" w:ascii="方正仿宋_GBK" w:hAnsi="方正仿宋_GBK" w:eastAsia="方正仿宋_GBK" w:cs="方正仿宋_GBK"/>
          <w:b w:val="0"/>
          <w:bCs/>
          <w:kern w:val="0"/>
          <w:sz w:val="32"/>
          <w:szCs w:val="32"/>
          <w:shd w:val="clear" w:fill="FFFFFF"/>
          <w:lang w:eastAsia="zh-CN"/>
        </w:rPr>
        <w:t>没有项目预算，因此无项目绩效自评。</w:t>
      </w:r>
    </w:p>
    <w:p>
      <w:pPr>
        <w:pStyle w:val="10"/>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578" w:lineRule="exact"/>
        <w:ind w:firstLine="640" w:firstLineChars="200"/>
        <w:jc w:val="left"/>
        <w:textAlignment w:val="auto"/>
        <w:rPr>
          <w:rFonts w:hint="eastAsia" w:ascii="方正楷体_GBK" w:hAnsi="方正楷体_GBK" w:eastAsia="方正楷体_GBK" w:cs="方正楷体_GBK"/>
          <w:b w:val="0"/>
          <w:bCs/>
          <w:kern w:val="0"/>
          <w:sz w:val="32"/>
          <w:szCs w:val="32"/>
          <w:shd w:val="clear" w:fill="FFFFFF"/>
        </w:rPr>
      </w:pPr>
      <w:r>
        <w:rPr>
          <w:rFonts w:hint="eastAsia" w:ascii="方正楷体_GBK" w:hAnsi="方正楷体_GBK" w:eastAsia="方正楷体_GBK" w:cs="方正楷体_GBK"/>
          <w:b w:val="0"/>
          <w:bCs/>
          <w:kern w:val="0"/>
          <w:sz w:val="32"/>
          <w:szCs w:val="32"/>
          <w:shd w:val="clear" w:fill="FFFFFF"/>
        </w:rPr>
        <w:t>（二）部门绩效评价情况</w:t>
      </w:r>
    </w:p>
    <w:p>
      <w:pPr>
        <w:pStyle w:val="12"/>
        <w:keepNext w:val="0"/>
        <w:keepLines w:val="0"/>
        <w:pageBreakBefore w:val="0"/>
        <w:widowControl/>
        <w:kinsoku/>
        <w:wordWrap/>
        <w:overflowPunct/>
        <w:topLinePunct w:val="0"/>
        <w:autoSpaceDE w:val="0"/>
        <w:autoSpaceDN/>
        <w:bidi w:val="0"/>
        <w:adjustRightInd w:val="0"/>
        <w:snapToGrid w:val="0"/>
        <w:spacing w:beforeAutospacing="0" w:after="0" w:afterAutospacing="0" w:line="578" w:lineRule="exact"/>
        <w:ind w:left="0" w:firstLine="640" w:firstLineChars="200"/>
        <w:textAlignment w:val="auto"/>
        <w:rPr>
          <w:rFonts w:hint="eastAsia" w:ascii="方正仿宋_GBK" w:hAnsi="方正仿宋_GBK" w:eastAsia="方正仿宋_GBK" w:cs="方正仿宋_GBK"/>
          <w:b w:val="0"/>
          <w:bCs/>
          <w:kern w:val="0"/>
          <w:sz w:val="32"/>
          <w:szCs w:val="32"/>
          <w:shd w:val="clear" w:fill="FFFFFF"/>
          <w:lang w:eastAsia="zh-CN"/>
        </w:rPr>
      </w:pPr>
      <w:r>
        <w:rPr>
          <w:rFonts w:hint="eastAsia" w:ascii="方正仿宋_GBK" w:hAnsi="方正仿宋_GBK" w:eastAsia="方正仿宋_GBK" w:cs="方正仿宋_GBK"/>
          <w:b w:val="0"/>
          <w:bCs/>
          <w:kern w:val="0"/>
          <w:sz w:val="32"/>
          <w:szCs w:val="32"/>
          <w:shd w:val="clear" w:fill="FFFFFF"/>
        </w:rPr>
        <w:t>我单位</w:t>
      </w:r>
      <w:r>
        <w:rPr>
          <w:rFonts w:hint="eastAsia" w:ascii="方正仿宋_GBK" w:hAnsi="方正仿宋_GBK" w:eastAsia="方正仿宋_GBK" w:cs="方正仿宋_GBK"/>
          <w:b w:val="0"/>
          <w:bCs/>
          <w:kern w:val="0"/>
          <w:sz w:val="32"/>
          <w:szCs w:val="32"/>
          <w:shd w:val="clear" w:fill="FFFFFF"/>
          <w:lang w:eastAsia="zh-CN"/>
        </w:rPr>
        <w:t>未组织</w:t>
      </w:r>
      <w:r>
        <w:rPr>
          <w:rFonts w:hint="eastAsia" w:ascii="方正仿宋_GBK" w:hAnsi="方正仿宋_GBK" w:eastAsia="方正仿宋_GBK" w:cs="方正仿宋_GBK"/>
          <w:b w:val="0"/>
          <w:bCs/>
          <w:kern w:val="0"/>
          <w:sz w:val="32"/>
          <w:szCs w:val="32"/>
          <w:shd w:val="clear" w:fill="FFFFFF"/>
        </w:rPr>
        <w:t>开展绩效评价</w:t>
      </w:r>
      <w:r>
        <w:rPr>
          <w:rFonts w:hint="eastAsia" w:ascii="方正仿宋_GBK" w:hAnsi="方正仿宋_GBK" w:eastAsia="方正仿宋_GBK" w:cs="方正仿宋_GBK"/>
          <w:b w:val="0"/>
          <w:bCs/>
          <w:kern w:val="0"/>
          <w:sz w:val="32"/>
          <w:szCs w:val="32"/>
          <w:shd w:val="clear" w:fill="FFFFFF"/>
          <w:lang w:eastAsia="zh-CN"/>
        </w:rPr>
        <w:t>。</w:t>
      </w:r>
    </w:p>
    <w:p>
      <w:pPr>
        <w:pStyle w:val="12"/>
        <w:keepNext w:val="0"/>
        <w:keepLines w:val="0"/>
        <w:pageBreakBefore w:val="0"/>
        <w:widowControl/>
        <w:kinsoku/>
        <w:wordWrap/>
        <w:overflowPunct/>
        <w:topLinePunct w:val="0"/>
        <w:autoSpaceDE w:val="0"/>
        <w:autoSpaceDN/>
        <w:bidi w:val="0"/>
        <w:adjustRightInd w:val="0"/>
        <w:snapToGrid w:val="0"/>
        <w:spacing w:beforeAutospacing="0" w:after="0" w:afterAutospacing="0" w:line="578" w:lineRule="exact"/>
        <w:ind w:left="0" w:firstLine="640" w:firstLineChars="200"/>
        <w:textAlignment w:val="auto"/>
        <w:rPr>
          <w:rFonts w:hint="eastAsia" w:ascii="方正楷体_GBK" w:hAnsi="方正楷体_GBK" w:eastAsia="方正楷体_GBK" w:cs="方正楷体_GBK"/>
          <w:b w:val="0"/>
          <w:bCs/>
          <w:kern w:val="0"/>
          <w:sz w:val="32"/>
          <w:szCs w:val="32"/>
          <w:shd w:val="clear" w:fill="FFFFFF"/>
        </w:rPr>
      </w:pPr>
      <w:r>
        <w:rPr>
          <w:rFonts w:hint="eastAsia" w:ascii="方正楷体_GBK" w:hAnsi="方正楷体_GBK" w:eastAsia="方正楷体_GBK" w:cs="方正楷体_GBK"/>
          <w:b w:val="0"/>
          <w:bCs/>
          <w:kern w:val="0"/>
          <w:sz w:val="32"/>
          <w:szCs w:val="32"/>
          <w:shd w:val="clear" w:fill="FFFFFF"/>
          <w:lang w:val="en-US" w:eastAsia="zh-CN" w:bidi="ar"/>
        </w:rPr>
        <w:t>（三）财政绩效评价情况</w:t>
      </w:r>
    </w:p>
    <w:p>
      <w:pPr>
        <w:pStyle w:val="12"/>
        <w:keepNext w:val="0"/>
        <w:keepLines w:val="0"/>
        <w:pageBreakBefore w:val="0"/>
        <w:widowControl/>
        <w:kinsoku/>
        <w:wordWrap/>
        <w:overflowPunct/>
        <w:topLinePunct w:val="0"/>
        <w:autoSpaceDE w:val="0"/>
        <w:autoSpaceDN/>
        <w:bidi w:val="0"/>
        <w:adjustRightInd w:val="0"/>
        <w:snapToGrid w:val="0"/>
        <w:spacing w:beforeAutospacing="0" w:after="0" w:afterAutospacing="0" w:line="578" w:lineRule="exact"/>
        <w:ind w:left="0" w:firstLine="640" w:firstLineChars="200"/>
        <w:textAlignment w:val="auto"/>
        <w:rPr>
          <w:rFonts w:hint="eastAsia" w:ascii="方正仿宋_GBK" w:hAnsi="方正仿宋_GBK" w:eastAsia="方正仿宋_GBK" w:cs="方正仿宋_GBK"/>
          <w:b w:val="0"/>
          <w:bCs/>
          <w:kern w:val="0"/>
          <w:sz w:val="32"/>
          <w:szCs w:val="32"/>
          <w:shd w:val="clear" w:fill="FFFFFF"/>
          <w:lang w:eastAsia="zh-CN"/>
        </w:rPr>
      </w:pPr>
      <w:r>
        <w:rPr>
          <w:rFonts w:hint="eastAsia" w:ascii="方正仿宋_GBK" w:hAnsi="方正仿宋_GBK" w:eastAsia="方正仿宋_GBK" w:cs="方正仿宋_GBK"/>
          <w:b w:val="0"/>
          <w:bCs/>
          <w:kern w:val="0"/>
          <w:sz w:val="32"/>
          <w:szCs w:val="32"/>
          <w:shd w:val="clear" w:fill="FFFFFF"/>
          <w:lang w:eastAsia="zh-CN"/>
        </w:rPr>
        <w:t>县</w:t>
      </w:r>
      <w:r>
        <w:rPr>
          <w:rFonts w:hint="eastAsia" w:ascii="方正仿宋_GBK" w:hAnsi="方正仿宋_GBK" w:eastAsia="方正仿宋_GBK" w:cs="方正仿宋_GBK"/>
          <w:b w:val="0"/>
          <w:bCs/>
          <w:kern w:val="0"/>
          <w:sz w:val="32"/>
          <w:szCs w:val="32"/>
          <w:shd w:val="clear" w:fill="FFFFFF"/>
        </w:rPr>
        <w:t>财政局</w:t>
      </w:r>
      <w:r>
        <w:rPr>
          <w:rFonts w:hint="eastAsia" w:ascii="方正仿宋_GBK" w:hAnsi="方正仿宋_GBK" w:eastAsia="方正仿宋_GBK" w:cs="方正仿宋_GBK"/>
          <w:b w:val="0"/>
          <w:bCs/>
          <w:kern w:val="0"/>
          <w:sz w:val="32"/>
          <w:szCs w:val="32"/>
          <w:shd w:val="clear" w:fill="FFFFFF"/>
          <w:lang w:eastAsia="zh-CN"/>
        </w:rPr>
        <w:t>未</w:t>
      </w:r>
      <w:r>
        <w:rPr>
          <w:rFonts w:hint="eastAsia" w:ascii="方正仿宋_GBK" w:hAnsi="方正仿宋_GBK" w:eastAsia="方正仿宋_GBK" w:cs="方正仿宋_GBK"/>
          <w:b w:val="0"/>
          <w:bCs/>
          <w:kern w:val="0"/>
          <w:sz w:val="32"/>
          <w:szCs w:val="32"/>
          <w:shd w:val="clear" w:fill="FFFFFF"/>
        </w:rPr>
        <w:t>委托第三方对我单位开展了绩效评价</w:t>
      </w:r>
      <w:r>
        <w:rPr>
          <w:rFonts w:hint="eastAsia" w:ascii="方正仿宋_GBK" w:hAnsi="方正仿宋_GBK" w:eastAsia="方正仿宋_GBK" w:cs="方正仿宋_GBK"/>
          <w:b w:val="0"/>
          <w:bCs/>
          <w:kern w:val="0"/>
          <w:sz w:val="32"/>
          <w:szCs w:val="32"/>
          <w:shd w:val="clear" w:fill="FFFFFF"/>
          <w:lang w:eastAsia="zh-CN"/>
        </w:rPr>
        <w:t>。</w:t>
      </w:r>
    </w:p>
    <w:p>
      <w:pPr>
        <w:pStyle w:val="10"/>
        <w:keepNext w:val="0"/>
        <w:keepLines w:val="0"/>
        <w:pageBreakBefore w:val="0"/>
        <w:widowControl/>
        <w:kinsoku/>
        <w:wordWrap/>
        <w:overflowPunct/>
        <w:topLinePunct w:val="0"/>
        <w:autoSpaceDE w:val="0"/>
        <w:autoSpaceDN/>
        <w:bidi w:val="0"/>
        <w:adjustRightInd w:val="0"/>
        <w:snapToGrid w:val="0"/>
        <w:spacing w:before="0" w:beforeAutospacing="0" w:after="0" w:afterAutospacing="0" w:line="578" w:lineRule="exact"/>
        <w:textAlignment w:val="auto"/>
        <w:rPr>
          <w:rFonts w:hint="eastAsia" w:ascii="方正黑体_GBK" w:hAnsi="方正黑体_GBK" w:eastAsia="方正黑体_GBK" w:cs="方正黑体_GBK"/>
          <w:b w:val="0"/>
          <w:bCs/>
          <w:kern w:val="0"/>
          <w:sz w:val="32"/>
          <w:szCs w:val="32"/>
        </w:rPr>
      </w:pPr>
      <w:r>
        <w:rPr>
          <w:rStyle w:val="11"/>
          <w:rFonts w:hint="eastAsia" w:ascii="方正仿宋_GBK" w:hAnsi="方正仿宋_GBK" w:eastAsia="方正仿宋_GBK" w:cs="方正仿宋_GBK"/>
          <w:b w:val="0"/>
          <w:bCs/>
          <w:sz w:val="32"/>
          <w:szCs w:val="32"/>
          <w:shd w:val="clear" w:fill="FFFFFF"/>
        </w:rPr>
        <w:t xml:space="preserve"> </w:t>
      </w:r>
      <w:r>
        <w:rPr>
          <w:rStyle w:val="11"/>
          <w:rFonts w:hint="eastAsia" w:ascii="方正仿宋_GBK" w:hAnsi="方正仿宋_GBK" w:eastAsia="方正仿宋_GBK" w:cs="方正仿宋_GBK"/>
          <w:b w:val="0"/>
          <w:bCs/>
          <w:sz w:val="32"/>
          <w:szCs w:val="32"/>
          <w:shd w:val="clear" w:fill="FFFFFF"/>
          <w:lang w:val="en-US" w:eastAsia="zh-CN"/>
        </w:rPr>
        <w:t xml:space="preserve">  </w:t>
      </w:r>
      <w:r>
        <w:rPr>
          <w:rStyle w:val="8"/>
          <w:rFonts w:hint="eastAsia" w:ascii="方正仿宋_GBK" w:hAnsi="方正仿宋_GBK" w:eastAsia="方正仿宋_GBK" w:cs="方正仿宋_GBK"/>
          <w:b w:val="0"/>
          <w:bCs/>
          <w:sz w:val="32"/>
          <w:szCs w:val="32"/>
          <w:shd w:val="clear" w:color="auto" w:fill="FFFFFF"/>
          <w:lang w:val="en-US" w:eastAsia="zh-CN" w:bidi="ar-SA"/>
        </w:rPr>
        <w:t xml:space="preserve"> </w:t>
      </w:r>
      <w:r>
        <w:rPr>
          <w:rStyle w:val="8"/>
          <w:rFonts w:hint="eastAsia" w:ascii="方正黑体_GBK" w:hAnsi="方正黑体_GBK" w:eastAsia="方正黑体_GBK" w:cs="方正黑体_GBK"/>
          <w:b w:val="0"/>
          <w:bCs/>
          <w:sz w:val="32"/>
          <w:szCs w:val="32"/>
          <w:shd w:val="clear" w:color="auto" w:fill="FFFFFF"/>
          <w:lang w:val="en-US" w:eastAsia="zh-CN" w:bidi="ar-SA"/>
        </w:rPr>
        <w:t>六、专业名词解释</w:t>
      </w:r>
    </w:p>
    <w:p>
      <w:pPr>
        <w:pStyle w:val="10"/>
        <w:keepNext w:val="0"/>
        <w:keepLines w:val="0"/>
        <w:pageBreakBefore w:val="0"/>
        <w:widowControl/>
        <w:kinsoku/>
        <w:wordWrap/>
        <w:overflowPunct/>
        <w:topLinePunct w:val="0"/>
        <w:autoSpaceDN/>
        <w:bidi w:val="0"/>
        <w:adjustRightInd w:val="0"/>
        <w:snapToGrid w:val="0"/>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eastAsia" w:ascii="方正仿宋_GBK" w:hAnsi="方正仿宋_GBK" w:eastAsia="方正仿宋_GBK" w:cs="方正仿宋_GBK"/>
          <w:b w:val="0"/>
          <w:bCs/>
          <w:kern w:val="0"/>
          <w:sz w:val="32"/>
          <w:szCs w:val="32"/>
          <w:shd w:val="clear"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val="0"/>
        <w:snapToGrid w:val="0"/>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（二）年初结转和结余：</w:t>
      </w:r>
      <w:r>
        <w:rPr>
          <w:rFonts w:hint="eastAsia" w:ascii="方正仿宋_GBK" w:hAnsi="方正仿宋_GBK" w:eastAsia="方正仿宋_GBK" w:cs="方正仿宋_GBK"/>
          <w:b w:val="0"/>
          <w:bCs/>
          <w:kern w:val="0"/>
          <w:sz w:val="32"/>
          <w:szCs w:val="32"/>
          <w:shd w:val="clear"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val="0"/>
        <w:snapToGrid w:val="0"/>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（三）结余分配：</w:t>
      </w:r>
      <w:r>
        <w:rPr>
          <w:rFonts w:hint="eastAsia" w:ascii="方正仿宋_GBK" w:hAnsi="方正仿宋_GBK" w:eastAsia="方正仿宋_GBK" w:cs="方正仿宋_GBK"/>
          <w:b w:val="0"/>
          <w:bCs/>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val="0"/>
        <w:snapToGrid w:val="0"/>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（四）年末结转和结余：</w:t>
      </w:r>
      <w:r>
        <w:rPr>
          <w:rFonts w:hint="eastAsia" w:ascii="方正仿宋_GBK" w:hAnsi="方正仿宋_GBK" w:eastAsia="方正仿宋_GBK" w:cs="方正仿宋_GBK"/>
          <w:b w:val="0"/>
          <w:bCs/>
          <w:kern w:val="0"/>
          <w:sz w:val="32"/>
          <w:szCs w:val="32"/>
          <w:shd w:val="clear"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val="0"/>
        <w:snapToGrid w:val="0"/>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（五）基本支出：</w:t>
      </w:r>
      <w:r>
        <w:rPr>
          <w:rFonts w:hint="eastAsia" w:ascii="方正仿宋_GBK" w:hAnsi="方正仿宋_GBK" w:eastAsia="方正仿宋_GBK" w:cs="方正仿宋_GBK"/>
          <w:b w:val="0"/>
          <w:bCs/>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val="0"/>
        <w:snapToGrid w:val="0"/>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（六）项目支出：</w:t>
      </w:r>
      <w:r>
        <w:rPr>
          <w:rFonts w:hint="eastAsia" w:ascii="方正仿宋_GBK" w:hAnsi="方正仿宋_GBK" w:eastAsia="方正仿宋_GBK" w:cs="方正仿宋_GBK"/>
          <w:b w:val="0"/>
          <w:bCs/>
          <w:kern w:val="0"/>
          <w:sz w:val="32"/>
          <w:szCs w:val="32"/>
          <w:shd w:val="clear"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val="0"/>
        <w:snapToGrid w:val="0"/>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（七）“三公”经费：</w:t>
      </w:r>
      <w:r>
        <w:rPr>
          <w:rFonts w:hint="eastAsia" w:ascii="方正仿宋_GBK" w:hAnsi="方正仿宋_GBK" w:eastAsia="方正仿宋_GBK" w:cs="方正仿宋_GBK"/>
          <w:b w:val="0"/>
          <w:bCs/>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val="0"/>
        <w:snapToGrid w:val="0"/>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（八）机关运行经费：</w:t>
      </w:r>
      <w:r>
        <w:rPr>
          <w:rFonts w:hint="eastAsia" w:ascii="方正仿宋_GBK" w:hAnsi="方正仿宋_GBK" w:eastAsia="方正仿宋_GBK" w:cs="方正仿宋_GBK"/>
          <w:b w:val="0"/>
          <w:bCs/>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val="0"/>
        <w:snapToGrid w:val="0"/>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（九）工资福利支出（支出经济分类科目类级）</w:t>
      </w:r>
      <w:r>
        <w:rPr>
          <w:rStyle w:val="8"/>
          <w:rFonts w:hint="eastAsia" w:ascii="方正仿宋_GBK" w:hAnsi="方正仿宋_GBK" w:eastAsia="方正仿宋_GBK" w:cs="方正仿宋_GBK"/>
          <w:b w:val="0"/>
          <w:bCs/>
          <w:sz w:val="32"/>
          <w:szCs w:val="32"/>
          <w:shd w:val="clear" w:color="auto" w:fill="FFFFFF"/>
          <w:lang w:val="en-US" w:eastAsia="zh-CN" w:bidi="ar-SA"/>
        </w:rPr>
        <w:t>：</w:t>
      </w:r>
      <w:r>
        <w:rPr>
          <w:rFonts w:hint="eastAsia" w:ascii="方正仿宋_GBK" w:hAnsi="方正仿宋_GBK" w:eastAsia="方正仿宋_GBK" w:cs="方正仿宋_GBK"/>
          <w:b w:val="0"/>
          <w:bCs/>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val="0"/>
        <w:snapToGrid w:val="0"/>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（十）商品和服务支出（支出经济分类科目类级）：</w:t>
      </w:r>
      <w:r>
        <w:rPr>
          <w:rFonts w:hint="eastAsia" w:ascii="方正仿宋_GBK" w:hAnsi="方正仿宋_GBK" w:eastAsia="方正仿宋_GBK" w:cs="方正仿宋_GBK"/>
          <w:b w:val="0"/>
          <w:bCs/>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val="0"/>
        <w:snapToGrid w:val="0"/>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（十一）对个人和家庭的补助（支出经济分类科目类级）：</w:t>
      </w:r>
      <w:r>
        <w:rPr>
          <w:rFonts w:hint="eastAsia" w:ascii="方正仿宋_GBK" w:hAnsi="方正仿宋_GBK" w:eastAsia="方正仿宋_GBK" w:cs="方正仿宋_GBK"/>
          <w:b w:val="0"/>
          <w:bCs/>
          <w:kern w:val="0"/>
          <w:sz w:val="32"/>
          <w:szCs w:val="32"/>
          <w:shd w:val="clear" w:fill="FFFFFF"/>
        </w:rPr>
        <w:t>反映用于对个人和家庭的补助支出。</w:t>
      </w:r>
    </w:p>
    <w:p>
      <w:pPr>
        <w:pStyle w:val="10"/>
        <w:keepNext w:val="0"/>
        <w:keepLines w:val="0"/>
        <w:pageBreakBefore w:val="0"/>
        <w:widowControl/>
        <w:kinsoku/>
        <w:wordWrap/>
        <w:overflowPunct/>
        <w:topLinePunct w:val="0"/>
        <w:autoSpaceDN/>
        <w:bidi w:val="0"/>
        <w:adjustRightInd w:val="0"/>
        <w:snapToGrid w:val="0"/>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（十二）其他资本性支出（支出经济分类科目类级）：</w:t>
      </w:r>
      <w:r>
        <w:rPr>
          <w:rFonts w:hint="eastAsia" w:ascii="方正仿宋_GBK" w:hAnsi="方正仿宋_GBK" w:eastAsia="方正仿宋_GBK" w:cs="方正仿宋_GBK"/>
          <w:b w:val="0"/>
          <w:bCs/>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val="0"/>
        <w:snapToGrid w:val="0"/>
        <w:spacing w:before="0" w:beforeAutospacing="0" w:after="0" w:afterAutospacing="0" w:line="578" w:lineRule="exact"/>
        <w:ind w:firstLine="640" w:firstLineChars="200"/>
        <w:textAlignment w:val="auto"/>
        <w:rPr>
          <w:rFonts w:hint="eastAsia" w:ascii="方正黑体_GBK" w:hAnsi="方正黑体_GBK" w:eastAsia="方正黑体_GBK" w:cs="方正黑体_GBK"/>
          <w:b w:val="0"/>
          <w:bCs/>
          <w:kern w:val="0"/>
          <w:sz w:val="32"/>
          <w:szCs w:val="32"/>
        </w:rPr>
      </w:pPr>
      <w:r>
        <w:rPr>
          <w:rStyle w:val="8"/>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pPr>
        <w:pStyle w:val="9"/>
        <w:keepNext w:val="0"/>
        <w:keepLines w:val="0"/>
        <w:pageBreakBefore w:val="0"/>
        <w:widowControl/>
        <w:kinsoku/>
        <w:wordWrap/>
        <w:overflowPunct/>
        <w:topLinePunct w:val="0"/>
        <w:autoSpaceDE w:val="0"/>
        <w:autoSpaceDN/>
        <w:bidi w:val="0"/>
        <w:adjustRightInd w:val="0"/>
        <w:snapToGrid w:val="0"/>
        <w:spacing w:beforeAutospacing="0" w:afterAutospacing="0" w:line="578" w:lineRule="exact"/>
        <w:ind w:firstLine="640"/>
        <w:jc w:val="both"/>
        <w:textAlignment w:val="auto"/>
        <w:rPr>
          <w:rFonts w:hint="eastAsia" w:ascii="方正仿宋_GBK" w:hAnsi="方正仿宋_GBK" w:eastAsia="方正仿宋_GBK" w:cs="方正仿宋_GBK"/>
          <w:b w:val="0"/>
          <w:bCs/>
          <w:color w:val="FF0000"/>
          <w:sz w:val="32"/>
          <w:szCs w:val="32"/>
          <w:shd w:val="clear" w:color="auto" w:fill="FFFFFF"/>
          <w:lang w:val="en-US" w:eastAsia="zh-CN" w:bidi="ar-SA"/>
        </w:rPr>
        <w:sectPr>
          <w:footerReference r:id="rId3" w:type="default"/>
          <w:pgSz w:w="11915" w:h="16840"/>
          <w:pgMar w:top="2098" w:right="1474" w:bottom="1984" w:left="1587" w:header="851" w:footer="992" w:gutter="0"/>
          <w:pgNumType w:fmt="decimal"/>
          <w:cols w:space="720" w:num="1"/>
          <w:docGrid w:type="lines" w:linePitch="312" w:charSpace="0"/>
        </w:sectPr>
      </w:pPr>
      <w:r>
        <w:rPr>
          <w:rFonts w:hint="eastAsia" w:ascii="方正仿宋_GBK" w:hAnsi="方正仿宋_GBK" w:eastAsia="方正仿宋_GBK" w:cs="方正仿宋_GBK"/>
          <w:b w:val="0"/>
          <w:bCs/>
          <w:kern w:val="0"/>
          <w:sz w:val="32"/>
          <w:szCs w:val="32"/>
          <w:shd w:val="clear" w:fill="FFFFFF"/>
        </w:rPr>
        <w:t>本单位决算公开信息反馈和联系方式：</w:t>
      </w:r>
      <w:r>
        <w:rPr>
          <w:rFonts w:hint="eastAsia" w:ascii="方正仿宋_GBK" w:hAnsi="方正仿宋_GBK" w:eastAsia="方正仿宋_GBK" w:cs="方正仿宋_GBK"/>
          <w:b w:val="0"/>
          <w:bCs/>
          <w:i w:val="0"/>
          <w:iCs w:val="0"/>
          <w:caps w:val="0"/>
          <w:color w:val="333333"/>
          <w:spacing w:val="0"/>
          <w:sz w:val="32"/>
          <w:szCs w:val="32"/>
          <w:shd w:val="clear" w:fill="FFFFFF"/>
        </w:rPr>
        <w:t>龚喜林，023—51889990</w:t>
      </w:r>
      <w:r>
        <w:rPr>
          <w:rFonts w:hint="eastAsia" w:ascii="方正仿宋_GBK" w:hAnsi="方正仿宋_GBK" w:eastAsia="方正仿宋_GBK" w:cs="方正仿宋_GBK"/>
          <w:b w:val="0"/>
          <w:bCs/>
          <w:color w:val="auto"/>
          <w:kern w:val="0"/>
          <w:sz w:val="32"/>
          <w:szCs w:val="32"/>
          <w:shd w:val="clear" w:fill="FFFFFF"/>
          <w:lang w:val="en-US" w:eastAsia="zh-CN"/>
        </w:rPr>
        <w:t>.</w:t>
      </w: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巫溪县柏杨街道劳动就业和社会保障服务所</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384.39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299.78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46.55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384.39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384.39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384.39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384.39</w:t>
            </w:r>
          </w:p>
        </w:tc>
      </w:tr>
    </w:tbl>
    <w:p>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decimal"/>
          <w:cols w:space="720" w:num="1"/>
          <w:docGrid w:type="lines" w:linePitch="312" w:charSpace="0"/>
        </w:sectPr>
      </w:pPr>
    </w:p>
    <w:p>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巫溪县柏杨街道劳动就业和社会保障服务所</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384.39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384.39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巫溪县柏杨街道劳动就业和社会保障服务所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384.39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384.39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巫溪县柏杨街道劳动就业和社会保障服务所</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384.39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299.78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299.78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46.55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46.55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17.30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17.30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384.39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384.39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384.39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384.39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384.39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384.39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巫溪县柏杨街道劳动就业和社会保障服务所</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384.39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384.39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384.39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384.39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299.78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299.78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299.78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299.78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299.78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299.78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299.78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299.78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299.78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299.78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299.78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299.78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46.55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46.55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46.55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46.55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46.55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46.55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46.55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46.55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27.89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27.89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27.89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27.89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13.94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13.94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13.94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13.94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17.30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17.30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17.30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17.30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17.30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17.30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17.30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17.30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17.30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17.30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17.30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17.30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20.76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20.76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20.76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20.76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20.76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20.76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20.76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20.76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20.76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20.76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20.76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20.76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巫溪县柏杨街道劳动就业和社会保障服务所</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336.36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43.31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91.80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36.90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14.13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149.24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27.89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13.94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17.30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20.76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4.72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4.60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0.12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341.08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43.31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巫溪县柏杨街道劳动就业和社会保障服务所</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rPr>
          <w:rFonts w:hint="eastAsia" w:ascii="宋体" w:hAnsi="宋体" w:eastAsia="宋体" w:cs="宋体"/>
          <w:sz w:val="21"/>
          <w:szCs w:val="21"/>
        </w:rPr>
      </w:pPr>
      <w:r>
        <w:rPr>
          <w:rFonts w:hint="eastAsia" w:ascii="宋体" w:hAnsi="宋体" w:eastAsia="宋体" w:cs="宋体"/>
          <w:sz w:val="21"/>
          <w:szCs w:val="21"/>
        </w:rPr>
        <w:t>本单位2024年度无政府性基金预算财政拨款收支</w:t>
      </w:r>
      <w:r>
        <w:rPr>
          <w:rFonts w:hint="eastAsia" w:cs="宋体"/>
          <w:sz w:val="21"/>
          <w:szCs w:val="21"/>
          <w:lang w:eastAsia="zh-CN"/>
        </w:rPr>
        <w:t>，故本表无数据。</w:t>
      </w:r>
      <w:r>
        <w:rPr>
          <w:rFonts w:hint="eastAsia" w:ascii="宋体" w:hAnsi="宋体" w:eastAsia="宋体" w:cs="宋体"/>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巫溪县柏杨街道劳动就业和社会保障服务所</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cs="宋体"/>
          <w:sz w:val="21"/>
          <w:szCs w:val="21"/>
          <w:lang w:eastAsia="zh-CN"/>
        </w:rPr>
        <w:t>本单位2024年度无国有资本经营预算财政拨款支出，故本表无数据。</w:t>
      </w:r>
      <w:r>
        <w:rPr>
          <w:rFonts w:hint="eastAsia" w:ascii="宋体" w:hAnsi="宋体" w:eastAsia="宋体" w:cs="宋体"/>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巫溪县柏杨街道劳动就业和社会保障服务所</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9"/>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8</w:t>
                          </w:r>
                          <w:r>
                            <w:rPr>
                              <w:rFonts w:hint="default"/>
                            </w:rPr>
                            <w:fldChar w:fldCharType="end"/>
                          </w:r>
                          <w:r>
                            <w:rPr>
                              <w:rFonts w:hint="default"/>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8</w:t>
                    </w:r>
                    <w:r>
                      <w:rPr>
                        <w:rFonts w:hint="default"/>
                      </w:rPr>
                      <w:fldChar w:fldCharType="end"/>
                    </w:r>
                    <w:r>
                      <w:rPr>
                        <w:rFonts w:hint="default"/>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9</w:t>
                          </w:r>
                          <w:r>
                            <w:rPr>
                              <w:rFonts w:hint="default"/>
                              <w:sz w:val="28"/>
                              <w:szCs w:val="28"/>
                            </w:rPr>
                            <w:fldChar w:fldCharType="end"/>
                          </w:r>
                          <w:r>
                            <w:rPr>
                              <w:rFonts w:hint="default"/>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9</w:t>
                    </w:r>
                    <w:r>
                      <w:rPr>
                        <w:rFonts w:hint="default"/>
                        <w:sz w:val="28"/>
                        <w:szCs w:val="28"/>
                      </w:rPr>
                      <w:fldChar w:fldCharType="end"/>
                    </w:r>
                    <w:r>
                      <w:rPr>
                        <w:rFonts w:hint="default"/>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022F85"/>
    <w:multiLevelType w:val="singleLevel"/>
    <w:tmpl w:val="8E022F8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hZGNiYzk4YjgwZWQ5MzZmZWRjYjE2ODUxOWY0NDcifQ=="/>
  </w:docVars>
  <w:rsids>
    <w:rsidRoot w:val="00B03CCD"/>
    <w:rsid w:val="00550ABE"/>
    <w:rsid w:val="007B419D"/>
    <w:rsid w:val="009B67B8"/>
    <w:rsid w:val="00B03CCD"/>
    <w:rsid w:val="00B92181"/>
    <w:rsid w:val="00FE7556"/>
    <w:rsid w:val="01455B46"/>
    <w:rsid w:val="01474EBF"/>
    <w:rsid w:val="01F3521E"/>
    <w:rsid w:val="03E3214F"/>
    <w:rsid w:val="03F37758"/>
    <w:rsid w:val="04446191"/>
    <w:rsid w:val="044C50BA"/>
    <w:rsid w:val="04A24CDA"/>
    <w:rsid w:val="06A2550B"/>
    <w:rsid w:val="06F80EE2"/>
    <w:rsid w:val="07001CCA"/>
    <w:rsid w:val="075678DB"/>
    <w:rsid w:val="08051BCA"/>
    <w:rsid w:val="08887FC5"/>
    <w:rsid w:val="08BA052C"/>
    <w:rsid w:val="08D062B9"/>
    <w:rsid w:val="08DB07BA"/>
    <w:rsid w:val="098305D0"/>
    <w:rsid w:val="09B71227"/>
    <w:rsid w:val="09B72B6E"/>
    <w:rsid w:val="0A3851D8"/>
    <w:rsid w:val="0A5C4B69"/>
    <w:rsid w:val="0AEC3BC7"/>
    <w:rsid w:val="0AF344E1"/>
    <w:rsid w:val="0B9335CE"/>
    <w:rsid w:val="0B9A2BAF"/>
    <w:rsid w:val="0BB93035"/>
    <w:rsid w:val="0C7927C4"/>
    <w:rsid w:val="0C9B098C"/>
    <w:rsid w:val="0CDD0FA5"/>
    <w:rsid w:val="0D11728C"/>
    <w:rsid w:val="0D673E11"/>
    <w:rsid w:val="0DB50EFE"/>
    <w:rsid w:val="0DDA54E4"/>
    <w:rsid w:val="0E3A5F83"/>
    <w:rsid w:val="0F6B0AEA"/>
    <w:rsid w:val="0F836721"/>
    <w:rsid w:val="103645A3"/>
    <w:rsid w:val="107B59E5"/>
    <w:rsid w:val="1090632E"/>
    <w:rsid w:val="11003CB0"/>
    <w:rsid w:val="111445C7"/>
    <w:rsid w:val="1158083A"/>
    <w:rsid w:val="11F03528"/>
    <w:rsid w:val="12C921C4"/>
    <w:rsid w:val="12D44BF8"/>
    <w:rsid w:val="13850DCB"/>
    <w:rsid w:val="13871C70"/>
    <w:rsid w:val="13A71CB4"/>
    <w:rsid w:val="13AF1D43"/>
    <w:rsid w:val="13C643C6"/>
    <w:rsid w:val="13CE1647"/>
    <w:rsid w:val="141A11EA"/>
    <w:rsid w:val="14200702"/>
    <w:rsid w:val="148E377E"/>
    <w:rsid w:val="1580711B"/>
    <w:rsid w:val="15B900D5"/>
    <w:rsid w:val="17991F6C"/>
    <w:rsid w:val="189B0D0B"/>
    <w:rsid w:val="194A1770"/>
    <w:rsid w:val="19917D9C"/>
    <w:rsid w:val="19B906A4"/>
    <w:rsid w:val="1A1F744B"/>
    <w:rsid w:val="1A4854EC"/>
    <w:rsid w:val="1B040045"/>
    <w:rsid w:val="1B3F107D"/>
    <w:rsid w:val="1B6F15B6"/>
    <w:rsid w:val="1BAA2EDC"/>
    <w:rsid w:val="1CE157EE"/>
    <w:rsid w:val="1D014A01"/>
    <w:rsid w:val="1D022362"/>
    <w:rsid w:val="1DD26311"/>
    <w:rsid w:val="1EF67CA4"/>
    <w:rsid w:val="1F2D7B6A"/>
    <w:rsid w:val="1FCD26AF"/>
    <w:rsid w:val="20642787"/>
    <w:rsid w:val="21556F04"/>
    <w:rsid w:val="22403BD3"/>
    <w:rsid w:val="24B108F5"/>
    <w:rsid w:val="24B92327"/>
    <w:rsid w:val="2533755C"/>
    <w:rsid w:val="26396DF4"/>
    <w:rsid w:val="26E52AD8"/>
    <w:rsid w:val="270642A6"/>
    <w:rsid w:val="27167136"/>
    <w:rsid w:val="27B23302"/>
    <w:rsid w:val="29310A5F"/>
    <w:rsid w:val="299947CC"/>
    <w:rsid w:val="29C37A35"/>
    <w:rsid w:val="29C95E09"/>
    <w:rsid w:val="2A076083"/>
    <w:rsid w:val="2A73162E"/>
    <w:rsid w:val="2B167953"/>
    <w:rsid w:val="2B200583"/>
    <w:rsid w:val="2B3C0A07"/>
    <w:rsid w:val="2B8209DE"/>
    <w:rsid w:val="2C161D32"/>
    <w:rsid w:val="2C2D3EC7"/>
    <w:rsid w:val="2C6762A3"/>
    <w:rsid w:val="2D3D2806"/>
    <w:rsid w:val="2D8D2A49"/>
    <w:rsid w:val="2FE029D7"/>
    <w:rsid w:val="2FF06E00"/>
    <w:rsid w:val="30B64BF7"/>
    <w:rsid w:val="315D199F"/>
    <w:rsid w:val="315F0B22"/>
    <w:rsid w:val="31D84415"/>
    <w:rsid w:val="32285F6F"/>
    <w:rsid w:val="32326C8D"/>
    <w:rsid w:val="32770556"/>
    <w:rsid w:val="329C0913"/>
    <w:rsid w:val="3337290D"/>
    <w:rsid w:val="335A65FC"/>
    <w:rsid w:val="352930DB"/>
    <w:rsid w:val="35573069"/>
    <w:rsid w:val="358C217E"/>
    <w:rsid w:val="359F188C"/>
    <w:rsid w:val="362D2433"/>
    <w:rsid w:val="36A71B58"/>
    <w:rsid w:val="36C9128A"/>
    <w:rsid w:val="37841E99"/>
    <w:rsid w:val="37BF1123"/>
    <w:rsid w:val="37BF7375"/>
    <w:rsid w:val="37CB4AA2"/>
    <w:rsid w:val="37F26E25"/>
    <w:rsid w:val="38BE4696"/>
    <w:rsid w:val="39166507"/>
    <w:rsid w:val="39B82A39"/>
    <w:rsid w:val="39F33306"/>
    <w:rsid w:val="3A4B20C9"/>
    <w:rsid w:val="3B1705E5"/>
    <w:rsid w:val="3B18334B"/>
    <w:rsid w:val="3B36794F"/>
    <w:rsid w:val="3B544954"/>
    <w:rsid w:val="3B614F44"/>
    <w:rsid w:val="3BF014AD"/>
    <w:rsid w:val="3C6A5B02"/>
    <w:rsid w:val="3D2757A1"/>
    <w:rsid w:val="3D3D4FC4"/>
    <w:rsid w:val="3D513775"/>
    <w:rsid w:val="3DDF3AB1"/>
    <w:rsid w:val="3DE60B7E"/>
    <w:rsid w:val="3E1D0952"/>
    <w:rsid w:val="3E247234"/>
    <w:rsid w:val="3E42660A"/>
    <w:rsid w:val="3E7555B1"/>
    <w:rsid w:val="3F0527E5"/>
    <w:rsid w:val="3F16459E"/>
    <w:rsid w:val="3F3617F2"/>
    <w:rsid w:val="3FDE15A7"/>
    <w:rsid w:val="3FDE5C0F"/>
    <w:rsid w:val="4004000C"/>
    <w:rsid w:val="40FD5440"/>
    <w:rsid w:val="411B6CE5"/>
    <w:rsid w:val="412070D7"/>
    <w:rsid w:val="41314E40"/>
    <w:rsid w:val="4142353C"/>
    <w:rsid w:val="41523008"/>
    <w:rsid w:val="415C674B"/>
    <w:rsid w:val="426C1EA8"/>
    <w:rsid w:val="42E86A87"/>
    <w:rsid w:val="43136432"/>
    <w:rsid w:val="434626F9"/>
    <w:rsid w:val="43770A38"/>
    <w:rsid w:val="443A3B12"/>
    <w:rsid w:val="44A854C2"/>
    <w:rsid w:val="44B57F4E"/>
    <w:rsid w:val="44DD597D"/>
    <w:rsid w:val="44E55B47"/>
    <w:rsid w:val="45AD6A5F"/>
    <w:rsid w:val="465B470D"/>
    <w:rsid w:val="469D6AD4"/>
    <w:rsid w:val="472745EF"/>
    <w:rsid w:val="47674801"/>
    <w:rsid w:val="479223B1"/>
    <w:rsid w:val="48225EF7"/>
    <w:rsid w:val="495C4A24"/>
    <w:rsid w:val="4A324B9C"/>
    <w:rsid w:val="4AD70EE7"/>
    <w:rsid w:val="4B7951CB"/>
    <w:rsid w:val="4B7C315C"/>
    <w:rsid w:val="4BAB7F90"/>
    <w:rsid w:val="4DAC4ACA"/>
    <w:rsid w:val="4E955F18"/>
    <w:rsid w:val="4F186D58"/>
    <w:rsid w:val="508F3931"/>
    <w:rsid w:val="50EC262C"/>
    <w:rsid w:val="522F6E0C"/>
    <w:rsid w:val="52344790"/>
    <w:rsid w:val="523C02B0"/>
    <w:rsid w:val="52463BA1"/>
    <w:rsid w:val="53C0244D"/>
    <w:rsid w:val="53DD4D4E"/>
    <w:rsid w:val="53E578CE"/>
    <w:rsid w:val="543B029D"/>
    <w:rsid w:val="545D0246"/>
    <w:rsid w:val="554E5773"/>
    <w:rsid w:val="555A3CBC"/>
    <w:rsid w:val="56530F5D"/>
    <w:rsid w:val="5842572D"/>
    <w:rsid w:val="5AB0697E"/>
    <w:rsid w:val="5AB10EDB"/>
    <w:rsid w:val="5AC32B55"/>
    <w:rsid w:val="5AE75037"/>
    <w:rsid w:val="5B58571C"/>
    <w:rsid w:val="5B8376C2"/>
    <w:rsid w:val="5B96133A"/>
    <w:rsid w:val="5BBB7CD0"/>
    <w:rsid w:val="5C1336B7"/>
    <w:rsid w:val="5C263CE4"/>
    <w:rsid w:val="5C5D2777"/>
    <w:rsid w:val="5D290C69"/>
    <w:rsid w:val="5D537F41"/>
    <w:rsid w:val="5EFA176D"/>
    <w:rsid w:val="5F0247F9"/>
    <w:rsid w:val="5F2D4A41"/>
    <w:rsid w:val="601C34ED"/>
    <w:rsid w:val="60583D40"/>
    <w:rsid w:val="60A958A9"/>
    <w:rsid w:val="60D22ADB"/>
    <w:rsid w:val="61025A59"/>
    <w:rsid w:val="613D5BBC"/>
    <w:rsid w:val="61536C39"/>
    <w:rsid w:val="621C6FEF"/>
    <w:rsid w:val="623E7861"/>
    <w:rsid w:val="62944DD7"/>
    <w:rsid w:val="634D1435"/>
    <w:rsid w:val="63C25DC5"/>
    <w:rsid w:val="63C62057"/>
    <w:rsid w:val="63C73832"/>
    <w:rsid w:val="643423CE"/>
    <w:rsid w:val="64FB113D"/>
    <w:rsid w:val="654E4D38"/>
    <w:rsid w:val="656152C6"/>
    <w:rsid w:val="6587477F"/>
    <w:rsid w:val="658C3A08"/>
    <w:rsid w:val="65C031CA"/>
    <w:rsid w:val="65CE6852"/>
    <w:rsid w:val="66267C04"/>
    <w:rsid w:val="663F505A"/>
    <w:rsid w:val="665C1999"/>
    <w:rsid w:val="667F2393"/>
    <w:rsid w:val="66A575B3"/>
    <w:rsid w:val="66BC48FC"/>
    <w:rsid w:val="66EE5541"/>
    <w:rsid w:val="68DE20C7"/>
    <w:rsid w:val="692172FD"/>
    <w:rsid w:val="69342E70"/>
    <w:rsid w:val="6A3829EE"/>
    <w:rsid w:val="6B474EF5"/>
    <w:rsid w:val="6BBA6316"/>
    <w:rsid w:val="6C560CAE"/>
    <w:rsid w:val="6D0615E4"/>
    <w:rsid w:val="6D903FF5"/>
    <w:rsid w:val="6DA955B8"/>
    <w:rsid w:val="6DE346AB"/>
    <w:rsid w:val="6E6C6C08"/>
    <w:rsid w:val="6F245233"/>
    <w:rsid w:val="6F7F6A2D"/>
    <w:rsid w:val="6FB442D1"/>
    <w:rsid w:val="6FFB2E76"/>
    <w:rsid w:val="703E6382"/>
    <w:rsid w:val="70BD199D"/>
    <w:rsid w:val="70E6136C"/>
    <w:rsid w:val="71C34D91"/>
    <w:rsid w:val="71ED38AA"/>
    <w:rsid w:val="720229AA"/>
    <w:rsid w:val="72DB435C"/>
    <w:rsid w:val="743D52CE"/>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C763313"/>
    <w:rsid w:val="7CFC39CF"/>
    <w:rsid w:val="7EF70770"/>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4554</Words>
  <Characters>5933</Characters>
  <Lines>161</Lines>
  <Paragraphs>45</Paragraphs>
  <TotalTime>0</TotalTime>
  <ScaleCrop>false</ScaleCrop>
  <LinksUpToDate>false</LinksUpToDate>
  <CharactersWithSpaces>6275</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刘东</cp:lastModifiedBy>
  <dcterms:modified xsi:type="dcterms:W3CDTF">2026-06-09T09:16:53Z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9EDAFD8FD9424A54844071572B3E9A06_13</vt:lpwstr>
  </property>
  <property fmtid="{D5CDD505-2E9C-101B-9397-08002B2CF9AE}" pid="4" name="KSOTemplateDocerSaveRecord">
    <vt:lpwstr>eyJoZGlkIjoiZDRlMTI0ZmZkNWVkNDk2ZTg4NWYwOTQyMjQxMmY4NGEiLCJ1c2VySWQiOiI2MDAzNzA4NTEifQ==</vt:lpwstr>
  </property>
</Properties>
</file>