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巫溪县城厢镇人民政府（本级）</w:t>
      </w:r>
    </w:p>
    <w:p>
      <w:pPr>
        <w:pStyle w:val="5"/>
        <w:keepNext w:val="0"/>
        <w:keepLines w:val="0"/>
        <w:pageBreakBefore w:val="0"/>
        <w:widowControl/>
        <w:shd w:val="clear"/>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auto"/>
        </w:rPr>
      </w:pPr>
      <w:r>
        <w:rPr>
          <w:rFonts w:hint="default" w:ascii="Times New Roman" w:hAnsi="Times New Roman" w:eastAsia="方正小标宋_GBK" w:cs="Times New Roman"/>
          <w:sz w:val="44"/>
          <w:szCs w:val="44"/>
          <w:shd w:val="clear" w:color="auto" w:fill="auto"/>
        </w:rPr>
        <w:t>2024</w:t>
      </w:r>
      <w:r>
        <w:rPr>
          <w:rFonts w:ascii="方正小标宋_GBK" w:hAnsi="方正小标宋_GBK" w:eastAsia="方正小标宋_GBK" w:cs="方正小标宋_GBK"/>
          <w:sz w:val="44"/>
          <w:szCs w:val="44"/>
          <w:shd w:val="clear" w:color="auto" w:fill="auto"/>
        </w:rPr>
        <w:t>年度决算公开说明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auto"/>
        </w:rPr>
      </w:pPr>
      <w:r>
        <w:rPr>
          <w:rStyle w:val="8"/>
          <w:rFonts w:ascii="黑体" w:hAnsi="黑体" w:eastAsia="黑体" w:cs="黑体"/>
          <w:sz w:val="32"/>
          <w:szCs w:val="32"/>
          <w:shd w:val="clear" w:color="auto" w:fill="auto"/>
        </w:rPr>
        <w:t>一、</w:t>
      </w:r>
      <w:r>
        <w:rPr>
          <w:rStyle w:val="8"/>
          <w:rFonts w:hint="eastAsia" w:ascii="黑体" w:hAnsi="黑体" w:eastAsia="黑体" w:cs="黑体"/>
          <w:sz w:val="32"/>
          <w:szCs w:val="32"/>
          <w:shd w:val="clear" w:color="auto" w:fill="auto"/>
          <w:lang w:eastAsia="zh-CN"/>
        </w:rPr>
        <w:t>单位</w:t>
      </w:r>
      <w:r>
        <w:rPr>
          <w:rStyle w:val="8"/>
          <w:rFonts w:ascii="黑体" w:hAnsi="黑体" w:eastAsia="黑体" w:cs="黑体"/>
          <w:sz w:val="32"/>
          <w:szCs w:val="32"/>
          <w:shd w:val="clear" w:color="auto" w:fill="auto"/>
        </w:rPr>
        <w:t>基本情况</w:t>
      </w:r>
    </w:p>
    <w:p>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shd w:val="clear" w:color="auto" w:fill="auto"/>
        </w:rPr>
      </w:pPr>
      <w:r>
        <w:rPr>
          <w:rStyle w:val="8"/>
          <w:rFonts w:ascii="楷体" w:hAnsi="楷体" w:eastAsia="楷体" w:cs="楷体"/>
          <w:sz w:val="32"/>
          <w:szCs w:val="32"/>
          <w:shd w:val="clear" w:color="auto" w:fill="auto"/>
        </w:rPr>
        <w:t>（一）职能职责</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auto"/>
        </w:rPr>
        <w:t>城厢镇人民政府是巫溪县人民政府的下设机构。主要职责具体包括：认真贯彻执行</w:t>
      </w:r>
      <w:r>
        <w:rPr>
          <w:rFonts w:hint="eastAsia" w:ascii="方正仿宋_GBK" w:hAnsi="方正仿宋_GBK" w:eastAsia="方正仿宋_GBK" w:cs="方正仿宋_GBK"/>
          <w:color w:val="auto"/>
          <w:sz w:val="32"/>
          <w:szCs w:val="32"/>
          <w:shd w:val="clear" w:color="auto" w:fill="FFFFFF"/>
        </w:rPr>
        <w:t>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保障少数民族的权益。指导和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城厢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常委会办公室并组建综合行政执法办公室。</w:t>
      </w:r>
    </w:p>
    <w:p>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巫溪县城厢镇人民政府设置事业站所5个：农业服务中心、文化服务中心、劳动就业和社会保障服务所、退役军人服务站、综合行政执法大队。</w:t>
      </w:r>
    </w:p>
    <w:p>
      <w:pPr>
        <w:pStyle w:val="5"/>
        <w:keepNext w:val="0"/>
        <w:keepLines w:val="0"/>
        <w:pageBreakBefore w:val="0"/>
        <w:widowControl/>
        <w:numPr>
          <w:ilvl w:val="0"/>
          <w:numId w:val="1"/>
        </w:numPr>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Style w:val="8"/>
          <w:rFonts w:ascii="楷体" w:hAnsi="楷体" w:eastAsia="楷体" w:cs="楷体"/>
          <w:sz w:val="32"/>
          <w:szCs w:val="32"/>
          <w:shd w:val="clear" w:color="auto" w:fill="FFFFFF"/>
        </w:rPr>
      </w:pPr>
      <w:r>
        <w:rPr>
          <w:rStyle w:val="8"/>
          <w:rFonts w:hint="eastAsia" w:ascii="楷体" w:hAnsi="楷体" w:eastAsia="楷体" w:cs="楷体"/>
          <w:sz w:val="32"/>
          <w:szCs w:val="32"/>
          <w:shd w:val="clear" w:color="auto" w:fill="FFFFFF"/>
        </w:rPr>
        <w:t>（一）收入支出决算总体情况说明。</w:t>
      </w:r>
    </w:p>
    <w:p>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度收入总计2441.17万元，支出总计</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万元。收、支与2023年度相比，减少85.71万元，下降3.4%，主要原因是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度收入合计2441.17万元，与2023年度相比，减少85.71万元，下降3.4%，主要原因是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737.54</w:t>
      </w:r>
      <w:r>
        <w:rPr>
          <w:rFonts w:ascii="方正仿宋_GBK" w:hAnsi="方正仿宋_GBK" w:eastAsia="方正仿宋_GBK" w:cs="方正仿宋_GBK"/>
          <w:sz w:val="32"/>
          <w:szCs w:val="32"/>
          <w:shd w:val="clear" w:color="auto" w:fill="FFFFFF"/>
        </w:rPr>
        <w:t>万元，占30.21%；项目支出</w:t>
      </w:r>
      <w:r>
        <w:rPr>
          <w:rFonts w:ascii="方正仿宋_GBK" w:hAnsi="方正仿宋_GBK" w:eastAsia="方正仿宋_GBK" w:cs="方正仿宋_GBK"/>
          <w:sz w:val="32"/>
          <w:szCs w:val="32"/>
        </w:rPr>
        <w:t>1703.63</w:t>
      </w:r>
      <w:r>
        <w:rPr>
          <w:rFonts w:ascii="方正仿宋_GBK" w:hAnsi="方正仿宋_GBK" w:eastAsia="方正仿宋_GBK" w:cs="方正仿宋_GBK"/>
          <w:sz w:val="32"/>
          <w:szCs w:val="32"/>
          <w:shd w:val="clear" w:color="auto" w:fill="FFFFFF"/>
        </w:rPr>
        <w:t>万元，占69.79%；经营支出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Style w:val="8"/>
          <w:rFonts w:hint="eastAsia" w:ascii="楷体" w:hAnsi="楷体" w:eastAsia="楷体" w:cs="楷体"/>
          <w:b/>
          <w:bCs w:val="0"/>
          <w:sz w:val="32"/>
          <w:szCs w:val="32"/>
          <w:shd w:val="clear" w:color="auto" w:fill="FFFFFF"/>
          <w:lang w:val="en-US" w:eastAsia="zh-CN" w:bidi="ar-SA"/>
        </w:rPr>
      </w:pPr>
      <w:r>
        <w:rPr>
          <w:rStyle w:val="8"/>
          <w:rFonts w:hint="eastAsia" w:ascii="楷体" w:hAnsi="楷体" w:eastAsia="楷体" w:cs="楷体"/>
          <w:b/>
          <w:bCs w:val="0"/>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度财政拨款收、支总计2441.17万元。与202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firstLine="643"/>
        <w:textAlignment w:val="auto"/>
        <w:rPr>
          <w:rStyle w:val="8"/>
          <w:rFonts w:hint="eastAsia" w:ascii="楷体" w:hAnsi="楷体" w:eastAsia="楷体" w:cs="楷体"/>
          <w:sz w:val="32"/>
          <w:szCs w:val="32"/>
          <w:shd w:val="clear" w:color="auto" w:fill="FFFFFF"/>
          <w:lang w:val="en-US" w:eastAsia="zh-CN" w:bidi="ar-SA"/>
        </w:rPr>
      </w:pPr>
      <w:r>
        <w:rPr>
          <w:rStyle w:val="8"/>
          <w:rFonts w:hint="eastAsia" w:ascii="楷体" w:hAnsi="楷体" w:eastAsia="楷体" w:cs="楷体"/>
          <w:sz w:val="32"/>
          <w:szCs w:val="32"/>
          <w:shd w:val="clear" w:color="auto" w:fill="FFFFFF"/>
          <w:lang w:val="en-US" w:eastAsia="zh-CN" w:bidi="ar-SA"/>
        </w:rPr>
        <w:t>（三）一般公共预算财政拨款收入支出决算情况说明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较年初预算数增加1370.93万元，增长128.1%。主要原因是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较年初预算数增加1370.93万元，增长128.1%。主要原因是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455.69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18.67</w:t>
      </w:r>
      <w:r>
        <w:rPr>
          <w:rFonts w:ascii="方正仿宋_GBK" w:hAnsi="方正仿宋_GBK" w:eastAsia="方正仿宋_GBK" w:cs="方正仿宋_GBK"/>
          <w:sz w:val="32"/>
          <w:szCs w:val="32"/>
          <w:shd w:val="clear" w:color="auto" w:fill="FFFFFF"/>
        </w:rPr>
        <w:t>%，较年初预算数增加52.17万元，增长12.9%，主要原因是</w:t>
      </w:r>
      <w:r>
        <w:rPr>
          <w:rFonts w:hint="eastAsia" w:ascii="方正仿宋_GBK" w:hAnsi="方正仿宋_GBK" w:eastAsia="方正仿宋_GBK" w:cs="方正仿宋_GBK"/>
          <w:sz w:val="32"/>
          <w:szCs w:val="32"/>
          <w:highlight w:val="none"/>
          <w:shd w:val="clear" w:color="auto" w:fill="FFFFFF"/>
        </w:rPr>
        <w:t>一是202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年年中下达</w:t>
      </w:r>
      <w:r>
        <w:rPr>
          <w:rFonts w:hint="eastAsia" w:ascii="方正仿宋_GBK" w:hAnsi="方正仿宋_GBK" w:eastAsia="方正仿宋_GBK" w:cs="方正仿宋_GBK"/>
          <w:sz w:val="32"/>
          <w:szCs w:val="32"/>
          <w:highlight w:val="none"/>
          <w:shd w:val="clear" w:color="auto" w:fill="FFFFFF"/>
          <w:lang w:eastAsia="zh-CN"/>
        </w:rPr>
        <w:t>产粮大县项目补助</w:t>
      </w:r>
      <w:r>
        <w:rPr>
          <w:rFonts w:hint="eastAsia" w:ascii="方正仿宋_GBK" w:hAnsi="方正仿宋_GBK" w:eastAsia="方正仿宋_GBK" w:cs="方正仿宋_GBK"/>
          <w:sz w:val="32"/>
          <w:szCs w:val="32"/>
          <w:highlight w:val="none"/>
          <w:shd w:val="clear" w:color="auto" w:fill="FFFFFF"/>
        </w:rPr>
        <w:t>，二是202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年因工资待遇调标，对工资福利支出进行追加</w:t>
      </w:r>
      <w:r>
        <w:rPr>
          <w:rFonts w:hint="eastAsia" w:ascii="方正仿宋_GBK" w:hAnsi="方正仿宋_GBK" w:eastAsia="方正仿宋_GBK" w:cs="方正仿宋_GBK"/>
          <w:sz w:val="32"/>
          <w:szCs w:val="32"/>
          <w:highlight w:val="none"/>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195.89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8.02</w:t>
      </w:r>
      <w:r>
        <w:rPr>
          <w:rFonts w:ascii="方正仿宋_GBK" w:hAnsi="方正仿宋_GBK" w:eastAsia="方正仿宋_GBK" w:cs="方正仿宋_GBK"/>
          <w:sz w:val="32"/>
          <w:szCs w:val="32"/>
          <w:shd w:val="clear" w:color="auto" w:fill="FFFFFF"/>
        </w:rPr>
        <w:t>%，较年初预算数增加37.67万元，增长23.8%，主要原因是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w:t>
      </w:r>
      <w:r>
        <w:rPr>
          <w:rFonts w:hint="eastAsia" w:ascii="方正仿宋_GBK" w:hAnsi="方正仿宋_GBK" w:eastAsia="方正仿宋_GBK" w:cs="方正仿宋_GBK"/>
          <w:sz w:val="32"/>
          <w:szCs w:val="32"/>
          <w:highlight w:val="none"/>
          <w:shd w:val="clear" w:color="auto" w:fill="FFFFFF"/>
          <w:lang w:eastAsia="zh-CN"/>
        </w:rPr>
        <w:t>困难群体临时救助</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病故抚恤金、</w:t>
      </w:r>
      <w:r>
        <w:rPr>
          <w:rFonts w:hint="eastAsia" w:ascii="方正仿宋_GBK" w:hAnsi="方正仿宋_GBK" w:eastAsia="方正仿宋_GBK" w:cs="方正仿宋_GBK"/>
          <w:sz w:val="32"/>
          <w:szCs w:val="32"/>
          <w:highlight w:val="none"/>
          <w:shd w:val="clear" w:color="auto" w:fill="FFFFFF"/>
          <w:lang w:val="en-US" w:eastAsia="zh-CN"/>
        </w:rPr>
        <w:t>2024年财政全额增资职业年金</w:t>
      </w:r>
      <w:r>
        <w:rPr>
          <w:rFonts w:hint="eastAsia" w:ascii="方正仿宋_GBK" w:hAnsi="方正仿宋_GBK" w:eastAsia="方正仿宋_GBK" w:cs="方正仿宋_GBK"/>
          <w:sz w:val="32"/>
          <w:szCs w:val="32"/>
          <w:highlight w:val="none"/>
          <w:shd w:val="clear" w:color="auto" w:fill="FFFFFF"/>
        </w:rPr>
        <w:t>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年年中无追加项目。</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79.40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%，较年初预算数增加79.40万元，增长100.0%，主要原因是</w:t>
      </w:r>
      <w:r>
        <w:rPr>
          <w:rFonts w:hint="eastAsia" w:ascii="方正仿宋_GBK" w:hAnsi="方正仿宋_GBK" w:eastAsia="方正仿宋_GBK" w:cs="方正仿宋_GBK"/>
          <w:sz w:val="32"/>
          <w:szCs w:val="32"/>
          <w:highlight w:val="none"/>
          <w:shd w:val="clear" w:color="auto" w:fill="FFFFFF"/>
        </w:rPr>
        <w:t>年初无预算，年中增加202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年生态护林员选聘项目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2024年生态环境县级补助支出</w:t>
      </w:r>
      <w:r>
        <w:rPr>
          <w:rFonts w:hint="eastAsia"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57.73</w:t>
      </w:r>
      <w:r>
        <w:rPr>
          <w:rFonts w:ascii="方正仿宋_GBK" w:hAnsi="方正仿宋_GBK" w:eastAsia="方正仿宋_GBK" w:cs="方正仿宋_GBK"/>
          <w:sz w:val="32"/>
          <w:szCs w:val="32"/>
          <w:shd w:val="clear" w:color="auto" w:fill="FFFFFF"/>
        </w:rPr>
        <w:t>%，较年初预算数增加971.44万元，增长221.9%，主要原因是</w:t>
      </w:r>
      <w:r>
        <w:rPr>
          <w:rFonts w:hint="eastAsia" w:ascii="方正仿宋_GBK" w:hAnsi="方正仿宋_GBK" w:eastAsia="方正仿宋_GBK" w:cs="方正仿宋_GBK"/>
          <w:sz w:val="32"/>
          <w:szCs w:val="32"/>
          <w:highlight w:val="none"/>
          <w:shd w:val="clear" w:color="auto" w:fill="FFFFFF"/>
        </w:rPr>
        <w:t>年中追加202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选调到村工作补助</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城厢镇渔渡村、酒泉村供水保障工程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年城厢镇</w:t>
      </w:r>
      <w:r>
        <w:rPr>
          <w:rFonts w:hint="eastAsia" w:ascii="方正仿宋_GBK" w:hAnsi="方正仿宋_GBK" w:eastAsia="方正仿宋_GBK" w:cs="方正仿宋_GBK"/>
          <w:sz w:val="32"/>
          <w:szCs w:val="32"/>
          <w:highlight w:val="none"/>
          <w:shd w:val="clear" w:color="auto" w:fill="FFFFFF"/>
          <w:lang w:eastAsia="zh-CN"/>
        </w:rPr>
        <w:t>五溪口道路整治工程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农村户用卫生厕所改造</w:t>
      </w:r>
      <w:r>
        <w:rPr>
          <w:rFonts w:hint="eastAsia" w:ascii="方正仿宋_GBK" w:hAnsi="方正仿宋_GBK" w:eastAsia="方正仿宋_GBK" w:cs="方正仿宋_GBK"/>
          <w:sz w:val="32"/>
          <w:szCs w:val="32"/>
          <w:highlight w:val="none"/>
          <w:shd w:val="clear" w:color="auto" w:fill="FFFFFF"/>
        </w:rPr>
        <w:t>等项目支出。</w:t>
      </w:r>
    </w:p>
    <w:p>
      <w:pPr>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157.00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6.43</w:t>
      </w:r>
      <w:r>
        <w:rPr>
          <w:rFonts w:ascii="方正仿宋_GBK" w:hAnsi="方正仿宋_GBK" w:eastAsia="方正仿宋_GBK" w:cs="方正仿宋_GBK"/>
          <w:sz w:val="32"/>
          <w:szCs w:val="32"/>
          <w:shd w:val="clear" w:color="auto" w:fill="FFFFFF"/>
        </w:rPr>
        <w:t>%，较年初预算数增加157.00万元，增长100.0%，主要原因是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巫溪县城厢镇酒泉村至渔渡村公路油化工程</w:t>
      </w:r>
      <w:r>
        <w:rPr>
          <w:rFonts w:hint="eastAsia" w:ascii="方正仿宋_GBK" w:hAnsi="方正仿宋_GBK" w:eastAsia="方正仿宋_GBK" w:cs="方正仿宋_GBK"/>
          <w:sz w:val="32"/>
          <w:szCs w:val="32"/>
          <w:highlight w:val="none"/>
          <w:shd w:val="clear" w:color="auto" w:fill="FFFFFF"/>
        </w:rPr>
        <w:t>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城厢镇农村公路项目</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2024年城厢镇镇村电商站点升级改造项目支出。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w:t>
      </w:r>
      <w:r>
        <w:rPr>
          <w:rFonts w:ascii="方正仿宋_GBK" w:hAnsi="方正仿宋_GBK" w:eastAsia="方正仿宋_GBK" w:cs="方正仿宋_GBK"/>
          <w:sz w:val="32"/>
          <w:szCs w:val="32"/>
          <w:shd w:val="clear" w:color="auto" w:fill="FFFFFF"/>
        </w:rPr>
        <w:t>%，较年初预算数增加12.00万元，增长29.5%，主要原因是</w:t>
      </w:r>
      <w:r>
        <w:rPr>
          <w:rFonts w:hint="eastAsia" w:ascii="方正仿宋_GBK" w:hAnsi="方正仿宋_GBK" w:eastAsia="方正仿宋_GBK" w:cs="方正仿宋_GBK"/>
          <w:sz w:val="32"/>
          <w:szCs w:val="32"/>
          <w:highlight w:val="none"/>
          <w:shd w:val="clear" w:color="auto" w:fill="FFFFFF"/>
        </w:rPr>
        <w:t>增加农村危房改造项目支出。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w:t>
      </w:r>
      <w:r>
        <w:rPr>
          <w:rFonts w:ascii="方正仿宋_GBK" w:hAnsi="方正仿宋_GBK" w:eastAsia="方正仿宋_GBK" w:cs="方正仿宋_GBK"/>
          <w:sz w:val="32"/>
          <w:szCs w:val="32"/>
          <w:shd w:val="clear" w:color="auto" w:fill="FFFFFF"/>
        </w:rPr>
        <w:t>%，较年初预算数增加58.24万元，增长100.0%，主要原因是</w:t>
      </w:r>
      <w:r>
        <w:rPr>
          <w:rFonts w:hint="eastAsia" w:ascii="方正仿宋_GBK" w:hAnsi="方正仿宋_GBK" w:eastAsia="方正仿宋_GBK" w:cs="方正仿宋_GBK"/>
          <w:sz w:val="32"/>
          <w:szCs w:val="32"/>
          <w:highlight w:val="none"/>
          <w:shd w:val="clear" w:color="auto" w:fill="FFFFFF"/>
        </w:rPr>
        <w:t>年初无预算，年中增加自然灾害补助支出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737.54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646.02</w:t>
      </w:r>
      <w:r>
        <w:rPr>
          <w:rFonts w:ascii="方正仿宋_GBK" w:hAnsi="方正仿宋_GBK" w:eastAsia="方正仿宋_GBK" w:cs="方正仿宋_GBK"/>
          <w:sz w:val="32"/>
          <w:szCs w:val="32"/>
          <w:shd w:val="clear" w:color="auto" w:fill="FFFFFF"/>
        </w:rPr>
        <w:t>万元，与2023年度相比，减少272.40万元，下降29.7%，主要原因是</w:t>
      </w:r>
      <w:r>
        <w:rPr>
          <w:rFonts w:hint="eastAsia" w:ascii="方正仿宋_GBK" w:hAnsi="方正仿宋_GBK" w:eastAsia="方正仿宋_GBK" w:cs="方正仿宋_GBK"/>
          <w:sz w:val="32"/>
          <w:szCs w:val="32"/>
          <w:shd w:val="clear" w:color="auto" w:fill="FFFFFF"/>
          <w:lang w:eastAsia="zh-CN"/>
        </w:rPr>
        <w:t>本年度事业站所与政府分开独立核算。</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基本工资、津贴补贴、奖金、伙食补助、绩效工资、社会保障缴费、住房公积金、医疗费、其他职工福利支出、抚恤金、生活补助等经费。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万元，与2023年度相比，减少26.39万元，下降22.4%，主要原因是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提倡厉行节约、反对铺张浪费，压缩了办公经费和“三公”经费，尽量减少单位的运行成本支出</w:t>
      </w:r>
      <w:r>
        <w:rPr>
          <w:rFonts w:hint="eastAsia" w:ascii="方正仿宋_GBK" w:hAnsi="方正仿宋_GBK" w:eastAsia="方正仿宋_GBK" w:cs="方正仿宋_GBK"/>
          <w:sz w:val="32"/>
          <w:szCs w:val="32"/>
          <w:shd w:val="clear" w:color="auto" w:fill="FFFFFF"/>
          <w:lang w:eastAsia="zh-CN"/>
        </w:rPr>
        <w:t>；二是本年度事业站所与政府分开独立核算。</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办公费、水电费、邮电费、差旅费、会议费、培训费，公务接待费、工会经费、公车运行维护费、其他商品和服务支出。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numPr>
          <w:ilvl w:val="0"/>
          <w:numId w:val="2"/>
        </w:numPr>
        <w:shd w:val="clear"/>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highlight w:val="none"/>
          <w:shd w:val="clear" w:color="auto" w:fill="FFFFFF"/>
        </w:rPr>
        <w:t> 本</w:t>
      </w:r>
      <w:r>
        <w:rPr>
          <w:rFonts w:hint="eastAsia" w:ascii="方正仿宋_GBK" w:hAnsi="方正仿宋_GBK" w:eastAsia="方正仿宋_GBK" w:cs="方正仿宋_GBK"/>
          <w:sz w:val="32"/>
          <w:szCs w:val="32"/>
          <w:highlight w:val="none"/>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年度无国有资本经营预算财政拨款支出。</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highlight w:val="none"/>
          <w:shd w:val="clear" w:color="auto" w:fill="FFFFFF"/>
        </w:rPr>
        <w:t>贯彻落实中央八项规定、压缩开支；加强管理，严格控制</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三公</w:t>
      </w:r>
      <w:r>
        <w:rPr>
          <w:rFonts w:hint="eastAsia" w:ascii="方正仿宋_GBK" w:hAnsi="方正仿宋_GBK" w:eastAsia="方正仿宋_GBK" w:cs="方正仿宋_GBK"/>
          <w:sz w:val="32"/>
          <w:szCs w:val="32"/>
          <w:highlight w:val="none"/>
          <w:shd w:val="clear" w:color="auto" w:fill="FFFFFF"/>
          <w:lang w:eastAsia="zh-CN"/>
        </w:rPr>
        <w:t>”</w:t>
      </w:r>
      <w:bookmarkStart w:id="0" w:name="_GoBack"/>
      <w:bookmarkEnd w:id="0"/>
      <w:r>
        <w:rPr>
          <w:rFonts w:hint="eastAsia" w:ascii="方正仿宋_GBK" w:hAnsi="方正仿宋_GBK" w:eastAsia="方正仿宋_GBK" w:cs="方正仿宋_GBK"/>
          <w:sz w:val="32"/>
          <w:szCs w:val="32"/>
          <w:highlight w:val="none"/>
          <w:shd w:val="clear" w:color="auto" w:fill="FFFFFF"/>
        </w:rPr>
        <w:t>经费开支。</w:t>
      </w:r>
      <w:r>
        <w:rPr>
          <w:rFonts w:ascii="方正仿宋_GBK" w:hAnsi="方正仿宋_GBK" w:eastAsia="方正仿宋_GBK" w:cs="方正仿宋_GBK"/>
          <w:sz w:val="32"/>
          <w:szCs w:val="32"/>
          <w:shd w:val="clear" w:color="auto" w:fill="FFFFFF"/>
        </w:rPr>
        <w:t>较上年支出数减少0.66万元，下降8.6%，主要原因是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年度本部门因公出国（境）费用未发生支出。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3</w:t>
      </w:r>
      <w:r>
        <w:rPr>
          <w:rFonts w:hint="eastAsia" w:ascii="方正仿宋_GBK" w:hAnsi="方正仿宋_GBK" w:eastAsia="方正仿宋_GBK" w:cs="方正仿宋_GBK"/>
          <w:sz w:val="32"/>
          <w:szCs w:val="32"/>
          <w:highlight w:val="none"/>
          <w:shd w:val="clear" w:color="auto" w:fill="FFFFFF"/>
        </w:rPr>
        <w:t>年与202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年本部门因公出国（境）费用未发生支出。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年初无预算，年度中未购置公务车。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lang w:val="en-US" w:eastAsia="zh-CN"/>
        </w:rPr>
        <w:t>2023年与2024年度未购置公务车</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单位开展工作所需车辆的燃料费、维修费、保险费等。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r>
        <w:rPr>
          <w:rFonts w:ascii="方正仿宋_GBK" w:hAnsi="方正仿宋_GBK" w:eastAsia="方正仿宋_GBK" w:cs="方正仿宋_GBK"/>
          <w:sz w:val="32"/>
          <w:szCs w:val="32"/>
          <w:shd w:val="clear" w:color="auto" w:fill="FFFFFF"/>
        </w:rPr>
        <w:t>较上年支出数减少0.31万元，下降4.2%，主要原因是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强化公务接待支出管理,严格遵守公务接待开支范围和开支标准。</w:t>
      </w:r>
      <w:r>
        <w:rPr>
          <w:rFonts w:ascii="方正仿宋_GBK" w:hAnsi="方正仿宋_GBK" w:eastAsia="方正仿宋_GBK" w:cs="方正仿宋_GBK"/>
          <w:sz w:val="32"/>
          <w:szCs w:val="32"/>
          <w:shd w:val="clear" w:color="auto" w:fill="FFFFFF"/>
        </w:rPr>
        <w:t>较上年支出数减少0.34万元，下降100.0%，主要原因是</w:t>
      </w:r>
      <w:r>
        <w:rPr>
          <w:rFonts w:hint="eastAsia" w:ascii="方正仿宋_GBK" w:hAnsi="方正仿宋_GBK" w:eastAsia="方正仿宋_GBK" w:cs="方正仿宋_GBK"/>
          <w:sz w:val="32"/>
          <w:szCs w:val="32"/>
          <w:shd w:val="clear" w:color="auto" w:fill="FFFFFF"/>
        </w:rPr>
        <w:t>贯彻落实中央八项规定、压缩开支。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7.06</w:t>
      </w:r>
      <w:r>
        <w:rPr>
          <w:rFonts w:ascii="方正仿宋_GBK" w:hAnsi="方正仿宋_GBK" w:eastAsia="方正仿宋_GBK" w:cs="方正仿宋_GBK"/>
          <w:sz w:val="32"/>
          <w:szCs w:val="32"/>
          <w:shd w:val="clear" w:color="auto" w:fill="FFFFFF"/>
        </w:rPr>
        <w:t>万元，与2023年度相比，减少1.73万元，下降19.7%，主要原因是</w:t>
      </w:r>
      <w:r>
        <w:rPr>
          <w:rFonts w:hint="eastAsia" w:ascii="方正仿宋_GBK" w:hAnsi="方正仿宋_GBK" w:eastAsia="方正仿宋_GBK" w:cs="方正仿宋_GBK"/>
          <w:sz w:val="32"/>
          <w:szCs w:val="32"/>
          <w:shd w:val="clear" w:color="auto" w:fill="FFFFFF"/>
        </w:rPr>
        <w:t>贯彻落实中央八项规定精神，精简会议，压缩开支。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万元，与2023年度相比，减少0.10万元，下降7.3%，主要原因是</w:t>
      </w:r>
      <w:r>
        <w:rPr>
          <w:rFonts w:hint="eastAsia" w:ascii="方正仿宋_GBK" w:hAnsi="方正仿宋_GBK" w:eastAsia="方正仿宋_GBK" w:cs="方正仿宋_GBK"/>
          <w:sz w:val="32"/>
          <w:szCs w:val="32"/>
          <w:shd w:val="clear" w:color="auto" w:fill="FFFFFF"/>
        </w:rPr>
        <w:t>贯彻落实中央八项规定精神，减少培训次数，压缩开支。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办公费、印刷费、咨询费、手续费、劳务费、委托业务费、邮电费、维修（护）费、公务用车运行维护费、公务接待费、会议费、培训费。</w:t>
      </w:r>
      <w:r>
        <w:rPr>
          <w:rFonts w:ascii="方正仿宋_GBK" w:hAnsi="方正仿宋_GBK" w:eastAsia="方正仿宋_GBK" w:cs="方正仿宋_GBK"/>
          <w:sz w:val="32"/>
          <w:szCs w:val="32"/>
          <w:shd w:val="clear" w:color="auto" w:fill="FFFFFF"/>
        </w:rPr>
        <w:t>机关运行经费较上年支出数减少24.39万元，下降21.0%，主要原因是</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方正仿宋_GBK" w:hAnsi="方正仿宋_GBK" w:eastAsia="方正仿宋_GBK" w:cs="方正仿宋_GBK"/>
          <w:sz w:val="32"/>
          <w:szCs w:val="32"/>
          <w:highlight w:val="none"/>
          <w:shd w:val="clear" w:color="auto" w:fill="FFFFFF"/>
        </w:rPr>
        <w:t>了经费支出，特别是办公费、差旅费等支出</w:t>
      </w:r>
      <w:r>
        <w:rPr>
          <w:rFonts w:hint="eastAsia" w:ascii="方正仿宋_GBK" w:hAnsi="方正仿宋_GBK" w:eastAsia="方正仿宋_GBK" w:cs="方正仿宋_GBK"/>
          <w:sz w:val="32"/>
          <w:szCs w:val="32"/>
          <w:highlight w:val="none"/>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792"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53</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b w:val="0"/>
          <w:bCs w:val="0"/>
          <w:color w:val="000000"/>
          <w:sz w:val="32"/>
          <w:szCs w:val="32"/>
          <w:highlight w:val="none"/>
        </w:rPr>
        <w:t>1,703.63</w:t>
      </w:r>
      <w:r>
        <w:rPr>
          <w:rFonts w:hint="eastAsia"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pPr>
        <w:pStyle w:val="12"/>
        <w:keepNext w:val="0"/>
        <w:keepLines w:val="0"/>
        <w:pageBreakBefore w:val="0"/>
        <w:widowControl/>
        <w:numPr>
          <w:ilvl w:val="0"/>
          <w:numId w:val="3"/>
        </w:numPr>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FF0000"/>
          <w:kern w:val="0"/>
          <w:sz w:val="32"/>
          <w:szCs w:val="32"/>
          <w:shd w:val="clear" w:fill="FFFFFF"/>
        </w:rPr>
        <w:t xml:space="preserve"> </w:t>
      </w: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方维</w:t>
      </w:r>
      <w:r>
        <w:rPr>
          <w:rFonts w:hint="eastAsia" w:ascii="方正仿宋_GBK" w:hAnsi="方正仿宋_GBK" w:eastAsia="方正仿宋_GBK" w:cs="方正仿宋_GBK"/>
          <w:sz w:val="32"/>
          <w:szCs w:val="32"/>
          <w:shd w:val="clear" w:color="auto" w:fill="FFFFFF"/>
        </w:rPr>
        <w:t>023-51512223</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21"/>
          <w:szCs w:val="21"/>
          <w:shd w:val="clear" w:color="auto" w:fill="FFFFFF"/>
          <w:lang w:val="en-US" w:eastAsia="zh-CN"/>
        </w:rPr>
        <w:sectPr>
          <w:footerReference r:id="rId3" w:type="default"/>
          <w:pgSz w:w="11915" w:h="16840"/>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1</w:t>
      </w:r>
    </w:p>
    <w:tbl>
      <w:tblPr>
        <w:tblStyle w:val="6"/>
        <w:tblW w:w="202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8"/>
        <w:gridCol w:w="384"/>
        <w:gridCol w:w="360"/>
        <w:gridCol w:w="782"/>
        <w:gridCol w:w="1390"/>
        <w:gridCol w:w="446"/>
        <w:gridCol w:w="272"/>
        <w:gridCol w:w="969"/>
        <w:gridCol w:w="596"/>
        <w:gridCol w:w="251"/>
        <w:gridCol w:w="1078"/>
        <w:gridCol w:w="511"/>
        <w:gridCol w:w="945"/>
        <w:gridCol w:w="892"/>
        <w:gridCol w:w="543"/>
        <w:gridCol w:w="1099"/>
        <w:gridCol w:w="195"/>
        <w:gridCol w:w="645"/>
        <w:gridCol w:w="957"/>
        <w:gridCol w:w="239"/>
        <w:gridCol w:w="499"/>
        <w:gridCol w:w="1338"/>
        <w:gridCol w:w="815"/>
        <w:gridCol w:w="381"/>
        <w:gridCol w:w="641"/>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5"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kern w:val="0"/>
                <w:sz w:val="22"/>
                <w:szCs w:val="22"/>
                <w:shd w:val="clear" w:fill="FFFFFF"/>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项目名称：</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巫溪县城厢镇人民政府整体监控</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项目编码：</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50023800024P000070</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自评总分：</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99.59</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项目主管部门：</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501-巫溪县城厢镇人民政府</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财政归口处室：</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010-基财科</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部门联系人：</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唐俊</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联系电话：</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13509447981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年初预算数</w:t>
            </w:r>
          </w:p>
        </w:tc>
        <w:tc>
          <w:tcPr>
            <w:tcW w:w="2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全年（调整）预算数</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全年执行数</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执行率权重</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年度总金额</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其中：财政拨款</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一般公共预算</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年初绩效目标</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全年（调整）绩效目标</w:t>
            </w: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sz w:val="22"/>
                <w:szCs w:val="22"/>
                <w:shd w:val="clear" w:color="auto" w:fill="FFFFFF"/>
                <w:lang w:val="en-US" w:eastAsia="zh-CN" w:bidi="ar-SA"/>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lang w:val="en-US" w:eastAsia="zh-CN"/>
              </w:rPr>
            </w:pP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lang w:val="en-US" w:eastAsia="zh-CN"/>
              </w:rPr>
            </w:pPr>
            <w:r>
              <w:rPr>
                <w:rFonts w:hint="eastAsia" w:ascii="方正仿宋_GBK" w:hAnsi="方正仿宋_GBK" w:eastAsia="方正仿宋_GBK" w:cs="方正仿宋_GBK"/>
                <w:kern w:val="0"/>
                <w:sz w:val="22"/>
                <w:szCs w:val="22"/>
                <w:shd w:val="clear" w:fill="FFFFFF"/>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指标名称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计量单位</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指标性质</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指标值</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全年完成值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偏离度</w:t>
            </w: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得分系数</w:t>
            </w:r>
            <w:r>
              <w:rPr>
                <w:rFonts w:hint="default" w:ascii="Times New Roman" w:hAnsi="Times New Roman" w:eastAsia="方正仿宋_GBK" w:cs="Times New Roman"/>
                <w:kern w:val="0"/>
                <w:sz w:val="22"/>
                <w:szCs w:val="22"/>
                <w:shd w:val="clear" w:fill="FFFFFF"/>
                <w:lang w:val="en-US" w:eastAsia="zh-CN"/>
              </w:rPr>
              <w:t>（%）</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指标权重</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指标得分</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是否核心指标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全年预算支出执行率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年度预决算按时公开率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补助惠民政策落实率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7"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严重精神障碍患者以奖代补人数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政务服务居民满意度</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22"/>
          <w:szCs w:val="22"/>
          <w:shd w:val="clear" w:fill="FFFFFF"/>
          <w:lang w:val="en-US" w:eastAsia="zh-CN"/>
        </w:rPr>
        <w:sectPr>
          <w:pgSz w:w="23811" w:h="16838" w:orient="landscape"/>
          <w:pgMar w:top="1587" w:right="2098" w:bottom="1474" w:left="1474"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2</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6"/>
        <w:tblW w:w="20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1576"/>
        <w:gridCol w:w="1577"/>
        <w:gridCol w:w="1576"/>
        <w:gridCol w:w="1576"/>
        <w:gridCol w:w="3109"/>
        <w:gridCol w:w="1577"/>
        <w:gridCol w:w="1577"/>
        <w:gridCol w:w="1577"/>
        <w:gridCol w:w="1577"/>
        <w:gridCol w:w="3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项目名称：</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巫溪县城厢镇白新社区2024年农村公共厕所建设项目（溪乡振发【2024】25号）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项目编码：</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50023825T000004532591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自评总分：</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项目主管部门：</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501-巫溪县城厢镇人民政府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财政归口处室：</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010-基财科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部门联系人：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肖玲</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联系电话：</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13983553616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sz w:val="22"/>
                <w:szCs w:val="22"/>
                <w:shd w:val="clear" w:color="auto" w:fill="FFFFFF"/>
                <w:lang w:val="en-US" w:eastAsia="zh-CN"/>
              </w:rPr>
            </w:pP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年初预算数</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全年（调整）预算数</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全年执行数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执行率权重</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年度总金额</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其中：财政拨款</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一般公共预算</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年初绩效目标</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6"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通过新建农村公共卫生厕所1座40m2，完善相关配套设备设施。切实提高1000人（其中脱贫人口110人）生活品质，改善人居环境。xiao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计量单位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偏离度（%）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得分系数（%）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指标权重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指标得分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是否核心指标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新建公共厕所1座</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平方米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是</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项目验收合格率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bl>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lang w:val="en-US" w:eastAsia="zh-CN"/>
        </w:rPr>
        <w:sectPr>
          <w:pgSz w:w="23757" w:h="16783" w:orient="landscape"/>
          <w:pgMar w:top="1587" w:right="2098" w:bottom="1474" w:left="1474"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tbl>
      <w:tblPr>
        <w:tblStyle w:val="6"/>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巫溪县城厢镇人民政府（本级）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2,441.17</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巫溪县城厢镇人民政府（本级）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巩固拓展脱贫攻坚成果同乡村振兴有效衔接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巫溪县城厢镇人民政府（本级）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737.54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1,703.63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巩固拓展脱贫攻坚成果同乡村振兴有效衔接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巫溪县城厢镇人民政府（本级）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2,441.17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737.54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2,441.17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737.54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b/>
                <w:color w:val="000000"/>
                <w:sz w:val="20"/>
                <w:szCs w:val="20"/>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509.75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646.02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巫溪县城厢镇人民政府（本级）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r>
        <w:rPr>
          <w:rFonts w:hint="eastAsia" w:ascii="方正仿宋_GBK" w:hAnsi="方正仿宋_GBK" w:eastAsia="方正仿宋_GBK" w:cs="方正仿宋_GBK"/>
          <w:b w:val="0"/>
          <w:bCs w:val="0"/>
          <w:sz w:val="32"/>
          <w:szCs w:val="32"/>
          <w:lang w:eastAsia="zh-CN"/>
        </w:rPr>
        <w:t>本年无</w:t>
      </w:r>
      <w:r>
        <w:rPr>
          <w:rFonts w:hint="eastAsia" w:ascii="方正仿宋_GBK" w:hAnsi="方正仿宋_GBK" w:eastAsia="方正仿宋_GBK" w:cs="方正仿宋_GBK"/>
          <w:b w:val="0"/>
          <w:bCs w:val="0"/>
          <w:i w:val="0"/>
          <w:iCs w:val="0"/>
          <w:color w:val="000000"/>
          <w:kern w:val="0"/>
          <w:sz w:val="32"/>
          <w:szCs w:val="32"/>
          <w:u w:val="none"/>
          <w:lang w:val="en-US" w:eastAsia="zh-CN" w:bidi="ar"/>
        </w:rPr>
        <w:t>政府性基金预算财政拨款收支，故本表无数据。</w:t>
      </w: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r>
        <w:rPr>
          <w:rFonts w:hint="eastAsia" w:ascii="方正仿宋_GBK" w:hAnsi="方正仿宋_GBK" w:eastAsia="方正仿宋_GBK" w:cs="方正仿宋_GBK"/>
          <w:b w:val="0"/>
          <w:bCs w:val="0"/>
          <w:sz w:val="32"/>
          <w:szCs w:val="32"/>
          <w:lang w:eastAsia="zh-CN"/>
        </w:rPr>
        <w:t>本年无</w:t>
      </w:r>
      <w:r>
        <w:rPr>
          <w:rFonts w:hint="eastAsia" w:ascii="方正仿宋_GBK" w:hAnsi="方正仿宋_GBK" w:eastAsia="方正仿宋_GBK" w:cs="方正仿宋_GBK"/>
          <w:b w:val="0"/>
          <w:bCs w:val="0"/>
          <w:i w:val="0"/>
          <w:iCs w:val="0"/>
          <w:color w:val="000000"/>
          <w:kern w:val="0"/>
          <w:sz w:val="32"/>
          <w:szCs w:val="32"/>
          <w:u w:val="none"/>
          <w:lang w:val="en-US" w:eastAsia="zh-CN" w:bidi="ar"/>
        </w:rPr>
        <w:t>国有资本经营预算财政拨款收支，故本表无数据。</w:t>
      </w: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pPr>
        <w:numPr>
          <w:ilvl w:val="0"/>
          <w:numId w:val="0"/>
        </w:numPr>
        <w:rPr>
          <w:rFonts w:hint="eastAsia" w:ascii="宋体" w:hAnsi="宋体" w:eastAsia="宋体" w:cs="宋体"/>
          <w:sz w:val="21"/>
          <w:szCs w:val="21"/>
        </w:rPr>
      </w:pP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7.06</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96190"/>
    <w:multiLevelType w:val="singleLevel"/>
    <w:tmpl w:val="94396190"/>
    <w:lvl w:ilvl="0" w:tentative="0">
      <w:start w:val="2"/>
      <w:numFmt w:val="chineseCounting"/>
      <w:suff w:val="nothing"/>
      <w:lvlText w:val="%1、"/>
      <w:lvlJc w:val="left"/>
      <w:rPr>
        <w:rFonts w:hint="eastAsia"/>
      </w:rPr>
    </w:lvl>
  </w:abstractNum>
  <w:abstractNum w:abstractNumId="1">
    <w:nsid w:val="AB4BB445"/>
    <w:multiLevelType w:val="singleLevel"/>
    <w:tmpl w:val="AB4BB445"/>
    <w:lvl w:ilvl="0" w:tentative="0">
      <w:start w:val="6"/>
      <w:numFmt w:val="chineseCounting"/>
      <w:suff w:val="nothing"/>
      <w:lvlText w:val="（%1）"/>
      <w:lvlJc w:val="left"/>
      <w:rPr>
        <w:rFonts w:hint="eastAsia"/>
      </w:rPr>
    </w:lvl>
  </w:abstractNum>
  <w:abstractNum w:abstractNumId="2">
    <w:nsid w:val="D54E81BF"/>
    <w:multiLevelType w:val="singleLevel"/>
    <w:tmpl w:val="D54E81BF"/>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WI4NzNjZTY4MTE2YjEyYzJhMzQ5NWU3ZDMzNDgifQ=="/>
  </w:docVars>
  <w:rsids>
    <w:rsidRoot w:val="00B03CCD"/>
    <w:rsid w:val="00550ABE"/>
    <w:rsid w:val="007B419D"/>
    <w:rsid w:val="009B67B8"/>
    <w:rsid w:val="00B03CCD"/>
    <w:rsid w:val="00FE7556"/>
    <w:rsid w:val="01474EBF"/>
    <w:rsid w:val="01F3521E"/>
    <w:rsid w:val="03E3214F"/>
    <w:rsid w:val="04446191"/>
    <w:rsid w:val="044C50BA"/>
    <w:rsid w:val="04A54776"/>
    <w:rsid w:val="06A2550B"/>
    <w:rsid w:val="06F80EE2"/>
    <w:rsid w:val="07001CCA"/>
    <w:rsid w:val="071D252E"/>
    <w:rsid w:val="075678DB"/>
    <w:rsid w:val="08051BCA"/>
    <w:rsid w:val="08887FC5"/>
    <w:rsid w:val="08975059"/>
    <w:rsid w:val="08BA052C"/>
    <w:rsid w:val="08DB07BA"/>
    <w:rsid w:val="098305D0"/>
    <w:rsid w:val="09B72B6E"/>
    <w:rsid w:val="0A3851D8"/>
    <w:rsid w:val="0A5C4B69"/>
    <w:rsid w:val="0AEC3BC7"/>
    <w:rsid w:val="0B9335CE"/>
    <w:rsid w:val="0C2C1AAD"/>
    <w:rsid w:val="0C7927C4"/>
    <w:rsid w:val="0C9B098C"/>
    <w:rsid w:val="0D11728C"/>
    <w:rsid w:val="0D1E6248"/>
    <w:rsid w:val="0D673E11"/>
    <w:rsid w:val="0D8E4450"/>
    <w:rsid w:val="0DB50EFE"/>
    <w:rsid w:val="0DDA54E4"/>
    <w:rsid w:val="0E3A5F83"/>
    <w:rsid w:val="0F836721"/>
    <w:rsid w:val="103645A3"/>
    <w:rsid w:val="107B59E5"/>
    <w:rsid w:val="11003CB0"/>
    <w:rsid w:val="110535D1"/>
    <w:rsid w:val="111445C7"/>
    <w:rsid w:val="111D288F"/>
    <w:rsid w:val="1158083A"/>
    <w:rsid w:val="11A87EF6"/>
    <w:rsid w:val="11F03528"/>
    <w:rsid w:val="122618A1"/>
    <w:rsid w:val="12902B38"/>
    <w:rsid w:val="12C921C4"/>
    <w:rsid w:val="136E3663"/>
    <w:rsid w:val="13850DCB"/>
    <w:rsid w:val="13871C70"/>
    <w:rsid w:val="13A71CB4"/>
    <w:rsid w:val="13AF1D43"/>
    <w:rsid w:val="13C643C6"/>
    <w:rsid w:val="13CE1647"/>
    <w:rsid w:val="13E82704"/>
    <w:rsid w:val="141A11EA"/>
    <w:rsid w:val="14200702"/>
    <w:rsid w:val="148E377E"/>
    <w:rsid w:val="1580711B"/>
    <w:rsid w:val="17785734"/>
    <w:rsid w:val="184571EC"/>
    <w:rsid w:val="189B0D0B"/>
    <w:rsid w:val="194A1770"/>
    <w:rsid w:val="19671E75"/>
    <w:rsid w:val="19917D9C"/>
    <w:rsid w:val="19B906A4"/>
    <w:rsid w:val="1A191A2B"/>
    <w:rsid w:val="1A1F744B"/>
    <w:rsid w:val="1A4854EC"/>
    <w:rsid w:val="1A736AA5"/>
    <w:rsid w:val="1B160290"/>
    <w:rsid w:val="1B6F15B6"/>
    <w:rsid w:val="1BAA2EDC"/>
    <w:rsid w:val="1C1613B7"/>
    <w:rsid w:val="1C68156D"/>
    <w:rsid w:val="1CE157EE"/>
    <w:rsid w:val="1D014A01"/>
    <w:rsid w:val="1D022362"/>
    <w:rsid w:val="1DD26311"/>
    <w:rsid w:val="1E8A134C"/>
    <w:rsid w:val="1EF67CA4"/>
    <w:rsid w:val="1F1B4274"/>
    <w:rsid w:val="1F454D88"/>
    <w:rsid w:val="1FCD26AF"/>
    <w:rsid w:val="20642787"/>
    <w:rsid w:val="21556F04"/>
    <w:rsid w:val="22403BD3"/>
    <w:rsid w:val="23352762"/>
    <w:rsid w:val="24B92327"/>
    <w:rsid w:val="2533755C"/>
    <w:rsid w:val="26396DF4"/>
    <w:rsid w:val="26D63A77"/>
    <w:rsid w:val="270642A6"/>
    <w:rsid w:val="27167136"/>
    <w:rsid w:val="27B23302"/>
    <w:rsid w:val="282350AE"/>
    <w:rsid w:val="291D3AF5"/>
    <w:rsid w:val="29310A5F"/>
    <w:rsid w:val="299947CC"/>
    <w:rsid w:val="29C37A35"/>
    <w:rsid w:val="29C95E09"/>
    <w:rsid w:val="2A073138"/>
    <w:rsid w:val="2A076083"/>
    <w:rsid w:val="2A0A37AA"/>
    <w:rsid w:val="2A73162E"/>
    <w:rsid w:val="2B167953"/>
    <w:rsid w:val="2B200583"/>
    <w:rsid w:val="2B8209DE"/>
    <w:rsid w:val="2B957264"/>
    <w:rsid w:val="2C161D32"/>
    <w:rsid w:val="2C2D3EC7"/>
    <w:rsid w:val="2C6762A3"/>
    <w:rsid w:val="2D8D2A49"/>
    <w:rsid w:val="2D967F3F"/>
    <w:rsid w:val="2E497A48"/>
    <w:rsid w:val="2F465C42"/>
    <w:rsid w:val="2FE029D7"/>
    <w:rsid w:val="2FF06E00"/>
    <w:rsid w:val="315D199F"/>
    <w:rsid w:val="315F0B22"/>
    <w:rsid w:val="31D84415"/>
    <w:rsid w:val="32285F6F"/>
    <w:rsid w:val="32770556"/>
    <w:rsid w:val="329C0913"/>
    <w:rsid w:val="32E42771"/>
    <w:rsid w:val="3337290D"/>
    <w:rsid w:val="348405B2"/>
    <w:rsid w:val="352930DB"/>
    <w:rsid w:val="35573069"/>
    <w:rsid w:val="358C217E"/>
    <w:rsid w:val="359F188C"/>
    <w:rsid w:val="362D2433"/>
    <w:rsid w:val="363839BC"/>
    <w:rsid w:val="363F7F1A"/>
    <w:rsid w:val="36C9128A"/>
    <w:rsid w:val="37841E99"/>
    <w:rsid w:val="37BF1123"/>
    <w:rsid w:val="37F26E25"/>
    <w:rsid w:val="385365AC"/>
    <w:rsid w:val="38BE4696"/>
    <w:rsid w:val="39166507"/>
    <w:rsid w:val="39B82A39"/>
    <w:rsid w:val="39F33306"/>
    <w:rsid w:val="3A5D1578"/>
    <w:rsid w:val="3AB31805"/>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913BF"/>
    <w:rsid w:val="3F0527E5"/>
    <w:rsid w:val="3F16459E"/>
    <w:rsid w:val="3F3617F2"/>
    <w:rsid w:val="3F7F4789"/>
    <w:rsid w:val="3FA5067B"/>
    <w:rsid w:val="3FDE15A7"/>
    <w:rsid w:val="3FE434EE"/>
    <w:rsid w:val="4004000C"/>
    <w:rsid w:val="40FD5440"/>
    <w:rsid w:val="411B6CE5"/>
    <w:rsid w:val="412000F1"/>
    <w:rsid w:val="412070D7"/>
    <w:rsid w:val="41314E40"/>
    <w:rsid w:val="4142353C"/>
    <w:rsid w:val="415C674B"/>
    <w:rsid w:val="4232374D"/>
    <w:rsid w:val="426C1EA8"/>
    <w:rsid w:val="42E86A87"/>
    <w:rsid w:val="43136432"/>
    <w:rsid w:val="43770A38"/>
    <w:rsid w:val="443A3B12"/>
    <w:rsid w:val="44A854C2"/>
    <w:rsid w:val="44DD597D"/>
    <w:rsid w:val="45360740"/>
    <w:rsid w:val="465B470D"/>
    <w:rsid w:val="469D6AD4"/>
    <w:rsid w:val="47674801"/>
    <w:rsid w:val="48225EF7"/>
    <w:rsid w:val="48AD1435"/>
    <w:rsid w:val="495C4A24"/>
    <w:rsid w:val="499A16C4"/>
    <w:rsid w:val="49E6601D"/>
    <w:rsid w:val="4A113653"/>
    <w:rsid w:val="4A7B309A"/>
    <w:rsid w:val="4AD70EE7"/>
    <w:rsid w:val="4B474970"/>
    <w:rsid w:val="4B7951CB"/>
    <w:rsid w:val="4B7C315C"/>
    <w:rsid w:val="4BAB7F90"/>
    <w:rsid w:val="4C32238B"/>
    <w:rsid w:val="4D763EEA"/>
    <w:rsid w:val="4DAC4ACA"/>
    <w:rsid w:val="4E1C53CA"/>
    <w:rsid w:val="4F186D58"/>
    <w:rsid w:val="50EC262C"/>
    <w:rsid w:val="522F6E0C"/>
    <w:rsid w:val="52463BA1"/>
    <w:rsid w:val="53C0244D"/>
    <w:rsid w:val="53DD4D4E"/>
    <w:rsid w:val="53E578CE"/>
    <w:rsid w:val="53F266B1"/>
    <w:rsid w:val="543B029D"/>
    <w:rsid w:val="545D0246"/>
    <w:rsid w:val="554E5773"/>
    <w:rsid w:val="555A3CBC"/>
    <w:rsid w:val="56521958"/>
    <w:rsid w:val="56530F5D"/>
    <w:rsid w:val="56C52B82"/>
    <w:rsid w:val="5842572D"/>
    <w:rsid w:val="5A3D43FE"/>
    <w:rsid w:val="5AC856A6"/>
    <w:rsid w:val="5AE75037"/>
    <w:rsid w:val="5B552E72"/>
    <w:rsid w:val="5B58571C"/>
    <w:rsid w:val="5B8376C2"/>
    <w:rsid w:val="5B96133A"/>
    <w:rsid w:val="5BB64468"/>
    <w:rsid w:val="5BC8419B"/>
    <w:rsid w:val="5C1336B7"/>
    <w:rsid w:val="5C263CE4"/>
    <w:rsid w:val="5C5D2777"/>
    <w:rsid w:val="5CAB1AF3"/>
    <w:rsid w:val="5D290C69"/>
    <w:rsid w:val="5D537F41"/>
    <w:rsid w:val="5E905859"/>
    <w:rsid w:val="5EFA176D"/>
    <w:rsid w:val="5F0247F9"/>
    <w:rsid w:val="5F206098"/>
    <w:rsid w:val="5F2D4A41"/>
    <w:rsid w:val="5F826BA8"/>
    <w:rsid w:val="5FD919AC"/>
    <w:rsid w:val="601C34ED"/>
    <w:rsid w:val="60A958A9"/>
    <w:rsid w:val="60D22ADB"/>
    <w:rsid w:val="61025A59"/>
    <w:rsid w:val="613D5BBC"/>
    <w:rsid w:val="61536C39"/>
    <w:rsid w:val="62944DD7"/>
    <w:rsid w:val="631F2F84"/>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272B50"/>
    <w:rsid w:val="68B26F0C"/>
    <w:rsid w:val="692172FD"/>
    <w:rsid w:val="693049A4"/>
    <w:rsid w:val="69AC1EF3"/>
    <w:rsid w:val="6A1707C7"/>
    <w:rsid w:val="6A3829EE"/>
    <w:rsid w:val="6B474EF5"/>
    <w:rsid w:val="6C162E5C"/>
    <w:rsid w:val="6C560CAE"/>
    <w:rsid w:val="6D0615E4"/>
    <w:rsid w:val="6D903FF5"/>
    <w:rsid w:val="6DA955B8"/>
    <w:rsid w:val="6DE346AB"/>
    <w:rsid w:val="6EF071E1"/>
    <w:rsid w:val="6F6D0634"/>
    <w:rsid w:val="6F7F6A2D"/>
    <w:rsid w:val="6FB442D1"/>
    <w:rsid w:val="6FFB2E76"/>
    <w:rsid w:val="703416E3"/>
    <w:rsid w:val="710166D8"/>
    <w:rsid w:val="71187E53"/>
    <w:rsid w:val="71B909B1"/>
    <w:rsid w:val="71C34D91"/>
    <w:rsid w:val="71ED38AA"/>
    <w:rsid w:val="720229AA"/>
    <w:rsid w:val="72DB435C"/>
    <w:rsid w:val="7320773B"/>
    <w:rsid w:val="73465C05"/>
    <w:rsid w:val="750837F0"/>
    <w:rsid w:val="764F62AB"/>
    <w:rsid w:val="765C45EC"/>
    <w:rsid w:val="768A7619"/>
    <w:rsid w:val="76E14979"/>
    <w:rsid w:val="77320F6E"/>
    <w:rsid w:val="77EA362A"/>
    <w:rsid w:val="7875383E"/>
    <w:rsid w:val="78B54EE6"/>
    <w:rsid w:val="7923299F"/>
    <w:rsid w:val="796D60A4"/>
    <w:rsid w:val="79A031D5"/>
    <w:rsid w:val="7A1525F7"/>
    <w:rsid w:val="7A3E6CB6"/>
    <w:rsid w:val="7A680D2D"/>
    <w:rsid w:val="7AA22773"/>
    <w:rsid w:val="7B260559"/>
    <w:rsid w:val="7B420052"/>
    <w:rsid w:val="7BD06A28"/>
    <w:rsid w:val="7C1E4CD7"/>
    <w:rsid w:val="7C3A7C0B"/>
    <w:rsid w:val="7C3C6B91"/>
    <w:rsid w:val="7C5248E4"/>
    <w:rsid w:val="7C566698"/>
    <w:rsid w:val="7D0317AC"/>
    <w:rsid w:val="7F5B466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5941</Words>
  <Characters>6607</Characters>
  <Lines>161</Lines>
  <Paragraphs>45</Paragraphs>
  <TotalTime>53</TotalTime>
  <ScaleCrop>false</ScaleCrop>
  <LinksUpToDate>false</LinksUpToDate>
  <CharactersWithSpaces>6616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2026-05-27T08:27:53Z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76139CE432D142F68EC3E7832BB4E01E_13</vt:lpwstr>
  </property>
  <property fmtid="{D5CDD505-2E9C-101B-9397-08002B2CF9AE}" pid="4" name="KSOTemplateDocerSaveRecord">
    <vt:lpwstr>eyJoZGlkIjoiZDRlMTI0ZmZkNWVkNDk2ZTg4NWYwOTQyMjQxMmY4NGEiLCJ1c2VySWQiOiIxMzIzODcwMDMzIn0=</vt:lpwstr>
  </property>
</Properties>
</file>