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巫溪县峰灵镇人民政府</w:t>
      </w:r>
    </w:p>
    <w:p>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pPr>
        <w:pStyle w:val="5"/>
        <w:shd w:val="clear" w:color="auto" w:fill="FFFFFF"/>
        <w:spacing w:before="0" w:beforeAutospacing="0" w:after="0" w:afterAutospacing="0" w:line="596" w:lineRule="exact"/>
        <w:ind w:firstLine="642"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hd w:val="clear" w:color="auto" w:fill="FFFFFF"/>
        <w:spacing w:before="0" w:beforeAutospacing="0" w:after="0" w:afterAutospacing="0" w:line="600" w:lineRule="atLeast"/>
        <w:ind w:firstLine="645"/>
        <w:jc w:val="both"/>
        <w:rPr>
          <w:rFonts w:hint="default" w:cs="宋体"/>
          <w:b/>
          <w:bCs/>
          <w:color w:val="333333"/>
        </w:rPr>
      </w:pPr>
      <w:r>
        <w:rPr>
          <w:rFonts w:ascii="方正仿宋_GBK" w:hAnsi="方正仿宋_GBK" w:eastAsia="方正仿宋_GBK" w:cs="方正仿宋_GBK"/>
          <w:b/>
          <w:bCs/>
          <w:color w:val="333333"/>
          <w:sz w:val="31"/>
          <w:szCs w:val="31"/>
          <w:shd w:val="clear" w:color="auto" w:fill="FFFFFF"/>
        </w:rPr>
        <w:t>政府职能：</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4.按计划组织本级财政收入和地方税的征收完成国家财政计划，不断培植税源，管好财政资金，增强财政实力。</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5.抓好精神文明建设，丰富群众文化生活，提倡移风易俗反对封建迷信，破除陈规陋习，树立社会主义新风尚。</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6.完成上级政府交办的其他事项。</w:t>
      </w:r>
    </w:p>
    <w:p>
      <w:pPr>
        <w:pStyle w:val="5"/>
        <w:shd w:val="clear" w:color="auto" w:fill="FFFFFF"/>
        <w:spacing w:before="0" w:beforeAutospacing="0" w:after="0" w:afterAutospacing="0" w:line="600" w:lineRule="atLeast"/>
        <w:ind w:firstLine="645"/>
        <w:jc w:val="both"/>
        <w:rPr>
          <w:rFonts w:hint="default" w:cs="宋体"/>
          <w:b/>
          <w:bCs/>
          <w:color w:val="333333"/>
        </w:rPr>
      </w:pPr>
      <w:r>
        <w:rPr>
          <w:rFonts w:ascii="方正仿宋_GBK" w:hAnsi="方正仿宋_GBK" w:eastAsia="方正仿宋_GBK" w:cs="方正仿宋_GBK"/>
          <w:b/>
          <w:bCs/>
          <w:color w:val="333333"/>
          <w:sz w:val="31"/>
          <w:szCs w:val="31"/>
          <w:shd w:val="clear" w:color="auto" w:fill="FFFFFF"/>
        </w:rPr>
        <w:t>政府职责：</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1.执行本级人民代表大会的决议和上级国家行政机关的决定。</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2.执行本行政区域内的经济和社会发展计划、预算，管理本行政区域内的经济、教育、科学、文化、卫生、体育事业和财政、民政、公安、司法行政、计划生育等行政工作。</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3.保护社会主义的全民所有的财产和劳动群众集体所有财产，保护公民私有的合法财产，维护社会秩序，保障公民的人身权利、民主权利和其他权利。</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4.保障农村集体经济组织应有的自主权。</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5.保障少数民族的权利和尊重少数民族的风俗习惯。</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6.保障宪法和法律赋予妇女的男女平等、同工同酬和婚姻自由等各项权利。</w:t>
      </w:r>
    </w:p>
    <w:p>
      <w:pPr>
        <w:pStyle w:val="5"/>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7.办理上级人民政府交办的其他事项。</w:t>
      </w:r>
    </w:p>
    <w:p>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pacing w:before="0" w:beforeAutospacing="0" w:after="0" w:afterAutospacing="0" w:line="420" w:lineRule="atLeast"/>
        <w:ind w:firstLine="630"/>
        <w:rPr>
          <w:rFonts w:hint="default" w:ascii="sans-serif" w:hAnsi="sans-serif" w:eastAsia="sans-serif" w:cs="sans-serif"/>
          <w:color w:val="000000"/>
          <w:sz w:val="27"/>
          <w:szCs w:val="27"/>
        </w:rPr>
      </w:pPr>
      <w:r>
        <w:rPr>
          <w:rFonts w:ascii="方正仿宋_GBK" w:hAnsi="方正仿宋_GBK" w:eastAsia="方正仿宋_GBK" w:cs="方正仿宋_GBK"/>
          <w:color w:val="000000"/>
          <w:sz w:val="31"/>
          <w:szCs w:val="31"/>
        </w:rPr>
        <w:t>峰灵镇纳入2024年度部门预算汇编范围的独立核算单位共2个，下设人大、政府、党委、群团、社保、文化、退役军人管理事务、综合执法大队等多个部门。各部门独立的行使各个部门的权利，履行相应的义务。</w:t>
      </w:r>
    </w:p>
    <w:p>
      <w:pPr>
        <w:pStyle w:val="5"/>
        <w:shd w:val="clear" w:color="auto" w:fill="FFFFFF"/>
        <w:spacing w:before="0" w:beforeAutospacing="0" w:after="0" w:afterAutospacing="0" w:line="596" w:lineRule="exact"/>
        <w:ind w:firstLine="642"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二、部门决算收支情况说明</w:t>
      </w:r>
    </w:p>
    <w:p>
      <w:pPr>
        <w:pStyle w:val="9"/>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2024年度收入总计2789.33万元，支出总计</w:t>
      </w:r>
      <w:r>
        <w:rPr>
          <w:rFonts w:ascii="方正仿宋_GBK" w:hAnsi="方正仿宋_GBK" w:eastAsia="方正仿宋_GBK" w:cs="方正仿宋_GBK"/>
          <w:sz w:val="32"/>
          <w:szCs w:val="32"/>
        </w:rPr>
        <w:t>2789.33</w:t>
      </w:r>
      <w:r>
        <w:rPr>
          <w:rFonts w:ascii="方正仿宋_GBK" w:hAnsi="方正仿宋_GBK" w:eastAsia="方正仿宋_GBK" w:cs="方正仿宋_GBK"/>
          <w:sz w:val="32"/>
          <w:szCs w:val="32"/>
          <w:shd w:val="clear" w:color="auto" w:fill="FFFFFF"/>
        </w:rPr>
        <w:t>万元。收、支与2023年度相比，增加791.58万元，增长39.6%，主要原因是主要原因一是本年度有人员的调入或调出，导致人员经费和公用经费进行了相应的调整，总体增加。二是其他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2024年度收入合计2789.33万元，与2023年度相比，增加791.58万元，增长39.6%，主要原因是主要原因一是本年度有人员的调入或调出，导致人员经费和公用经费进行了相应的调整，总体增加。二是其他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万元等项目较去年预算增加。其中：财政拨款收入</w:t>
      </w:r>
      <w:r>
        <w:rPr>
          <w:rFonts w:ascii="方正仿宋_GBK" w:hAnsi="方正仿宋_GBK" w:eastAsia="方正仿宋_GBK" w:cs="方正仿宋_GBK"/>
          <w:sz w:val="32"/>
          <w:szCs w:val="32"/>
        </w:rPr>
        <w:t>2789.33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2789.33</w:t>
      </w:r>
      <w:r>
        <w:rPr>
          <w:rFonts w:ascii="方正仿宋_GBK" w:hAnsi="方正仿宋_GBK" w:eastAsia="方正仿宋_GBK" w:cs="方正仿宋_GBK"/>
          <w:sz w:val="32"/>
          <w:szCs w:val="32"/>
          <w:shd w:val="clear" w:color="auto" w:fill="FFFFFF"/>
        </w:rPr>
        <w:t>万元，与2023年度相比，增加791.58万元，增长39.6%，主要原因是主要原因一是本年度有人员的调入或调出，导致人员经费和公用经费进行了相应的调整，总体增加。二是其他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万元等项目较去年预算增加。其中：基本支出</w:t>
      </w:r>
      <w:r>
        <w:rPr>
          <w:rFonts w:ascii="方正仿宋_GBK" w:hAnsi="方正仿宋_GBK" w:eastAsia="方正仿宋_GBK" w:cs="方正仿宋_GBK"/>
          <w:sz w:val="32"/>
          <w:szCs w:val="32"/>
        </w:rPr>
        <w:t>905.85</w:t>
      </w:r>
      <w:r>
        <w:rPr>
          <w:rFonts w:ascii="方正仿宋_GBK" w:hAnsi="方正仿宋_GBK" w:eastAsia="方正仿宋_GBK" w:cs="方正仿宋_GBK"/>
          <w:sz w:val="32"/>
          <w:szCs w:val="32"/>
          <w:shd w:val="clear" w:color="auto" w:fill="FFFFFF"/>
        </w:rPr>
        <w:t>万元，占32.48%；项目支出</w:t>
      </w:r>
      <w:r>
        <w:rPr>
          <w:rFonts w:ascii="方正仿宋_GBK" w:hAnsi="方正仿宋_GBK" w:eastAsia="方正仿宋_GBK" w:cs="方正仿宋_GBK"/>
          <w:sz w:val="32"/>
          <w:szCs w:val="32"/>
        </w:rPr>
        <w:t>1883.48</w:t>
      </w:r>
      <w:r>
        <w:rPr>
          <w:rFonts w:ascii="方正仿宋_GBK" w:hAnsi="方正仿宋_GBK" w:eastAsia="方正仿宋_GBK" w:cs="方正仿宋_GBK"/>
          <w:sz w:val="32"/>
          <w:szCs w:val="32"/>
          <w:shd w:val="clear" w:color="auto" w:fill="FFFFFF"/>
        </w:rPr>
        <w:t>万元，占67.52%；经营支出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2024年度财政拨款收、支总计2789.33万元。与2023年相比，财政拨款收、支总计各增加791.58万元，增长39.6%。主要原因是本年度有人员的调入或调出，导致人员经费和公用经费进行了相应的调整，总体增加。二是其他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w:t>
      </w:r>
    </w:p>
    <w:p>
      <w:pPr>
        <w:pStyle w:val="9"/>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2789.33</w:t>
      </w:r>
      <w:r>
        <w:rPr>
          <w:rFonts w:ascii="方正仿宋_GBK" w:hAnsi="方正仿宋_GBK" w:eastAsia="方正仿宋_GBK" w:cs="方正仿宋_GBK"/>
          <w:sz w:val="32"/>
          <w:szCs w:val="32"/>
          <w:shd w:val="clear" w:color="auto" w:fill="FFFFFF"/>
        </w:rPr>
        <w:t>万元，与2023年度相比，增加791.58万元，增长39.6%。主要原因是主要原因一是本年度有人员的调入或调出，导致人员经费和公用经费进行了相应的调整，总体增加。二是其他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万元等项目较去年预算增加。较年初预算数增加1589.77万元，增长132.5%。主要原因是本年度有人员的调入或调出，导致人员经费和公用经费进行了相应的调整，总体增加。二是其他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万元等项目较去年预算增加，同时年初财政拨款结转和结余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2789.33</w:t>
      </w:r>
      <w:r>
        <w:rPr>
          <w:rFonts w:ascii="方正仿宋_GBK" w:hAnsi="方正仿宋_GBK" w:eastAsia="方正仿宋_GBK" w:cs="方正仿宋_GBK"/>
          <w:sz w:val="32"/>
          <w:szCs w:val="32"/>
          <w:shd w:val="clear" w:color="auto" w:fill="FFFFFF"/>
        </w:rPr>
        <w:t>万元，与2023年度相比，增加791.58万元，增长39.6%。主要原因是本年度有人员的调入或调出，导致人员经费和公用经费进行了相应的调整，总体增加。二是其他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万元等项目较去年预算增加。较年初预算数增加1589.77万元，增长132.5%。主要原因是年中追加了其他</w:t>
      </w:r>
      <w:r>
        <w:rPr>
          <w:rFonts w:hint="eastAsia" w:ascii="方正仿宋_GBK" w:hAnsi="方正仿宋_GBK" w:eastAsia="方正仿宋_GBK" w:cs="方正仿宋_GBK"/>
          <w:sz w:val="32"/>
          <w:szCs w:val="32"/>
          <w:shd w:val="clear" w:color="auto" w:fill="FFFFFF"/>
          <w:lang w:eastAsia="zh-CN"/>
        </w:rPr>
        <w:t>巩固拓展脱贫攻坚成果同乡村振兴有效衔接</w:t>
      </w:r>
      <w:r>
        <w:rPr>
          <w:rFonts w:ascii="方正仿宋_GBK" w:hAnsi="方正仿宋_GBK" w:eastAsia="方正仿宋_GBK" w:cs="方正仿宋_GBK"/>
          <w:sz w:val="32"/>
          <w:szCs w:val="32"/>
          <w:shd w:val="clear" w:color="auto" w:fill="FFFFFF"/>
        </w:rPr>
        <w:t>支出176.64万元等预算。</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673.42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24.14</w:t>
      </w:r>
      <w:r>
        <w:rPr>
          <w:rFonts w:ascii="方正仿宋_GBK" w:hAnsi="方正仿宋_GBK" w:eastAsia="方正仿宋_GBK" w:cs="方正仿宋_GBK"/>
          <w:sz w:val="32"/>
          <w:szCs w:val="32"/>
          <w:shd w:val="clear" w:color="auto" w:fill="FFFFFF"/>
        </w:rPr>
        <w:t>%，较年初预算数增加50.82万元，增长8.2%，主要原因是本年度有人员的调入或调出，导致人员经费和公用经费进行了相应的调整，总体增加。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205.43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w:t>
      </w:r>
      <w:r>
        <w:rPr>
          <w:rFonts w:ascii="方正仿宋_GBK" w:hAnsi="方正仿宋_GBK" w:eastAsia="方正仿宋_GBK" w:cs="方正仿宋_GBK"/>
          <w:sz w:val="32"/>
          <w:szCs w:val="32"/>
          <w:shd w:val="clear" w:color="auto" w:fill="FFFFFF"/>
        </w:rPr>
        <w:t>%，较年初预算数增加35.72万元，增长21.1%，主要原因一是2024年退休人员的退休补贴预算增加。二是特困人员的救助资金增加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w:t>
      </w:r>
      <w:r>
        <w:rPr>
          <w:rFonts w:ascii="方正仿宋_GBK" w:hAnsi="方正仿宋_GBK" w:eastAsia="方正仿宋_GBK" w:cs="方正仿宋_GBK"/>
          <w:sz w:val="32"/>
          <w:szCs w:val="32"/>
          <w:shd w:val="clear" w:color="auto" w:fill="FFFFFF"/>
        </w:rPr>
        <w:t>%，较年初预算数无增减，严格按照预算执行。</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%，较年初预算数增加65.65万元，增长100.0%，主要原因是2024年生态护林员选聘预算增加48.3万元。</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1644.88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58.97</w:t>
      </w:r>
      <w:r>
        <w:rPr>
          <w:rFonts w:ascii="方正仿宋_GBK" w:hAnsi="方正仿宋_GBK" w:eastAsia="方正仿宋_GBK" w:cs="方正仿宋_GBK"/>
          <w:sz w:val="32"/>
          <w:szCs w:val="32"/>
          <w:shd w:val="clear" w:color="auto" w:fill="FFFFFF"/>
        </w:rPr>
        <w:t>%，较年初预算数增加1332.59万元，增长426.7%，主要原因是2024年农作物种植基地项目建设追加资金89万元、2024年谭家村产业道路提升以工代赈项目追加580万元。</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2.29</w:t>
      </w:r>
      <w:r>
        <w:rPr>
          <w:rFonts w:ascii="方正仿宋_GBK" w:hAnsi="方正仿宋_GBK" w:eastAsia="方正仿宋_GBK" w:cs="方正仿宋_GBK"/>
          <w:sz w:val="32"/>
          <w:szCs w:val="32"/>
          <w:shd w:val="clear" w:color="auto" w:fill="FFFFFF"/>
        </w:rPr>
        <w:t>%，较年初预算数增加63.89万元，增长100.0%，主要原因是2024年8月峰灵镇农村公路项目追加预算63.89万元。</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住房保障支出60.46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%，较年初预算数增加6.50万元，增长12.1%，主要原因是年中追加农村危房改造项目资金6.5万元预算。</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灾害防治及应急管理支出34.59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%，较年初预算数增加34.59万元，增长100.0%，主要原因是其县级预备费救灾资金预算增加34.59万元。</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905.85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798.84</w:t>
      </w:r>
      <w:r>
        <w:rPr>
          <w:rFonts w:ascii="方正仿宋_GBK" w:hAnsi="方正仿宋_GBK" w:eastAsia="方正仿宋_GBK" w:cs="方正仿宋_GBK"/>
          <w:sz w:val="32"/>
          <w:szCs w:val="32"/>
          <w:shd w:val="clear" w:color="auto" w:fill="FFFFFF"/>
        </w:rPr>
        <w:t>万元，与2023年度相比，减少25.16万元，下降3.1%，主要原因是本单位本年度有人员调出、退休，相应的人员经费减少。人员经费用途主要包括基本工资、津贴补贴、奖金、绩效工资、社会保障缴费、住房公积金、医疗费、其他工资福利支出。公用经费</w:t>
      </w:r>
      <w:r>
        <w:rPr>
          <w:rFonts w:ascii="方正仿宋_GBK" w:hAnsi="方正仿宋_GBK" w:eastAsia="方正仿宋_GBK" w:cs="方正仿宋_GBK"/>
          <w:sz w:val="32"/>
          <w:szCs w:val="32"/>
        </w:rPr>
        <w:t>107.01</w:t>
      </w:r>
      <w:r>
        <w:rPr>
          <w:rFonts w:ascii="方正仿宋_GBK" w:hAnsi="方正仿宋_GBK" w:eastAsia="方正仿宋_GBK" w:cs="方正仿宋_GBK"/>
          <w:sz w:val="32"/>
          <w:szCs w:val="32"/>
          <w:shd w:val="clear" w:color="auto" w:fill="FFFFFF"/>
        </w:rPr>
        <w:t>万元，与2023年度相比，减少6.21万元，下降5.5%，主要原因是人员的变动，经费减少。公用经费用途主要包括办公费、印刷费、水费、电费、差旅费、公务接待费、福利费、其他商品和服务支出、公务用车运行维护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hd w:val="clear" w:color="auto" w:fill="FFFFFF"/>
        <w:spacing w:before="0" w:beforeAutospacing="0" w:after="0" w:afterAutospacing="0" w:line="596" w:lineRule="exact"/>
        <w:ind w:left="638" w:leftChars="266"/>
        <w:rPr>
          <w:rStyle w:val="8"/>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r>
        <w:rPr>
          <w:rStyle w:val="8"/>
          <w:rFonts w:ascii="黑体" w:hAnsi="黑体" w:eastAsia="黑体" w:cs="黑体"/>
          <w:sz w:val="32"/>
          <w:szCs w:val="32"/>
          <w:shd w:val="clear" w:color="auto" w:fill="FFFFFF"/>
        </w:rPr>
        <w:t>三、财政拨款“三公”经费情况说明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万元，较年初预算数无增减，主要原因是严格按预算控制执行，认真贯彻落实中央八项规定精神。较上年支出数增加7.64万元，增长49.7%，主要原因是人员新增导致</w:t>
      </w:r>
      <w:r>
        <w:rPr>
          <w:rFonts w:hint="eastAsia" w:ascii="方正仿宋_GBK" w:hAnsi="方正仿宋_GBK" w:eastAsia="方正仿宋_GBK" w:cs="方正仿宋_GBK"/>
          <w:sz w:val="32"/>
          <w:szCs w:val="32"/>
          <w:shd w:val="clear" w:color="auto" w:fill="FFFFFF"/>
        </w:rPr>
        <w:t>“三公”经费</w:t>
      </w:r>
      <w:bookmarkStart w:id="0" w:name="_GoBack"/>
      <w:bookmarkEnd w:id="0"/>
      <w:r>
        <w:rPr>
          <w:rFonts w:ascii="方正仿宋_GBK" w:hAnsi="方正仿宋_GBK" w:eastAsia="方正仿宋_GBK" w:cs="方正仿宋_GBK"/>
          <w:sz w:val="32"/>
          <w:szCs w:val="32"/>
          <w:shd w:val="clear" w:color="auto" w:fill="FFFFFF"/>
        </w:rPr>
        <w:t>支出较上年增加。</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2024年度本单位因公出国（境）费用0.00万元。费用支出较年初预算无增减，主要原因是本年度未产生因公出国（境）情况。</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rPr>
        <w:t>2023年未产生因公出国（境）情况</w:t>
      </w:r>
    </w:p>
    <w:p>
      <w:pPr>
        <w:pStyle w:val="9"/>
        <w:autoSpaceDE w:val="0"/>
        <w:ind w:firstLine="0"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本年度未进行公务车购置。</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rPr>
        <w:t>2023年度本年度未进行公务车购置。</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下村指导业务、市内因公出行、业务检查等工作所需车辆的燃料费、维修费、过桥过路费、保险费等。费用支出较年初预算数无增减，主要原因是严格按预算控制执行。较上年支出数增加1.96万元，增长38.9%，主要原因是下村指导业务、市内因公出行等次数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16.00</w:t>
      </w:r>
      <w:r>
        <w:rPr>
          <w:rFonts w:ascii="方正仿宋_GBK" w:hAnsi="方正仿宋_GBK" w:eastAsia="方正仿宋_GBK" w:cs="方正仿宋_GBK"/>
          <w:sz w:val="32"/>
          <w:szCs w:val="32"/>
          <w:shd w:val="clear" w:color="auto" w:fill="FFFFFF"/>
        </w:rPr>
        <w:t>万元，主要用于接待接受相关部门检查指导工作等方面发生的费用支出。费用支出较年初预算数无增减，主要原因是严格按预算控制执行。较上年支出数增加5.68万元，增长55.0%，主要原因是接待县级调研、检查活动增加。</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2841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56.32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2"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10.20</w:t>
      </w:r>
      <w:r>
        <w:rPr>
          <w:rFonts w:ascii="方正仿宋_GBK" w:hAnsi="方正仿宋_GBK" w:eastAsia="方正仿宋_GBK" w:cs="方正仿宋_GBK"/>
          <w:sz w:val="32"/>
          <w:szCs w:val="32"/>
          <w:shd w:val="clear" w:color="auto" w:fill="FFFFFF"/>
        </w:rPr>
        <w:t>万元，与2023年度相比，增加2.50万元，增长32.5%，主要原因是镇村两级干部大会次数增加。本年度培训费支出</w:t>
      </w:r>
      <w:r>
        <w:rPr>
          <w:rFonts w:ascii="方正仿宋_GBK" w:hAnsi="方正仿宋_GBK" w:eastAsia="方正仿宋_GBK" w:cs="方正仿宋_GBK"/>
          <w:sz w:val="32"/>
          <w:szCs w:val="32"/>
        </w:rPr>
        <w:t>2.50</w:t>
      </w:r>
      <w:r>
        <w:rPr>
          <w:rFonts w:ascii="方正仿宋_GBK" w:hAnsi="方正仿宋_GBK" w:eastAsia="方正仿宋_GBK" w:cs="方正仿宋_GBK"/>
          <w:sz w:val="32"/>
          <w:szCs w:val="32"/>
          <w:shd w:val="clear" w:color="auto" w:fill="FFFFFF"/>
        </w:rPr>
        <w:t>万元，与2023年度相比，增加1.50万元，增长150.0%，主要原因是村干部培训会议。</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77.04</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sz w:val="32"/>
          <w:szCs w:val="32"/>
          <w:shd w:val="clear" w:color="auto" w:fill="FFFFFF"/>
        </w:rPr>
        <w:t>机关日常办公开支，如办公用品购置、水电通信费、印刷费、公车维修加油、人员出差及培训等方面。</w:t>
      </w:r>
      <w:r>
        <w:rPr>
          <w:rFonts w:ascii="方正仿宋_GBK" w:hAnsi="方正仿宋_GBK" w:eastAsia="方正仿宋_GBK" w:cs="方正仿宋_GBK"/>
          <w:sz w:val="32"/>
          <w:szCs w:val="32"/>
          <w:shd w:val="clear" w:color="auto" w:fill="FFFFFF"/>
        </w:rPr>
        <w:t>机关运行经费较上年支出数减少3.51万元，下降4.4%，主要原因是严格按预算控制执行，厉行节约，压缩公用经费。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2.70万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%。主要用于采购主要用于采购林业站办公设备。</w:t>
      </w:r>
    </w:p>
    <w:p>
      <w:pPr>
        <w:pStyle w:val="10"/>
        <w:spacing w:before="0" w:beforeAutospacing="0" w:after="0" w:afterAutospacing="0" w:line="596" w:lineRule="exact"/>
        <w:ind w:firstLine="642" w:firstLineChars="200"/>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五、2024年度预算绩效管理情况说明</w:t>
      </w:r>
    </w:p>
    <w:p>
      <w:pPr>
        <w:pStyle w:val="10"/>
        <w:autoSpaceDE w:val="0"/>
        <w:spacing w:before="0" w:beforeAutospacing="0" w:after="0" w:afterAutospacing="0" w:line="596"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pacing w:before="0" w:beforeAutospacing="0"/>
        <w:ind w:firstLine="640" w:firstLineChars="200"/>
        <w:jc w:val="both"/>
        <w:rPr>
          <w:rFonts w:hint="default" w:ascii="方正仿宋_GBK" w:hAnsi="方正仿宋_GBK" w:eastAsia="方正仿宋_GBK" w:cs="方正仿宋_GBK"/>
          <w:color w:val="333333"/>
          <w:sz w:val="31"/>
          <w:szCs w:val="31"/>
          <w:shd w:val="clear" w:color="auto" w:fill="FFFFFF"/>
        </w:rPr>
      </w:pPr>
      <w:r>
        <w:rPr>
          <w:rFonts w:ascii="方正仿宋_GBK" w:hAnsi="方正仿宋_GBK" w:eastAsia="方正仿宋_GBK" w:cs="方正仿宋_GBK"/>
          <w:sz w:val="32"/>
          <w:szCs w:val="32"/>
          <w:shd w:val="clear" w:color="auto" w:fill="FFFFFF"/>
        </w:rPr>
        <w:t>根据预算绩效管理要求，我单位对部门整体和61个二级项目开展了绩效自评，涉及财政拨款项目支出资金1883.48万元。</w:t>
      </w:r>
      <w:r>
        <w:rPr>
          <w:rFonts w:ascii="方正仿宋_GBK" w:hAnsi="方正仿宋_GBK" w:eastAsia="方正仿宋_GBK" w:cs="方正仿宋_GBK"/>
          <w:color w:val="333333"/>
          <w:sz w:val="31"/>
          <w:szCs w:val="31"/>
          <w:shd w:val="clear" w:color="auto" w:fill="FFFFFF"/>
        </w:rPr>
        <w:t>从评价情况来看，各项总体目标情况完成良好，资金及时拨付到位，年度绩效指标完成良好。</w:t>
      </w:r>
    </w:p>
    <w:p>
      <w:pPr>
        <w:pStyle w:val="5"/>
        <w:spacing w:before="0" w:beforeAutospacing="0"/>
        <w:ind w:firstLine="620" w:firstLineChars="200"/>
        <w:jc w:val="both"/>
        <w:rPr>
          <w:rFonts w:hint="default" w:ascii="方正仿宋_GBK" w:hAnsi="方正仿宋_GBK" w:eastAsia="方正仿宋_GBK" w:cs="方正仿宋_GBK"/>
          <w:color w:val="333333"/>
          <w:sz w:val="31"/>
          <w:szCs w:val="31"/>
          <w:shd w:val="clear" w:color="auto" w:fill="FFFFFF"/>
        </w:rPr>
      </w:pPr>
      <w:r>
        <w:rPr>
          <w:rFonts w:ascii="方正仿宋_GBK" w:hAnsi="方正仿宋_GBK" w:eastAsia="方正仿宋_GBK" w:cs="方正仿宋_GBK"/>
          <w:color w:val="333333"/>
          <w:sz w:val="31"/>
          <w:szCs w:val="31"/>
          <w:shd w:val="clear" w:color="auto" w:fill="FFFFFF"/>
        </w:rPr>
        <w:t>部门整体绩效自评表见附件1</w:t>
      </w:r>
    </w:p>
    <w:p>
      <w:pPr>
        <w:pStyle w:val="5"/>
        <w:spacing w:before="0" w:beforeAutospacing="0"/>
        <w:ind w:firstLine="620" w:firstLineChars="200"/>
        <w:jc w:val="both"/>
        <w:rPr>
          <w:rFonts w:hint="default" w:ascii="方正仿宋_GBK" w:hAnsi="方正仿宋_GBK" w:eastAsia="方正仿宋_GBK" w:cs="方正仿宋_GBK"/>
          <w:color w:val="333333"/>
          <w:sz w:val="31"/>
          <w:szCs w:val="31"/>
          <w:shd w:val="clear" w:color="auto" w:fill="FFFFFF"/>
        </w:rPr>
      </w:pPr>
      <w:r>
        <w:rPr>
          <w:rFonts w:ascii="方正仿宋_GBK" w:hAnsi="方正仿宋_GBK" w:eastAsia="方正仿宋_GBK" w:cs="方正仿宋_GBK"/>
          <w:color w:val="333333"/>
          <w:sz w:val="31"/>
          <w:szCs w:val="31"/>
          <w:shd w:val="clear" w:color="auto" w:fill="FFFFFF"/>
        </w:rPr>
        <w:t>项目支出绩效自评表见附件2</w:t>
      </w:r>
    </w:p>
    <w:p>
      <w:pPr>
        <w:pStyle w:val="10"/>
        <w:autoSpaceDE w:val="0"/>
        <w:spacing w:before="0" w:beforeAutospacing="0" w:after="0" w:afterAutospacing="0" w:line="596"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9"/>
        <w:autoSpaceDE w:val="0"/>
        <w:ind w:firstLine="620"/>
        <w:rPr>
          <w:rFonts w:ascii="楷体" w:hAnsi="楷体" w:eastAsia="楷体" w:cs="楷体"/>
          <w:b/>
          <w:bCs/>
          <w:sz w:val="32"/>
          <w:szCs w:val="32"/>
          <w:shd w:val="clear" w:color="auto" w:fill="FFFFFF"/>
        </w:rPr>
      </w:pPr>
      <w:r>
        <w:rPr>
          <w:rFonts w:hint="eastAsia" w:ascii="方正仿宋_GBK" w:hAnsi="方正仿宋_GBK" w:eastAsia="方正仿宋_GBK" w:cs="方正仿宋_GBK"/>
          <w:color w:val="333333"/>
          <w:sz w:val="31"/>
          <w:szCs w:val="31"/>
          <w:shd w:val="clear" w:color="auto" w:fill="FFFFFF"/>
        </w:rPr>
        <w:t>我单位未组织开展绩效评价</w:t>
      </w:r>
    </w:p>
    <w:p>
      <w:pPr>
        <w:pStyle w:val="12"/>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8"/>
          <w:rFonts w:hint="eastAsia" w:ascii="黑体" w:hAnsi="黑体" w:eastAsia="黑体" w:cs="黑体"/>
          <w:sz w:val="32"/>
          <w:szCs w:val="32"/>
          <w:shd w:val="clear" w:color="auto" w:fill="FFFFFF"/>
        </w:rPr>
        <w:t xml:space="preserve"> 六、专业名词解释</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pPr>
        <w:pStyle w:val="10"/>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 023-51717088</w:t>
      </w: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附件1</w:t>
      </w:r>
    </w:p>
    <w:tbl>
      <w:tblPr>
        <w:tblStyle w:val="6"/>
        <w:tblW w:w="13990" w:type="dxa"/>
        <w:tblInd w:w="0" w:type="dxa"/>
        <w:tblLayout w:type="fixed"/>
        <w:tblCellMar>
          <w:top w:w="0" w:type="dxa"/>
          <w:left w:w="0" w:type="dxa"/>
          <w:bottom w:w="0" w:type="dxa"/>
          <w:right w:w="0" w:type="dxa"/>
        </w:tblCellMar>
      </w:tblPr>
      <w:tblGrid>
        <w:gridCol w:w="1432"/>
        <w:gridCol w:w="1492"/>
        <w:gridCol w:w="1492"/>
        <w:gridCol w:w="1612"/>
        <w:gridCol w:w="851"/>
        <w:gridCol w:w="1528"/>
        <w:gridCol w:w="1069"/>
        <w:gridCol w:w="1532"/>
        <w:gridCol w:w="625"/>
        <w:gridCol w:w="1231"/>
        <w:gridCol w:w="1126"/>
      </w:tblGrid>
      <w:tr>
        <w:tblPrEx>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2024年度部门整体绩效自评表</w:t>
            </w:r>
          </w:p>
        </w:tc>
      </w:tr>
      <w:tr>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b/>
                <w:color w:val="DA3232"/>
                <w:sz w:val="22"/>
                <w:szCs w:val="22"/>
              </w:rPr>
            </w:pPr>
            <w:r>
              <w:rPr>
                <w:rFonts w:cs="宋体"/>
                <w:b/>
                <w:color w:val="DA3232"/>
                <w:sz w:val="22"/>
                <w:szCs w:val="22"/>
              </w:rPr>
              <w:t>状态：业务审核已审</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巫溪县峰灵镇人民政府整体监控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50023800024P000074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99.75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505-巫溪县峰灵镇人民政府</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010-基财科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戴志平</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13668496946</w:t>
            </w:r>
          </w:p>
        </w:tc>
      </w:tr>
      <w:tr>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tblPrEx>
          <w:tblCellMar>
            <w:top w:w="0" w:type="dxa"/>
            <w:left w:w="0" w:type="dxa"/>
            <w:bottom w:w="0" w:type="dxa"/>
            <w:right w:w="0" w:type="dxa"/>
          </w:tblCellMar>
        </w:tblPrEx>
        <w:trPr>
          <w:trHeight w:val="500" w:hRule="atLeast"/>
        </w:trPr>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rPr>
              <w:t>执行率权重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年度总金额</w:t>
            </w:r>
          </w:p>
        </w:tc>
        <w:tc>
          <w:tcPr>
            <w:tcW w:w="14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9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11,995,589.46 </w:t>
            </w:r>
          </w:p>
        </w:tc>
        <w:tc>
          <w:tcPr>
            <w:tcW w:w="8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28,611,077.83 </w:t>
            </w:r>
          </w:p>
        </w:tc>
        <w:tc>
          <w:tcPr>
            <w:tcW w:w="10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27,893,325.83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其中：财政拨款</w:t>
            </w:r>
          </w:p>
        </w:tc>
        <w:tc>
          <w:tcPr>
            <w:tcW w:w="14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9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11,995,589.46 </w:t>
            </w:r>
          </w:p>
        </w:tc>
        <w:tc>
          <w:tcPr>
            <w:tcW w:w="8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28,611,077.83 </w:t>
            </w:r>
          </w:p>
        </w:tc>
        <w:tc>
          <w:tcPr>
            <w:tcW w:w="10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27,893,325.83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97.49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10.00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9.75 </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一般公共预算</w:t>
            </w:r>
          </w:p>
        </w:tc>
        <w:tc>
          <w:tcPr>
            <w:tcW w:w="14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9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11,995,589.46 </w:t>
            </w:r>
          </w:p>
        </w:tc>
        <w:tc>
          <w:tcPr>
            <w:tcW w:w="85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28,611,077.83 </w:t>
            </w:r>
          </w:p>
        </w:tc>
        <w:tc>
          <w:tcPr>
            <w:tcW w:w="106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5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27,893,325.83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97.49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tblPrEx>
          <w:tblCellMar>
            <w:top w:w="0" w:type="dxa"/>
            <w:left w:w="0" w:type="dxa"/>
            <w:bottom w:w="0" w:type="dxa"/>
            <w:right w:w="0" w:type="dxa"/>
          </w:tblCellMar>
        </w:tblPrEx>
        <w:trPr>
          <w:trHeight w:val="500" w:hRule="atLeast"/>
        </w:trPr>
        <w:tc>
          <w:tcPr>
            <w:tcW w:w="60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298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CellMar>
            <w:top w:w="0" w:type="dxa"/>
            <w:left w:w="0" w:type="dxa"/>
            <w:bottom w:w="0" w:type="dxa"/>
            <w:right w:w="0" w:type="dxa"/>
          </w:tblCellMar>
        </w:tblPrEx>
        <w:trPr>
          <w:trHeight w:val="3520" w:hRule="atLeast"/>
        </w:trPr>
        <w:tc>
          <w:tcPr>
            <w:tcW w:w="60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after="220"/>
              <w:textAlignment w:val="top"/>
              <w:rPr>
                <w:rFonts w:hint="default" w:cs="宋体"/>
                <w:color w:val="000000"/>
                <w:sz w:val="22"/>
                <w:szCs w:val="22"/>
              </w:rPr>
            </w:pPr>
            <w:r>
              <w:rPr>
                <w:rFonts w:cs="宋体"/>
                <w:color w:val="000000"/>
                <w:sz w:val="22"/>
                <w:szCs w:val="22"/>
              </w:rPr>
              <w:t>第一保证本级人民政府和11个村、1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29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rPr>
              <w:t>第一保证本级人民政府和11个村、1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CellMar>
            <w:top w:w="0" w:type="dxa"/>
            <w:left w:w="0" w:type="dxa"/>
            <w:bottom w:w="0" w:type="dxa"/>
            <w:right w:w="0" w:type="dxa"/>
          </w:tblCellMar>
        </w:tblPrEx>
        <w:trPr>
          <w:trHeight w:val="84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发布新闻动态数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条</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4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预决算情况按时公示率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4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惠民惠农政策落实率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4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信访工作完成率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4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群众对政务工作满意度</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0"/>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附件2</w:t>
      </w:r>
    </w:p>
    <w:tbl>
      <w:tblPr>
        <w:tblStyle w:val="6"/>
        <w:tblW w:w="13035" w:type="dxa"/>
        <w:tblInd w:w="0" w:type="dxa"/>
        <w:tblLayout w:type="autofit"/>
        <w:tblCellMar>
          <w:top w:w="0" w:type="dxa"/>
          <w:left w:w="0" w:type="dxa"/>
          <w:bottom w:w="0" w:type="dxa"/>
          <w:right w:w="0" w:type="dxa"/>
        </w:tblCellMar>
      </w:tblPr>
      <w:tblGrid>
        <w:gridCol w:w="1496"/>
        <w:gridCol w:w="1398"/>
        <w:gridCol w:w="1374"/>
        <w:gridCol w:w="1497"/>
        <w:gridCol w:w="1078"/>
        <w:gridCol w:w="1384"/>
        <w:gridCol w:w="1462"/>
        <w:gridCol w:w="969"/>
        <w:gridCol w:w="868"/>
        <w:gridCol w:w="1287"/>
        <w:gridCol w:w="1177"/>
      </w:tblGrid>
      <w:tr>
        <w:tblPrEx>
          <w:tblCellMar>
            <w:top w:w="0" w:type="dxa"/>
            <w:left w:w="0" w:type="dxa"/>
            <w:bottom w:w="0" w:type="dxa"/>
            <w:right w:w="0" w:type="dxa"/>
          </w:tblCellMar>
        </w:tblPrEx>
        <w:trPr>
          <w:trHeight w:val="800" w:hRule="atLeast"/>
        </w:trPr>
        <w:tc>
          <w:tcPr>
            <w:tcW w:w="1303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rPr>
              <w:t>2024年度二级项目绩效自评表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b/>
                <w:color w:val="DA3232"/>
                <w:sz w:val="22"/>
                <w:szCs w:val="22"/>
              </w:rPr>
            </w:pPr>
            <w:r>
              <w:rPr>
                <w:rFonts w:cs="宋体"/>
                <w:b/>
                <w:color w:val="DA3232"/>
                <w:sz w:val="22"/>
                <w:szCs w:val="22"/>
              </w:rPr>
              <w:t>状态：业务审核已审</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项目名称：</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巫溪县峰灵镇谭家村2022-2023年农村人居环境整治项目溪乡振发【2022】113号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项目编码：</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50023823T000003698642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505-巫溪县峰灵镇人民政府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张杨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rPr>
              <w:t>联系电话：</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15826394197</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执行率得分</w:t>
            </w: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16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全年目标实际完成情况</w:t>
            </w:r>
          </w:p>
        </w:tc>
      </w:tr>
      <w:tr>
        <w:tblPrEx>
          <w:tblCellMar>
            <w:top w:w="0" w:type="dxa"/>
            <w:left w:w="0" w:type="dxa"/>
            <w:bottom w:w="0" w:type="dxa"/>
            <w:right w:w="0" w:type="dxa"/>
          </w:tblCellMar>
        </w:tblPrEx>
        <w:trPr>
          <w:trHeight w:val="2520"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c>
          <w:tcPr>
            <w:tcW w:w="5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说明</w:t>
            </w: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圈舍整修、院坝硬化、院坝加固数量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新建公厕面积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新建污水沟长度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硬化入户路里程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pP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pP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pPr>
    </w:p>
    <w:p>
      <w:pPr>
        <w:pStyle w:val="9"/>
        <w:autoSpaceDE w:val="0"/>
        <w:spacing w:line="596" w:lineRule="exact"/>
        <w:ind w:firstLine="0" w:firstLineChars="0"/>
        <w:jc w:val="both"/>
        <w:rPr>
          <w:rStyle w:val="8"/>
          <w:rFonts w:ascii="方正仿宋_GBK" w:hAnsi="方正仿宋_GBK" w:eastAsia="方正仿宋_GBK" w:cs="方正仿宋_GBK"/>
          <w:sz w:val="32"/>
          <w:szCs w:val="32"/>
          <w:shd w:val="clear" w:color="auto" w:fill="FFFF00"/>
        </w:rPr>
        <w:sectPr>
          <w:pgSz w:w="16840" w:h="11915" w:orient="landscape"/>
          <w:pgMar w:top="1800" w:right="1440" w:bottom="1800" w:left="144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sz w:val="20"/>
              </w:rPr>
              <w:t>巫溪县峰灵镇人民政府</w:t>
            </w:r>
          </w:p>
        </w:tc>
        <w:tc>
          <w:tcPr>
            <w:tcW w:w="434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673.42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205.43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41.01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65.65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1,644.88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60.46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2,789.33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2,789.33</w:t>
            </w:r>
          </w:p>
        </w:tc>
      </w:tr>
    </w:tbl>
    <w:p>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cs="Arial"/>
                <w:color w:val="000000"/>
                <w:sz w:val="20"/>
                <w:szCs w:val="20"/>
              </w:rPr>
            </w:pPr>
            <w:r>
              <w:rPr>
                <w:rFonts w:cs="宋体"/>
                <w:sz w:val="21"/>
                <w:szCs w:val="21"/>
              </w:rPr>
              <w:t>部门</w:t>
            </w:r>
            <w:r>
              <w:rPr>
                <w:rFonts w:cs="宋体"/>
                <w:sz w:val="20"/>
                <w:szCs w:val="20"/>
              </w:rPr>
              <w:t>：</w:t>
            </w:r>
            <w:r>
              <w:rPr>
                <w:sz w:val="20"/>
              </w:rPr>
              <w:t>巫溪县峰灵镇人民政府</w:t>
            </w:r>
          </w:p>
        </w:tc>
        <w:tc>
          <w:tcPr>
            <w:tcW w:w="2408" w:type="dxa"/>
            <w:tcBorders>
              <w:top w:val="nil"/>
              <w:left w:val="nil"/>
              <w:right w:val="nil"/>
            </w:tcBorders>
            <w:shd w:val="clear" w:color="auto" w:fill="auto"/>
            <w:vAlign w:val="bottom"/>
          </w:tcPr>
          <w:p>
            <w:pPr>
              <w:jc w:val="right"/>
              <w:textAlignment w:val="bottom"/>
              <w:rPr>
                <w:rFonts w:hint="default" w:ascii="Arial" w:hAnsi="Arial" w:cs="Arial"/>
                <w:color w:val="000000"/>
                <w:sz w:val="20"/>
                <w:szCs w:val="20"/>
              </w:rPr>
            </w:pPr>
            <w:r>
              <w:rPr>
                <w:rFonts w:cs="宋体"/>
                <w:color w:val="000000"/>
                <w:sz w:val="20"/>
                <w:szCs w:val="20"/>
              </w:rPr>
              <w:t>02表</w:t>
            </w:r>
          </w:p>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2,789.33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2,789.33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673.42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673.42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1,644.88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1,644.88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2130316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eastAsia" w:eastAsia="宋体" w:cs="宋体"/>
                <w:color w:val="000000"/>
                <w:sz w:val="22"/>
                <w:szCs w:val="22"/>
                <w:lang w:eastAsia="zh-CN"/>
              </w:rPr>
            </w:pPr>
            <w:r>
              <w:rPr>
                <w:rFonts w:hint="eastAsia" w:cs="宋体"/>
                <w:b/>
                <w:color w:val="000000"/>
                <w:sz w:val="22"/>
                <w:szCs w:val="22"/>
                <w:lang w:eastAsia="zh-CN"/>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1,112.45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1,112.45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w:t>
            </w:r>
            <w:r>
              <w:rPr>
                <w:rFonts w:hint="eastAsia" w:cs="宋体"/>
                <w:color w:val="000000"/>
                <w:sz w:val="22"/>
                <w:szCs w:val="22"/>
                <w:lang w:eastAsia="zh-CN"/>
              </w:rPr>
              <w:t>巩固拓展脱贫攻坚成果同乡村振兴有效衔接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巫溪县峰灵镇人民政府 </w:t>
            </w: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2,789.33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905.85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1,883.48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673.42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1,644.88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1,606.91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2130316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eastAsia" w:eastAsia="宋体" w:cs="宋体"/>
                <w:color w:val="000000"/>
                <w:sz w:val="22"/>
                <w:szCs w:val="22"/>
                <w:lang w:eastAsia="zh-CN"/>
              </w:rPr>
            </w:pPr>
            <w:r>
              <w:rPr>
                <w:rFonts w:hint="eastAsia" w:cs="宋体"/>
                <w:b/>
                <w:color w:val="000000"/>
                <w:sz w:val="22"/>
                <w:szCs w:val="22"/>
                <w:lang w:eastAsia="zh-CN"/>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1,112.45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1,084.39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w:t>
            </w:r>
            <w:r>
              <w:rPr>
                <w:rFonts w:hint="eastAsia" w:cs="宋体"/>
                <w:color w:val="000000"/>
                <w:sz w:val="22"/>
                <w:szCs w:val="22"/>
                <w:lang w:eastAsia="zh-CN"/>
              </w:rPr>
              <w:t>巩固拓展脱贫攻坚成果同乡村振兴有效衔接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673.42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673.42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205.43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205.43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1,644.88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1,644.88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63.89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63.89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2,789.33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2,789.33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905.85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1,883.48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2,789.33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905.85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1,883.48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673.42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611.93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673.42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611.93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658.41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611.93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658.41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611.93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386.03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386.03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386.03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386.03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225.90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225.90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225.90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225.90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205.43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44.45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205.43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44.45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160.98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75.86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75.86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75.86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41.19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41.19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41.19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41.19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41.01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12.97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12.97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12.97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12.97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65.65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65.65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65.65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65.65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1,644.88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37.97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1,606.91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1,644.88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37.97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1,606.91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139.27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139.27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9.92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129.35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20.38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10.39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9.92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0.47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10.39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9.92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0.47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89.72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89.72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18.77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18.77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18.77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18.77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22.99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22.99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2130316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农村水利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1,112.45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28.06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1,084.39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1,112.45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28.06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1,084.39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620.08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620.08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620.08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620.08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315.73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315.73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315.73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315.73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176.64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148.58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176.64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28.06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148.58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351.40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351.40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351.40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351.40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49.26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49.26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49.26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49.26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302.14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302.14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302.14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302.14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60.46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53.96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53.96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53.96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53.96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53.96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34.59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34.59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34.59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34.59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决算数</w:t>
            </w:r>
          </w:p>
        </w:tc>
      </w:tr>
      <w:tr>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724.94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104.31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161.77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110.88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125.29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112.56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75.89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41.19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41.01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53.96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73.90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31.16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42.74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20.28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olor w:val="000000"/>
                <w:sz w:val="22"/>
                <w:szCs w:val="22"/>
              </w:rPr>
            </w:pPr>
          </w:p>
        </w:tc>
      </w:tr>
      <w:tr>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798.84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107.01 </w:t>
            </w:r>
          </w:p>
        </w:tc>
      </w:tr>
    </w:tbl>
    <w:p>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cs="宋体"/>
                <w:color w:val="000000"/>
                <w:sz w:val="22"/>
                <w:szCs w:val="22"/>
              </w:rPr>
            </w:pPr>
          </w:p>
        </w:tc>
      </w:tr>
      <w:tr>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部门：</w:t>
            </w:r>
            <w:r>
              <w:rPr>
                <w:color w:val="000000"/>
                <w:sz w:val="20"/>
              </w:rPr>
              <w:t>巫溪县峰灵镇人民政府</w:t>
            </w: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hint="default" w:cs="宋体"/>
          <w:sz w:val="21"/>
          <w:szCs w:val="21"/>
        </w:rPr>
      </w:pP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jc w:val="center"/>
              <w:textAlignment w:val="bottom"/>
              <w:rPr>
                <w:rFonts w:hint="default" w:cs="宋体"/>
                <w:color w:val="000000"/>
                <w:sz w:val="44"/>
                <w:szCs w:val="44"/>
              </w:rPr>
            </w:pPr>
            <w:r>
              <w:rPr>
                <w:rFonts w:cs="宋体"/>
                <w:b/>
                <w:bCs/>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cs="Arial"/>
                <w:color w:val="000000"/>
                <w:sz w:val="20"/>
                <w:szCs w:val="20"/>
              </w:rPr>
            </w:pPr>
            <w:r>
              <w:rPr>
                <w:rFonts w:cs="宋体"/>
                <w:color w:val="000000"/>
                <w:sz w:val="20"/>
                <w:szCs w:val="20"/>
              </w:rPr>
              <w:t>部门：</w:t>
            </w:r>
            <w:r>
              <w:rPr>
                <w:color w:val="000000"/>
                <w:sz w:val="20"/>
              </w:rPr>
              <w:t>巫溪县峰灵镇人民政府</w:t>
            </w:r>
          </w:p>
        </w:tc>
        <w:tc>
          <w:tcPr>
            <w:tcW w:w="413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09表</w:t>
            </w:r>
          </w:p>
        </w:tc>
      </w:tr>
      <w:tr>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77.04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23.00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77.04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16.00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16.00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288</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2,841</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10.20</w:t>
            </w:r>
          </w:p>
        </w:tc>
        <w:tc>
          <w:tcPr>
            <w:tcW w:w="5416" w:type="dxa"/>
            <w:tcBorders>
              <w:top w:val="nil"/>
              <w:left w:val="nil"/>
              <w:bottom w:val="single" w:color="auto" w:sz="4" w:space="0"/>
              <w:right w:val="single" w:color="000000" w:sz="4" w:space="0"/>
            </w:tcBorders>
            <w:shd w:val="clear" w:color="auto" w:fill="auto"/>
            <w:vAlign w:val="center"/>
          </w:tcPr>
          <w:p>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9"/>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sans-serif">
    <w:altName w:val="汉仪新人文宋简"/>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D7BCC"/>
    <w:rsid w:val="002A670F"/>
    <w:rsid w:val="00550ABE"/>
    <w:rsid w:val="007B419D"/>
    <w:rsid w:val="008E571F"/>
    <w:rsid w:val="009B67B8"/>
    <w:rsid w:val="00B03CCD"/>
    <w:rsid w:val="00BB43CD"/>
    <w:rsid w:val="01474EBF"/>
    <w:rsid w:val="01F3521E"/>
    <w:rsid w:val="03AB512F"/>
    <w:rsid w:val="03E3214F"/>
    <w:rsid w:val="04446191"/>
    <w:rsid w:val="044C50BA"/>
    <w:rsid w:val="0536621F"/>
    <w:rsid w:val="05714A4C"/>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0F1B87"/>
    <w:rsid w:val="0C554661"/>
    <w:rsid w:val="0C7927C4"/>
    <w:rsid w:val="0C9B098C"/>
    <w:rsid w:val="0CE44807"/>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882A2C"/>
    <w:rsid w:val="13A71CB4"/>
    <w:rsid w:val="13AF1D43"/>
    <w:rsid w:val="13CE1647"/>
    <w:rsid w:val="14200702"/>
    <w:rsid w:val="144F3F11"/>
    <w:rsid w:val="146F601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4B1613"/>
    <w:rsid w:val="24B92327"/>
    <w:rsid w:val="2533755C"/>
    <w:rsid w:val="26396DF4"/>
    <w:rsid w:val="266B763B"/>
    <w:rsid w:val="27167136"/>
    <w:rsid w:val="27B23302"/>
    <w:rsid w:val="27D424D7"/>
    <w:rsid w:val="285722C3"/>
    <w:rsid w:val="28851D17"/>
    <w:rsid w:val="28DC1FF8"/>
    <w:rsid w:val="29310A5F"/>
    <w:rsid w:val="29C37A35"/>
    <w:rsid w:val="2A076083"/>
    <w:rsid w:val="2A306CA5"/>
    <w:rsid w:val="2A73162E"/>
    <w:rsid w:val="2AFA2E94"/>
    <w:rsid w:val="2B167953"/>
    <w:rsid w:val="2B200583"/>
    <w:rsid w:val="2B8209DE"/>
    <w:rsid w:val="2C6762A3"/>
    <w:rsid w:val="2D347D0A"/>
    <w:rsid w:val="2D5F4C37"/>
    <w:rsid w:val="2FE029D7"/>
    <w:rsid w:val="2FF06E00"/>
    <w:rsid w:val="315F0B22"/>
    <w:rsid w:val="317F590D"/>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4D2387"/>
    <w:rsid w:val="426C1EA8"/>
    <w:rsid w:val="42E86A87"/>
    <w:rsid w:val="43136432"/>
    <w:rsid w:val="443A3B12"/>
    <w:rsid w:val="44487B36"/>
    <w:rsid w:val="44EF6BE8"/>
    <w:rsid w:val="45A30364"/>
    <w:rsid w:val="465B470D"/>
    <w:rsid w:val="469D6AD4"/>
    <w:rsid w:val="47674801"/>
    <w:rsid w:val="48225EF7"/>
    <w:rsid w:val="48A36D47"/>
    <w:rsid w:val="48D52B5D"/>
    <w:rsid w:val="495C4A24"/>
    <w:rsid w:val="49A21DF3"/>
    <w:rsid w:val="49C811E4"/>
    <w:rsid w:val="4A216E30"/>
    <w:rsid w:val="4B465084"/>
    <w:rsid w:val="4B7951CB"/>
    <w:rsid w:val="4B7C315C"/>
    <w:rsid w:val="4B9300D7"/>
    <w:rsid w:val="4BAB7F90"/>
    <w:rsid w:val="4BD53EDA"/>
    <w:rsid w:val="4BE11807"/>
    <w:rsid w:val="4C484CE5"/>
    <w:rsid w:val="4DAC4ACA"/>
    <w:rsid w:val="4DD06F63"/>
    <w:rsid w:val="4E043596"/>
    <w:rsid w:val="4E397C6D"/>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981E92"/>
    <w:rsid w:val="5EFA176D"/>
    <w:rsid w:val="5F0247F9"/>
    <w:rsid w:val="5F2D4A41"/>
    <w:rsid w:val="5F9A694C"/>
    <w:rsid w:val="601C34ED"/>
    <w:rsid w:val="60426EEA"/>
    <w:rsid w:val="60A511FB"/>
    <w:rsid w:val="61025A59"/>
    <w:rsid w:val="613D5BBC"/>
    <w:rsid w:val="61536C39"/>
    <w:rsid w:val="616D60F9"/>
    <w:rsid w:val="62944DD7"/>
    <w:rsid w:val="63497036"/>
    <w:rsid w:val="63C1619B"/>
    <w:rsid w:val="63C25DC5"/>
    <w:rsid w:val="63C62057"/>
    <w:rsid w:val="63C73832"/>
    <w:rsid w:val="64192A39"/>
    <w:rsid w:val="64FB113D"/>
    <w:rsid w:val="651E6C94"/>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BE476D"/>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4F09D3"/>
    <w:rsid w:val="7C5248E4"/>
    <w:rsid w:val="7C566698"/>
    <w:rsid w:val="7CE56AF6"/>
    <w:rsid w:val="7CF02E5B"/>
    <w:rsid w:val="7D213FB2"/>
    <w:rsid w:val="7FF723E4"/>
    <w:rsid w:val="B1A3D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4944</Words>
  <Characters>5683</Characters>
  <Lines>134</Lines>
  <Paragraphs>60</Paragraphs>
  <TotalTime>12</TotalTime>
  <ScaleCrop>false</ScaleCrop>
  <LinksUpToDate>false</LinksUpToDate>
  <CharactersWithSpaces>5705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2026-05-29T10:05:25Z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