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巫溪县尖山镇人民政府（本级）</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pPr>
        <w:pStyle w:val="6"/>
        <w:shd w:val="clear" w:color="auto" w:fill="FFFFFF"/>
        <w:ind w:firstLine="42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属行政单位，履行法律规定的行政职能。尖山镇辖大包、白云、川山、百步、尖山、太平、八佳</w:t>
      </w:r>
      <w:r>
        <w:rPr>
          <w:rFonts w:hint="default" w:ascii="Times New Roman" w:hAnsi="Times New Roman" w:eastAsia="方正仿宋_GBK" w:cs="Times New Roman"/>
          <w:kern w:val="0"/>
          <w:sz w:val="32"/>
          <w:szCs w:val="32"/>
          <w:shd w:val="clear" w:fill="FFFFFF"/>
        </w:rPr>
        <w:t>7</w:t>
      </w:r>
      <w:r>
        <w:rPr>
          <w:rFonts w:hint="eastAsia" w:ascii="方正仿宋_GBK" w:hAnsi="方正仿宋_GBK" w:eastAsia="方正仿宋_GBK" w:cs="方正仿宋_GBK"/>
          <w:kern w:val="0"/>
          <w:sz w:val="32"/>
          <w:szCs w:val="32"/>
          <w:shd w:val="clear" w:fill="FFFFFF"/>
        </w:rPr>
        <w:t>个村，尖山、百步</w:t>
      </w: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个社区。街道党政机构具有党委和政府两种职能，党委领导政府工作。主要是政治思想和方针政策的领导、干部的选拔、考核和监督、经济和行政工作中重大问题的决策。街道办是基层国家行政机关行使本行政区的行政职能。</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政府职能：</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制定和组织实施经济、科技和社会发展计划，制定资源开发技术改造和产业结构调整方案，组织指导好各业生产。搞好商品流通，协调好本辖区与外地区的经济交流与合作，抓好招商引资、人才引进项目开发，不断培育市场体系，组织经济运行，促进经济发展。</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制定并组织实施村镇建设规划，部署重点工程建设、地方道路建设及公共设施、水利设施的管理，负责土地、林木、水等自然资源和生态环境的保护，做好护林防火工作。</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按计划组织本级财政收入和地方税的征收完成国家财政计划，不断培植税源，管好财政资金，增强财政实力。</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5.</w:t>
      </w:r>
      <w:r>
        <w:rPr>
          <w:rFonts w:hint="eastAsia" w:ascii="方正仿宋_GBK" w:hAnsi="方正仿宋_GBK" w:eastAsia="方正仿宋_GBK" w:cs="方正仿宋_GBK"/>
          <w:kern w:val="0"/>
          <w:sz w:val="32"/>
          <w:szCs w:val="32"/>
          <w:shd w:val="clear" w:fill="FFFFFF"/>
        </w:rPr>
        <w:t>抓好精神文明建设，丰富群众文化生活，提倡移风易俗反对封建迷信，破除陈规陋习，树立社会主义新风尚。</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6.</w:t>
      </w:r>
      <w:r>
        <w:rPr>
          <w:rFonts w:hint="eastAsia" w:ascii="方正仿宋_GBK" w:hAnsi="方正仿宋_GBK" w:eastAsia="方正仿宋_GBK" w:cs="方正仿宋_GBK"/>
          <w:kern w:val="0"/>
          <w:sz w:val="32"/>
          <w:szCs w:val="32"/>
          <w:shd w:val="clear" w:fill="FFFFFF"/>
        </w:rPr>
        <w:t>完成上级政府交办的其它事项。</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政府职责：</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执行本级人民代表大会的决议和上级国家行政机关的决定。</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执行本行政区域内的经济和社会发展计划、预算，管理本行政区域内的经济、教育、科学、文化、卫生、体育事业和财政、民政、公安、司法行政、计划生育等行政工作。</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保护社会主义的全民所有的财产和劳动群众集体所有财产，保护公民私有的合法财产，维护社会秩序，保障公民的人身权利、民主权利和其他权利。</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保障农村集体经济组织应有的自主权。</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5.</w:t>
      </w:r>
      <w:r>
        <w:rPr>
          <w:rFonts w:hint="eastAsia" w:ascii="方正仿宋_GBK" w:hAnsi="方正仿宋_GBK" w:eastAsia="方正仿宋_GBK" w:cs="方正仿宋_GBK"/>
          <w:kern w:val="0"/>
          <w:sz w:val="32"/>
          <w:szCs w:val="32"/>
          <w:shd w:val="clear" w:fill="FFFFFF"/>
        </w:rPr>
        <w:t>保障少数民族的权利和尊重少数民族的风俗习惯。</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6.</w:t>
      </w:r>
      <w:r>
        <w:rPr>
          <w:rFonts w:hint="eastAsia" w:ascii="方正仿宋_GBK" w:hAnsi="方正仿宋_GBK" w:eastAsia="方正仿宋_GBK" w:cs="方正仿宋_GBK"/>
          <w:kern w:val="0"/>
          <w:sz w:val="32"/>
          <w:szCs w:val="32"/>
          <w:shd w:val="clear" w:fill="FFFFFF"/>
        </w:rPr>
        <w:t>保障宪法和法律赋予妇女的男女平等、同工同酬和婚姻自由等各项权利。</w:t>
      </w:r>
    </w:p>
    <w:p>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7.</w:t>
      </w:r>
      <w:r>
        <w:rPr>
          <w:rFonts w:hint="eastAsia" w:ascii="方正仿宋_GBK" w:hAnsi="方正仿宋_GBK" w:eastAsia="方正仿宋_GBK" w:cs="方正仿宋_GBK"/>
          <w:kern w:val="0"/>
          <w:sz w:val="32"/>
          <w:szCs w:val="32"/>
          <w:shd w:val="clear" w:fill="FFFFFF"/>
        </w:rPr>
        <w:t>办理上级人民政府交办的其它事项。</w:t>
      </w:r>
    </w:p>
    <w:p>
      <w:pPr>
        <w:pStyle w:val="6"/>
        <w:shd w:val="clear" w:color="auto" w:fill="FFFFFF"/>
        <w:ind w:firstLine="420"/>
        <w:rPr>
          <w:spacing w:val="9"/>
        </w:rPr>
      </w:pPr>
      <w:r>
        <w:rPr>
          <w:rStyle w:val="9"/>
          <w:rFonts w:ascii="楷体" w:hAnsi="楷体" w:eastAsia="楷体" w:cs="楷体"/>
          <w:sz w:val="32"/>
          <w:szCs w:val="32"/>
          <w:shd w:val="clear" w:color="auto" w:fill="FFFFFF"/>
        </w:rPr>
        <w:t>（二）机构设置</w:t>
      </w:r>
    </w:p>
    <w:p>
      <w:pPr>
        <w:pStyle w:val="6"/>
        <w:keepNext w:val="0"/>
        <w:keepLines w:val="0"/>
        <w:pageBreakBefore w:val="0"/>
        <w:numPr>
          <w:ilvl w:val="0"/>
          <w:numId w:val="0"/>
        </w:numPr>
        <w:shd w:val="clear" w:color="auto" w:fill="FFFFFF"/>
        <w:kinsoku/>
        <w:wordWrap/>
        <w:overflowPunct/>
        <w:topLinePunct w:val="0"/>
        <w:autoSpaceDN/>
        <w:bidi w:val="0"/>
        <w:adjustRightInd/>
        <w:snapToGrid/>
        <w:ind w:firstLine="640" w:firstLineChars="200"/>
        <w:jc w:val="both"/>
        <w:textAlignment w:val="auto"/>
        <w:rPr>
          <w:spacing w:val="9"/>
        </w:rPr>
      </w:pPr>
      <w:r>
        <w:rPr>
          <w:rFonts w:hint="eastAsia" w:ascii="方正仿宋_GBK" w:hAnsi="方正仿宋_GBK" w:eastAsia="方正仿宋_GBK" w:cs="方正仿宋_GBK"/>
          <w:kern w:val="0"/>
          <w:sz w:val="32"/>
          <w:szCs w:val="32"/>
          <w:shd w:val="clear" w:fill="FFFFFF"/>
          <w:lang w:val="en-US" w:eastAsia="zh-CN" w:bidi="ar-SA"/>
        </w:rPr>
        <w:t>聚焦乡镇党的建设、经济发展、民生服务、平安法治等主要职能，尖山镇设下列内设机构：</w:t>
      </w:r>
    </w:p>
    <w:p>
      <w:pPr>
        <w:pStyle w:val="2"/>
        <w:keepNext w:val="0"/>
        <w:keepLines w:val="0"/>
        <w:pageBreakBefore w:val="0"/>
        <w:kinsoku/>
        <w:wordWrap/>
        <w:overflowPunct/>
        <w:topLinePunct w:val="0"/>
        <w:autoSpaceDN/>
        <w:bidi w:val="0"/>
        <w:adjustRightInd/>
        <w:snapToGrid/>
        <w:spacing w:before="205" w:line="321" w:lineRule="auto"/>
        <w:ind w:left="45" w:firstLine="769"/>
        <w:jc w:val="both"/>
        <w:textAlignment w:val="auto"/>
      </w:pPr>
      <w:r>
        <w:rPr>
          <w:spacing w:val="9"/>
        </w:rPr>
        <w:t>(一)基层治理综合指挥室。承担基层治理指挥中心的日常</w:t>
      </w:r>
      <w:r>
        <w:rPr>
          <w:spacing w:val="1"/>
        </w:rPr>
        <w:t>运行和指挥调度。承担基层治理智治平台运</w:t>
      </w:r>
      <w:r>
        <w:t>行监测、分析研判、</w:t>
      </w:r>
      <w:r>
        <w:rPr>
          <w:spacing w:val="1"/>
        </w:rPr>
        <w:t>协同流转、应急指挥、督查考核等职责。落实值班制度。负责机</w:t>
      </w:r>
      <w:r>
        <w:rPr>
          <w:spacing w:val="-3"/>
        </w:rPr>
        <w:t>关日常运转及综合协调。负责政府信息公开、机要、保密、档案、公文、会务、接待、后勤保障等职责。完成上级交办的其他任务。</w:t>
      </w:r>
    </w:p>
    <w:p>
      <w:pPr>
        <w:pStyle w:val="2"/>
        <w:keepNext w:val="0"/>
        <w:keepLines w:val="0"/>
        <w:pageBreakBefore w:val="0"/>
        <w:kinsoku/>
        <w:wordWrap/>
        <w:overflowPunct/>
        <w:topLinePunct w:val="0"/>
        <w:autoSpaceDN/>
        <w:bidi w:val="0"/>
        <w:adjustRightInd/>
        <w:snapToGrid/>
        <w:spacing w:before="218" w:line="315" w:lineRule="auto"/>
        <w:ind w:left="45" w:firstLine="769"/>
        <w:jc w:val="both"/>
        <w:textAlignment w:val="auto"/>
        <w:rPr>
          <w:spacing w:val="4"/>
        </w:rPr>
      </w:pPr>
      <w:r>
        <w:rPr>
          <w:spacing w:val="4"/>
        </w:rPr>
        <w:t>(二)党的建设办公室。主要负责党的政治建设、思想建设、</w:t>
      </w:r>
      <w:r>
        <w:rPr>
          <w:spacing w:val="2"/>
        </w:rPr>
        <w:t>组织建设、作风建设、纪律建设、制度建设和反腐倡廉建设，以</w:t>
      </w:r>
      <w:r>
        <w:rPr>
          <w:spacing w:val="-3"/>
        </w:rPr>
        <w:t>及意识形态、统一战线、社会工作、机构编制、干部人事、人大、</w:t>
      </w:r>
      <w:r>
        <w:t>政协、群众团体等职责。完成上级交办的</w:t>
      </w:r>
      <w:r>
        <w:rPr>
          <w:spacing w:val="4"/>
        </w:rPr>
        <w:t>其他任务。</w:t>
      </w:r>
    </w:p>
    <w:p>
      <w:pPr>
        <w:pStyle w:val="2"/>
        <w:keepNext w:val="0"/>
        <w:keepLines w:val="0"/>
        <w:pageBreakBefore w:val="0"/>
        <w:kinsoku/>
        <w:wordWrap/>
        <w:overflowPunct/>
        <w:topLinePunct w:val="0"/>
        <w:autoSpaceDN/>
        <w:bidi w:val="0"/>
        <w:adjustRightInd/>
        <w:snapToGrid/>
        <w:spacing w:before="218" w:line="315" w:lineRule="auto"/>
        <w:ind w:left="45" w:firstLine="769"/>
        <w:jc w:val="both"/>
        <w:textAlignment w:val="auto"/>
        <w:rPr>
          <w:spacing w:val="4"/>
        </w:rPr>
      </w:pPr>
      <w:r>
        <w:rPr>
          <w:spacing w:val="4"/>
        </w:rPr>
        <w:t>(三)经济发展办公室。主要负责经济发展、村镇建设、生态环境、农业农村和乡村振兴、财政管理、经济社会统计，以及市政公用、市容环卫、征地拆迁等职责。制定和执行经济社会发展计划，强化产业引导，落实区域发展规划、专项规划、国土空间规划。完成上级交办的其他任务。</w:t>
      </w:r>
    </w:p>
    <w:p>
      <w:pPr>
        <w:pStyle w:val="2"/>
        <w:keepNext w:val="0"/>
        <w:keepLines w:val="0"/>
        <w:pageBreakBefore w:val="0"/>
        <w:kinsoku/>
        <w:wordWrap/>
        <w:overflowPunct/>
        <w:topLinePunct w:val="0"/>
        <w:autoSpaceDN/>
        <w:bidi w:val="0"/>
        <w:adjustRightInd/>
        <w:snapToGrid/>
        <w:spacing w:before="240" w:line="325" w:lineRule="auto"/>
        <w:ind w:right="159" w:firstLine="789"/>
        <w:jc w:val="both"/>
        <w:textAlignment w:val="auto"/>
      </w:pPr>
      <w:r>
        <w:rPr>
          <w:spacing w:val="7"/>
        </w:rPr>
        <w:t>(四)民生服务办公室。主要负责民政、教</w:t>
      </w:r>
      <w:r>
        <w:rPr>
          <w:spacing w:val="6"/>
        </w:rPr>
        <w:t>育、文化、卫生</w:t>
      </w:r>
      <w:r>
        <w:rPr>
          <w:spacing w:val="1"/>
        </w:rPr>
        <w:t>健康、体育、社会救助、残疾人事业、老龄事业发展、退役军人</w:t>
      </w:r>
      <w:r>
        <w:rPr>
          <w:spacing w:val="-1"/>
        </w:rPr>
        <w:t>事务、医疗保障、劳动就业、社会保障等职责。落实社会保险、</w:t>
      </w:r>
      <w:r>
        <w:t>社会救助、社会福利、优抚安置等社会保障政策，优化基本公共 服务资源配置，统筹公共服务设施空间布局，提供优质高效的便</w:t>
      </w:r>
      <w:r>
        <w:rPr>
          <w:spacing w:val="-3"/>
        </w:rPr>
        <w:t>民服务。完成上级交办的其他任务。</w:t>
      </w:r>
    </w:p>
    <w:p>
      <w:pPr>
        <w:pStyle w:val="2"/>
        <w:keepNext w:val="0"/>
        <w:keepLines w:val="0"/>
        <w:pageBreakBefore w:val="0"/>
        <w:kinsoku/>
        <w:wordWrap/>
        <w:overflowPunct/>
        <w:topLinePunct w:val="0"/>
        <w:autoSpaceDN/>
        <w:bidi w:val="0"/>
        <w:adjustRightInd/>
        <w:snapToGrid/>
        <w:spacing w:before="246" w:line="320" w:lineRule="auto"/>
        <w:ind w:firstLine="789"/>
        <w:jc w:val="both"/>
        <w:textAlignment w:val="auto"/>
      </w:pPr>
      <w:r>
        <w:rPr>
          <w:spacing w:val="6"/>
        </w:rPr>
        <w:t>(五)平安法治办公室。主要负责平安综治、应急管理、信</w:t>
      </w:r>
      <w:r>
        <w:rPr>
          <w:spacing w:val="-1"/>
        </w:rPr>
        <w:t>访维稳、防范和处理邪教、安全生产综合监管、法治建设、人民</w:t>
      </w:r>
      <w:r>
        <w:t>武装等职责。定期组织开展应急演练。健全应急管理和除险清患</w:t>
      </w:r>
      <w:r>
        <w:rPr>
          <w:spacing w:val="-1"/>
        </w:rPr>
        <w:t>排查治理体系，完善执法协调、矛盾纠纷化解调处、公共法律服</w:t>
      </w:r>
      <w:r>
        <w:t>务、普法依法治理、网上网下联动化解网络舆情风险等机制，推</w:t>
      </w:r>
      <w:r>
        <w:rPr>
          <w:spacing w:val="-5"/>
        </w:rPr>
        <w:t>动平安法治和社会治理工作落细落实。完成上级交办的其他任务。</w:t>
      </w:r>
    </w:p>
    <w:p>
      <w:pPr>
        <w:pStyle w:val="2"/>
        <w:keepNext w:val="0"/>
        <w:keepLines w:val="0"/>
        <w:pageBreakBefore w:val="0"/>
        <w:kinsoku/>
        <w:wordWrap/>
        <w:overflowPunct/>
        <w:topLinePunct w:val="0"/>
        <w:autoSpaceDN/>
        <w:bidi w:val="0"/>
        <w:adjustRightInd/>
        <w:snapToGrid/>
        <w:spacing w:before="242" w:line="351" w:lineRule="auto"/>
        <w:ind w:right="176" w:firstLine="679"/>
        <w:jc w:val="both"/>
        <w:textAlignment w:val="auto"/>
        <w:rPr>
          <w:spacing w:val="-1"/>
        </w:rPr>
      </w:pPr>
      <w:r>
        <w:rPr>
          <w:spacing w:val="-1"/>
        </w:rPr>
        <w:t>纪委、武装部按照有关规定设置，工会、团委、妇联等</w:t>
      </w:r>
      <w:r>
        <w:rPr>
          <w:spacing w:val="-2"/>
        </w:rPr>
        <w:t>群团</w:t>
      </w:r>
      <w:r>
        <w:rPr>
          <w:spacing w:val="1"/>
        </w:rPr>
        <w:t>按章程</w:t>
      </w:r>
      <w:r>
        <w:rPr>
          <w:spacing w:val="-1"/>
        </w:rPr>
        <w:t>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lang w:val="en-US" w:eastAsia="zh-CN"/>
        </w:rPr>
      </w:pPr>
      <w:r>
        <w:rPr>
          <w:rStyle w:val="9"/>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度收入总计4228.02万元，支出总计</w:t>
      </w:r>
      <w:r>
        <w:rPr>
          <w:rFonts w:ascii="方正仿宋_GBK" w:hAnsi="方正仿宋_GBK" w:eastAsia="方正仿宋_GBK" w:cs="方正仿宋_GBK"/>
          <w:sz w:val="32"/>
          <w:szCs w:val="32"/>
        </w:rPr>
        <w:t>4228.02</w:t>
      </w:r>
      <w:r>
        <w:rPr>
          <w:rFonts w:ascii="方正仿宋_GBK" w:hAnsi="方正仿宋_GBK" w:eastAsia="方正仿宋_GBK" w:cs="方正仿宋_GBK"/>
          <w:sz w:val="32"/>
          <w:szCs w:val="32"/>
          <w:shd w:val="clear" w:color="auto" w:fill="FFFFFF"/>
        </w:rPr>
        <w:t>万元。收、支与2023年度相比，减少133.58万元，下降3.1%，主要原因是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2024年乡镇行政事业单位预决算分离，导致政府本级收、支下降。</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度收入合计4228.02万元，与2023年度相比，减少133.58万元，下降3.1%，主要原因是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2024年乡镇行政事业单位预决算分离，导致政府本级收入下降。</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4228.02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4228.02</w:t>
      </w:r>
      <w:r>
        <w:rPr>
          <w:rFonts w:ascii="方正仿宋_GBK" w:hAnsi="方正仿宋_GBK" w:eastAsia="方正仿宋_GBK" w:cs="方正仿宋_GBK"/>
          <w:sz w:val="32"/>
          <w:szCs w:val="32"/>
          <w:shd w:val="clear" w:color="auto" w:fill="FFFFFF"/>
        </w:rPr>
        <w:t>万元，与2023年度相比，减少133.58万元，下降3.1%，主要原因是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2024年乡镇行政事业单位预决算分离，导致政府本级支出下降。</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662.73</w:t>
      </w:r>
      <w:r>
        <w:rPr>
          <w:rFonts w:ascii="方正仿宋_GBK" w:hAnsi="方正仿宋_GBK" w:eastAsia="方正仿宋_GBK" w:cs="方正仿宋_GBK"/>
          <w:sz w:val="32"/>
          <w:szCs w:val="32"/>
          <w:shd w:val="clear" w:color="auto" w:fill="FFFFFF"/>
        </w:rPr>
        <w:t>万元，占15.67%；项目支出</w:t>
      </w:r>
      <w:r>
        <w:rPr>
          <w:rFonts w:ascii="方正仿宋_GBK" w:hAnsi="方正仿宋_GBK" w:eastAsia="方正仿宋_GBK" w:cs="方正仿宋_GBK"/>
          <w:sz w:val="32"/>
          <w:szCs w:val="32"/>
        </w:rPr>
        <w:t>3565.30</w:t>
      </w:r>
      <w:r>
        <w:rPr>
          <w:rFonts w:ascii="方正仿宋_GBK" w:hAnsi="方正仿宋_GBK" w:eastAsia="方正仿宋_GBK" w:cs="方正仿宋_GBK"/>
          <w:sz w:val="32"/>
          <w:szCs w:val="32"/>
          <w:shd w:val="clear" w:color="auto" w:fill="FFFFFF"/>
        </w:rPr>
        <w:t>万元，占84.33%；经营支出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度财政拨款收、支总计4228.02万元。与202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2024年乡镇行政事业单位预决算分离，导致政府本级收、支下降。</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4228.02</w:t>
      </w:r>
      <w:r>
        <w:rPr>
          <w:rFonts w:ascii="方正仿宋_GBK" w:hAnsi="方正仿宋_GBK" w:eastAsia="方正仿宋_GBK" w:cs="方正仿宋_GBK"/>
          <w:sz w:val="32"/>
          <w:szCs w:val="32"/>
          <w:shd w:val="clear" w:color="auto" w:fill="FFFFFF"/>
        </w:rPr>
        <w:t>万元，与2023年度相比，减少133.58万元，下降3.1%。主要原因是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sz w:val="32"/>
          <w:szCs w:val="32"/>
          <w:shd w:val="clear" w:color="auto" w:fill="FFFFFF"/>
          <w:lang w:val="en-US" w:eastAsia="zh-CN"/>
        </w:rPr>
        <w:t>下降。</w:t>
      </w:r>
      <w:r>
        <w:rPr>
          <w:rFonts w:ascii="方正仿宋_GBK" w:hAnsi="方正仿宋_GBK" w:eastAsia="方正仿宋_GBK" w:cs="方正仿宋_GBK"/>
          <w:sz w:val="32"/>
          <w:szCs w:val="32"/>
          <w:shd w:val="clear" w:color="auto" w:fill="FFFFFF"/>
        </w:rPr>
        <w:t>较年初预算数增加3255.47万元，增长334.7%。主要原因是</w:t>
      </w:r>
      <w:r>
        <w:rPr>
          <w:rFonts w:hint="eastAsia" w:ascii="仿宋_GB2312" w:hAnsi="仿宋" w:eastAsia="仿宋_GB2312"/>
          <w:sz w:val="32"/>
          <w:szCs w:val="32"/>
        </w:rPr>
        <w:t>年中</w:t>
      </w:r>
      <w:r>
        <w:rPr>
          <w:rFonts w:hint="eastAsia" w:ascii="仿宋_GB2312" w:hAnsi="仿宋" w:eastAsia="仿宋_GB2312"/>
          <w:sz w:val="32"/>
          <w:szCs w:val="32"/>
          <w:lang w:val="en-US" w:eastAsia="zh-CN"/>
        </w:rPr>
        <w:t>追加了</w:t>
      </w:r>
      <w:r>
        <w:rPr>
          <w:rFonts w:hint="eastAsia" w:ascii="仿宋_GB2312" w:hAnsi="仿宋" w:eastAsia="仿宋_GB2312"/>
          <w:sz w:val="32"/>
          <w:szCs w:val="32"/>
          <w:lang w:eastAsia="zh-CN"/>
        </w:rPr>
        <w:t>2024年尖山镇基层平安法治建设奖补资金（渝财政法﹝2023﹞66号）、巫溪县尖山镇2024年生态护林员选聘（巫溪林业发〔2024〕7号）、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等项目预算收入。</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仿宋_GB2312" w:hAnsi="仿宋" w:eastAsia="仿宋_GB2312"/>
          <w:sz w:val="32"/>
          <w:szCs w:val="32"/>
          <w:lang w:val="en-US" w:eastAsia="zh-CN"/>
        </w:rPr>
      </w:pPr>
      <w:r>
        <w:rPr>
          <w:rStyle w:val="9"/>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4228.02</w:t>
      </w:r>
      <w:r>
        <w:rPr>
          <w:rFonts w:ascii="方正仿宋_GBK" w:hAnsi="方正仿宋_GBK" w:eastAsia="方正仿宋_GBK" w:cs="方正仿宋_GBK"/>
          <w:sz w:val="32"/>
          <w:szCs w:val="32"/>
          <w:shd w:val="clear" w:color="auto" w:fill="FFFFFF"/>
        </w:rPr>
        <w:t>万元，与2023年度相比，减少133.58万元，下降3.1%。主要原因是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w:t>
      </w:r>
      <w:r>
        <w:rPr>
          <w:rFonts w:ascii="方正仿宋_GBK" w:hAnsi="方正仿宋_GBK" w:eastAsia="方正仿宋_GBK" w:cs="方正仿宋_GBK"/>
          <w:sz w:val="32"/>
          <w:szCs w:val="32"/>
          <w:shd w:val="clear" w:color="auto" w:fill="FFFFFF"/>
        </w:rPr>
        <w:t>一般公共预算财政拨款</w:t>
      </w:r>
      <w:r>
        <w:rPr>
          <w:rFonts w:hint="eastAsia" w:ascii="方正仿宋_GBK" w:hAnsi="方正仿宋_GBK" w:eastAsia="方正仿宋_GBK" w:cs="方正仿宋_GBK"/>
          <w:sz w:val="32"/>
          <w:szCs w:val="32"/>
          <w:shd w:val="clear" w:color="auto" w:fill="FFFFFF"/>
          <w:lang w:val="en-US" w:eastAsia="zh-CN"/>
        </w:rPr>
        <w:t>支出下降。</w:t>
      </w:r>
      <w:r>
        <w:rPr>
          <w:rFonts w:ascii="方正仿宋_GBK" w:hAnsi="方正仿宋_GBK" w:eastAsia="方正仿宋_GBK" w:cs="方正仿宋_GBK"/>
          <w:sz w:val="32"/>
          <w:szCs w:val="32"/>
          <w:shd w:val="clear" w:color="auto" w:fill="FFFFFF"/>
        </w:rPr>
        <w:t>较年初预算数增加3255.47万元，增长334.7%。主要原因是</w:t>
      </w:r>
      <w:r>
        <w:rPr>
          <w:rFonts w:hint="eastAsia" w:ascii="仿宋_GB2312" w:hAnsi="仿宋" w:eastAsia="仿宋_GB2312"/>
          <w:sz w:val="32"/>
          <w:szCs w:val="32"/>
        </w:rPr>
        <w:t>年中</w:t>
      </w:r>
      <w:r>
        <w:rPr>
          <w:rFonts w:hint="eastAsia" w:ascii="仿宋_GB2312" w:hAnsi="仿宋" w:eastAsia="仿宋_GB2312"/>
          <w:sz w:val="32"/>
          <w:szCs w:val="32"/>
          <w:lang w:val="en-US" w:eastAsia="zh-CN"/>
        </w:rPr>
        <w:t>追加了</w:t>
      </w:r>
      <w:r>
        <w:rPr>
          <w:rFonts w:hint="eastAsia" w:ascii="仿宋_GB2312" w:hAnsi="仿宋" w:eastAsia="仿宋_GB2312"/>
          <w:sz w:val="32"/>
          <w:szCs w:val="32"/>
          <w:lang w:eastAsia="zh-CN"/>
        </w:rPr>
        <w:t>2024年尖山镇基层平安法治建设奖补资金（渝财政法﹝2023﹞66号）、巫溪县尖山镇2024年生态护林员选聘（巫溪林业发〔2024〕7号）、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w:t>
      </w:r>
      <w:r>
        <w:rPr>
          <w:rFonts w:ascii="方正仿宋_GBK" w:hAnsi="方正仿宋_GBK" w:eastAsia="方正仿宋_GBK" w:cs="方正仿宋_GBK"/>
          <w:sz w:val="32"/>
          <w:szCs w:val="32"/>
          <w:shd w:val="clear" w:color="auto" w:fill="FFFFFF"/>
        </w:rPr>
        <w:t>拨款支出</w:t>
      </w:r>
      <w:r>
        <w:rPr>
          <w:rFonts w:hint="eastAsia" w:ascii="仿宋_GB2312" w:hAnsi="仿宋" w:eastAsia="仿宋_GB2312"/>
          <w:sz w:val="32"/>
          <w:szCs w:val="32"/>
          <w:lang w:val="en-US" w:eastAsia="zh-CN"/>
        </w:rPr>
        <w:t>。</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515.93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12.20</w:t>
      </w:r>
      <w:r>
        <w:rPr>
          <w:rFonts w:ascii="方正仿宋_GBK" w:hAnsi="方正仿宋_GBK" w:eastAsia="方正仿宋_GBK" w:cs="方正仿宋_GBK"/>
          <w:sz w:val="32"/>
          <w:szCs w:val="32"/>
          <w:shd w:val="clear" w:color="auto" w:fill="FFFFFF"/>
        </w:rPr>
        <w:t>%，较年初预算数增加148.38万元，增长40.4%，主要原因是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尖山镇人民政府关于申请河堤水毁及管线迁移资金（尖山府文〔2023〕18号）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尖山镇人民政府因灾受损修复项目（尖山府文〔2023〕20号）</w:t>
      </w:r>
      <w:r>
        <w:rPr>
          <w:rFonts w:hint="eastAsia" w:ascii="方正仿宋_GBK" w:hAnsi="方正仿宋_GBK" w:eastAsia="方正仿宋_GBK" w:cs="方正仿宋_GBK"/>
          <w:sz w:val="32"/>
          <w:szCs w:val="32"/>
          <w:shd w:val="clear" w:color="auto" w:fill="FFFFFF"/>
          <w:lang w:val="en-US"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71.27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1.69</w:t>
      </w:r>
      <w:r>
        <w:rPr>
          <w:rFonts w:ascii="方正仿宋_GBK" w:hAnsi="方正仿宋_GBK" w:eastAsia="方正仿宋_GBK" w:cs="方正仿宋_GBK"/>
          <w:sz w:val="32"/>
          <w:szCs w:val="32"/>
          <w:shd w:val="clear" w:color="auto" w:fill="FFFFFF"/>
        </w:rPr>
        <w:t>%，较年初预算数减少28.73万元，下降28.7%，主要原因是</w:t>
      </w:r>
      <w:r>
        <w:rPr>
          <w:rFonts w:hint="eastAsia" w:ascii="仿宋_GB2312" w:hAnsi="仿宋" w:eastAsia="仿宋_GB2312"/>
          <w:sz w:val="32"/>
          <w:szCs w:val="32"/>
          <w:lang w:eastAsia="zh-CN"/>
        </w:rPr>
        <w:t>2024年尖山镇基层平安法治建设奖补资金（渝财政法﹝2023﹞66号）</w:t>
      </w:r>
      <w:r>
        <w:rPr>
          <w:rFonts w:hint="eastAsia" w:ascii="仿宋_GB2312" w:hAnsi="仿宋" w:eastAsia="仿宋_GB2312"/>
          <w:sz w:val="32"/>
          <w:szCs w:val="32"/>
          <w:lang w:val="en-US" w:eastAsia="zh-CN"/>
        </w:rPr>
        <w:t>项目</w:t>
      </w:r>
      <w:r>
        <w:rPr>
          <w:rFonts w:hint="eastAsia" w:ascii="方正仿宋_GBK" w:hAnsi="方正仿宋_GBK" w:eastAsia="方正仿宋_GBK" w:cs="方正仿宋_GBK"/>
          <w:sz w:val="32"/>
          <w:szCs w:val="32"/>
          <w:shd w:val="clear" w:color="auto" w:fill="FFFFFF"/>
          <w:lang w:val="en-US" w:eastAsia="zh-CN"/>
        </w:rPr>
        <w:t>当年未完工，仅支出项目进度款71.27万元。</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216.70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5.13</w:t>
      </w:r>
      <w:r>
        <w:rPr>
          <w:rFonts w:ascii="方正仿宋_GBK" w:hAnsi="方正仿宋_GBK" w:eastAsia="方正仿宋_GBK" w:cs="方正仿宋_GBK"/>
          <w:sz w:val="32"/>
          <w:szCs w:val="32"/>
          <w:shd w:val="clear" w:color="auto" w:fill="FFFFFF"/>
        </w:rPr>
        <w:t>%，较年初预算数增加24.67万元，增长12.9%，主要原因是</w:t>
      </w:r>
      <w:r>
        <w:rPr>
          <w:rFonts w:hint="eastAsia" w:ascii="方正仿宋_GBK" w:hAnsi="方正仿宋_GBK" w:eastAsia="方正仿宋_GBK" w:cs="方正仿宋_GBK"/>
          <w:color w:val="auto"/>
          <w:sz w:val="32"/>
          <w:szCs w:val="32"/>
          <w:shd w:val="clear" w:color="auto" w:fill="FFFFFF"/>
          <w:lang w:val="en-US" w:eastAsia="zh-CN"/>
        </w:rPr>
        <w:t>2024年上调了在编人员工资，相应的</w:t>
      </w:r>
      <w:r>
        <w:rPr>
          <w:rFonts w:ascii="方正仿宋_GBK" w:hAnsi="方正仿宋_GBK" w:eastAsia="方正仿宋_GBK" w:cs="方正仿宋_GBK"/>
          <w:color w:val="auto"/>
          <w:sz w:val="32"/>
          <w:szCs w:val="32"/>
          <w:shd w:val="clear" w:color="auto" w:fill="FFFFFF"/>
        </w:rPr>
        <w:t>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sz w:val="32"/>
          <w:szCs w:val="32"/>
          <w:shd w:val="clear" w:color="auto" w:fill="FFFFFF"/>
          <w:lang w:val="en-US" w:eastAsia="zh-CN"/>
        </w:rPr>
        <w:t>增加。</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27.03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0.64</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58.60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1.39</w:t>
      </w:r>
      <w:r>
        <w:rPr>
          <w:rFonts w:ascii="方正仿宋_GBK" w:hAnsi="方正仿宋_GBK" w:eastAsia="方正仿宋_GBK" w:cs="方正仿宋_GBK"/>
          <w:sz w:val="32"/>
          <w:szCs w:val="32"/>
          <w:shd w:val="clear" w:color="auto" w:fill="FFFFFF"/>
        </w:rPr>
        <w:t>%，较年初预算数增加58.60万元，增长100.0%，主要原因是</w:t>
      </w:r>
      <w:r>
        <w:rPr>
          <w:rFonts w:hint="eastAsia" w:ascii="方正仿宋_GBK" w:hAnsi="方正仿宋_GBK" w:eastAsia="方正仿宋_GBK" w:cs="方正仿宋_GBK"/>
          <w:sz w:val="32"/>
          <w:szCs w:val="32"/>
          <w:shd w:val="clear" w:color="auto" w:fill="FFFFFF"/>
          <w:lang w:val="en-US" w:eastAsia="zh-CN"/>
        </w:rPr>
        <w:t>年中追加</w:t>
      </w:r>
      <w:r>
        <w:rPr>
          <w:rFonts w:hint="eastAsia" w:ascii="方正仿宋_GBK" w:hAnsi="方正仿宋_GBK" w:eastAsia="方正仿宋_GBK" w:cs="方正仿宋_GBK"/>
          <w:sz w:val="32"/>
          <w:szCs w:val="32"/>
          <w:shd w:val="clear" w:color="auto" w:fill="FFFFFF"/>
        </w:rPr>
        <w:t>巫溪巫溪县尖山镇2024年生态护林员选聘</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林业发〔2024〕7号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巫溪林业发〔2023〕30号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项目。</w:t>
      </w:r>
    </w:p>
    <w:p>
      <w:pPr>
        <w:pStyle w:val="6"/>
        <w:snapToGrid w:val="0"/>
        <w:spacing w:before="0" w:beforeAutospacing="0" w:after="0" w:afterAutospacing="0" w:line="600" w:lineRule="exact"/>
        <w:ind w:firstLine="640" w:firstLineChars="200"/>
        <w:jc w:val="both"/>
        <w:rPr>
          <w:rFonts w:hint="eastAsia" w:ascii="仿宋_GB2312" w:hAnsi="仿宋" w:eastAsia="仿宋_GB2312"/>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3003.76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71.04</w:t>
      </w:r>
      <w:r>
        <w:rPr>
          <w:rFonts w:ascii="方正仿宋_GBK" w:hAnsi="方正仿宋_GBK" w:eastAsia="方正仿宋_GBK" w:cs="方正仿宋_GBK"/>
          <w:sz w:val="32"/>
          <w:szCs w:val="32"/>
          <w:shd w:val="clear" w:color="auto" w:fill="FFFFFF"/>
        </w:rPr>
        <w:t>%，较年初预算数增加2755.00万元，增长1107.5%，主要原因是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仿宋_GB2312" w:hAnsi="仿宋" w:eastAsia="仿宋_GB2312"/>
          <w:sz w:val="32"/>
          <w:szCs w:val="32"/>
          <w:lang w:eastAsia="zh-CN"/>
        </w:rPr>
        <w:t>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170.00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4.02</w:t>
      </w:r>
      <w:r>
        <w:rPr>
          <w:rFonts w:ascii="方正仿宋_GBK" w:hAnsi="方正仿宋_GBK" w:eastAsia="方正仿宋_GBK" w:cs="方正仿宋_GBK"/>
          <w:sz w:val="32"/>
          <w:szCs w:val="32"/>
          <w:shd w:val="clear" w:color="auto" w:fill="FFFFFF"/>
        </w:rPr>
        <w:t>%，较年初预算数增加170.00万元，增长100.0%，主要原因是</w:t>
      </w:r>
      <w:r>
        <w:rPr>
          <w:rFonts w:hint="eastAsia" w:ascii="方正仿宋_GBK" w:hAnsi="方正仿宋_GBK" w:eastAsia="方正仿宋_GBK" w:cs="方正仿宋_GBK"/>
          <w:sz w:val="32"/>
          <w:szCs w:val="32"/>
          <w:shd w:val="clear" w:color="auto" w:fill="FFFFFF"/>
          <w:lang w:val="en-US" w:eastAsia="zh-CN"/>
        </w:rPr>
        <w:t>年中追加了巫溪县尖山镇2024年交通项目建设资金（溪交</w:t>
      </w:r>
      <w:r>
        <w:rPr>
          <w:rFonts w:hint="eastAsia" w:ascii="方正仿宋_GBK" w:hAnsi="方正仿宋_GBK" w:eastAsia="方正仿宋_GBK" w:cs="方正仿宋_GBK"/>
          <w:sz w:val="32"/>
          <w:szCs w:val="32"/>
          <w:shd w:val="clear" w:color="auto" w:fill="FFFFFF"/>
        </w:rPr>
        <w:t>函﹝2024﹞134号</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%，较年初预算数增加10.00万元，增长100.0%，主要原因是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巫溪县尖山镇2024年市场主体培育项目（巫溪商务发〔2024〕57号）</w:t>
      </w:r>
      <w:r>
        <w:rPr>
          <w:rFonts w:hint="eastAsia" w:ascii="方正仿宋_GBK" w:hAnsi="方正仿宋_GBK" w:eastAsia="方正仿宋_GBK" w:cs="方正仿宋_GBK"/>
          <w:sz w:val="32"/>
          <w:szCs w:val="32"/>
          <w:shd w:val="clear" w:color="auto" w:fill="FFFFFF"/>
          <w:lang w:eastAsia="zh-CN"/>
        </w:rPr>
        <w:t>。</w:t>
      </w:r>
    </w:p>
    <w:p>
      <w:pPr>
        <w:ind w:firstLine="640" w:firstLineChars="200"/>
        <w:rPr>
          <w:rFonts w:hint="eastAsia" w:ascii="Segoe UI" w:hAnsi="Segoe UI" w:eastAsia="宋体" w:cs="Segoe UI"/>
          <w:i w:val="0"/>
          <w:caps w:val="0"/>
          <w:color w:val="000000"/>
          <w:spacing w:val="0"/>
          <w:sz w:val="18"/>
          <w:szCs w:val="18"/>
          <w:shd w:val="clear" w:fill="FAFAFA"/>
          <w:lang w:eastAsia="zh-CN"/>
        </w:rPr>
      </w:pPr>
      <w:r>
        <w:rPr>
          <w:rFonts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rPr>
        <w:t>住房保障支出114.38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2.71</w:t>
      </w:r>
      <w:r>
        <w:rPr>
          <w:rFonts w:ascii="方正仿宋_GBK" w:hAnsi="方正仿宋_GBK" w:eastAsia="方正仿宋_GBK" w:cs="方正仿宋_GBK"/>
          <w:sz w:val="32"/>
          <w:szCs w:val="32"/>
          <w:shd w:val="clear" w:color="auto" w:fill="FFFFFF"/>
        </w:rPr>
        <w:t>%，较年初预算数增加77.19万元，增长207.6%，主要原因是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巫溪县尖山镇2023年城镇（危旧房）改造资金项目（巫溪住建发〔2023〕115号）</w:t>
      </w:r>
      <w:r>
        <w:rPr>
          <w:rFonts w:hint="eastAsia" w:ascii="方正仿宋_GBK" w:hAnsi="方正仿宋_GBK" w:eastAsia="方正仿宋_GBK" w:cs="方正仿宋_GBK"/>
          <w:sz w:val="32"/>
          <w:szCs w:val="32"/>
          <w:shd w:val="clear" w:color="auto" w:fill="FFFFFF"/>
          <w:lang w:val="en-US" w:eastAsia="zh-CN"/>
        </w:rPr>
        <w:t>及7座D级</w:t>
      </w:r>
      <w:r>
        <w:rPr>
          <w:rFonts w:hint="eastAsia" w:ascii="方正仿宋_GBK" w:hAnsi="方正仿宋_GBK" w:eastAsia="方正仿宋_GBK" w:cs="方正仿宋_GBK"/>
          <w:sz w:val="32"/>
          <w:szCs w:val="32"/>
          <w:shd w:val="clear" w:color="auto" w:fill="FFFFFF"/>
        </w:rPr>
        <w:t>农村危房改造</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lang w:eastAsia="zh-CN"/>
        </w:rPr>
        <w:t>。</w:t>
      </w:r>
    </w:p>
    <w:p>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灾害防治及应急管理支出40.36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%，较年初预算数增加40.36万元，增长100.0%，主要原因是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2023年尖山镇冬春临时生活困难救助资金项目（巫溪应急发〔2024〕1号）</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662.73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586.13</w:t>
      </w:r>
      <w:r>
        <w:rPr>
          <w:rFonts w:ascii="方正仿宋_GBK" w:hAnsi="方正仿宋_GBK" w:eastAsia="方正仿宋_GBK" w:cs="方正仿宋_GBK"/>
          <w:sz w:val="32"/>
          <w:szCs w:val="32"/>
          <w:shd w:val="clear" w:color="auto" w:fill="FFFFFF"/>
        </w:rPr>
        <w:t>万元，与2023年度相比，减少251.42万元，下降30.0%，主要原因是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2024年乡镇行政事业单位预决算分离，导致政府本级支出下降。</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基本工资、津贴、绩效、养老保险、职业年金、医疗保险、住房公积金等。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76.59</w:t>
      </w:r>
      <w:r>
        <w:rPr>
          <w:rFonts w:ascii="方正仿宋_GBK" w:hAnsi="方正仿宋_GBK" w:eastAsia="方正仿宋_GBK" w:cs="方正仿宋_GBK"/>
          <w:sz w:val="32"/>
          <w:szCs w:val="32"/>
          <w:shd w:val="clear" w:color="auto" w:fill="FFFFFF"/>
        </w:rPr>
        <w:t>万元，与2023年度相比，减少39.78万元，下降34.2%，主要原因是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2024年乡镇行政事业单位预决算分离，导致政府本级支出下降。</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办公费、水电费、公务接待费、邮电费、劳务费、会议费、差旅费等。</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本年支出0.00万元，与2023年度相比，无增减。本单位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11.80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较上年支出数减少3.73万元，下降24.0%，主要原因</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2024年乡镇行政事业单位预决算分离，导致政府本级支出同步下降，二是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“过紧日子”要求，缩紧了“三公经费”开支</w:t>
      </w:r>
      <w:r>
        <w:rPr>
          <w:rFonts w:hint="eastAsia" w:ascii="方正仿宋_GBK" w:hAnsi="方正仿宋_GBK" w:eastAsia="方正仿宋_GBK" w:cs="方正仿宋_GBK"/>
          <w:sz w:val="32"/>
          <w:szCs w:val="32"/>
          <w:shd w:val="clear" w:color="auto" w:fill="FFFFFF"/>
          <w:lang w:val="en-US" w:eastAsia="zh-CN"/>
        </w:rPr>
        <w:t>。</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color w:val="FF0000"/>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公务车油料费、保养费、维修维护费、保险等。</w:t>
      </w:r>
      <w:r>
        <w:rPr>
          <w:rFonts w:ascii="方正仿宋_GBK" w:hAnsi="方正仿宋_GBK" w:eastAsia="方正仿宋_GBK" w:cs="方正仿宋_GBK"/>
          <w:sz w:val="32"/>
          <w:szCs w:val="32"/>
          <w:shd w:val="clear" w:color="auto" w:fill="FFFFFF"/>
        </w:rPr>
        <w:t>费用支出较年初预算数无增减，主要原因</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较上年支出数减少0.53万元，下降7.0%，主要原因是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w:t>
      </w:r>
      <w:r>
        <w:rPr>
          <w:rFonts w:ascii="方正仿宋_GBK" w:hAnsi="方正仿宋_GBK" w:eastAsia="方正仿宋_GBK" w:cs="方正仿宋_GBK"/>
          <w:sz w:val="32"/>
          <w:szCs w:val="32"/>
          <w:shd w:val="clear" w:color="auto" w:fill="FFFFFF"/>
        </w:rPr>
        <w:t>公务车运行维护费</w:t>
      </w:r>
      <w:r>
        <w:rPr>
          <w:rFonts w:hint="eastAsia" w:ascii="仿宋_GB2312" w:hAnsi="仿宋" w:eastAsia="仿宋_GB2312" w:cs="仿宋"/>
          <w:color w:val="000000"/>
          <w:sz w:val="32"/>
          <w:szCs w:val="32"/>
        </w:rPr>
        <w:t>开支。</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4.80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kern w:val="0"/>
          <w:sz w:val="32"/>
          <w:szCs w:val="32"/>
          <w:shd w:val="clear" w:fill="FFFFFF"/>
        </w:rPr>
        <w:t>上级部门考察人员、审计人员、同级部门之间交流学习人员等。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较上年支出数减少3.20万元，下降40.0%，主要原因</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2024年乡镇行政事业单位预决算分离，导致政府本级支出同步下降，二是</w:t>
      </w:r>
      <w:r>
        <w:rPr>
          <w:rFonts w:hint="eastAsia" w:ascii="仿宋_GB2312" w:hAnsi="仿宋" w:eastAsia="仿宋_GB2312" w:cs="仿宋"/>
          <w:color w:val="000000"/>
          <w:sz w:val="32"/>
          <w:szCs w:val="32"/>
        </w:rPr>
        <w:t>缩紧了</w:t>
      </w:r>
      <w:r>
        <w:rPr>
          <w:rFonts w:ascii="方正仿宋_GBK" w:hAnsi="方正仿宋_GBK" w:eastAsia="方正仿宋_GBK" w:cs="方正仿宋_GBK"/>
          <w:sz w:val="32"/>
          <w:szCs w:val="32"/>
          <w:shd w:val="clear" w:color="auto" w:fill="FFFFFF"/>
        </w:rPr>
        <w:t>公务接待费</w:t>
      </w:r>
      <w:r>
        <w:rPr>
          <w:rFonts w:hint="eastAsia" w:ascii="仿宋_GB2312" w:hAnsi="仿宋" w:eastAsia="仿宋_GB2312" w:cs="仿宋"/>
          <w:color w:val="000000"/>
          <w:sz w:val="32"/>
          <w:szCs w:val="32"/>
        </w:rPr>
        <w:t>开支</w:t>
      </w:r>
      <w:r>
        <w:rPr>
          <w:rFonts w:hint="eastAsia" w:ascii="方正仿宋_GBK" w:hAnsi="方正仿宋_GBK" w:eastAsia="方正仿宋_GBK" w:cs="方正仿宋_GBK"/>
          <w:sz w:val="32"/>
          <w:szCs w:val="32"/>
          <w:shd w:val="clear" w:color="auto" w:fill="FFFFFF"/>
          <w:lang w:val="en-US" w:eastAsia="zh-CN"/>
        </w:rPr>
        <w:t>。</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1220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39.34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10.90</w:t>
      </w:r>
      <w:r>
        <w:rPr>
          <w:rFonts w:ascii="方正仿宋_GBK" w:hAnsi="方正仿宋_GBK" w:eastAsia="方正仿宋_GBK" w:cs="方正仿宋_GBK"/>
          <w:sz w:val="32"/>
          <w:szCs w:val="32"/>
          <w:shd w:val="clear" w:color="auto" w:fill="FFFFFF"/>
        </w:rPr>
        <w:t>万元，与2023年度相比，减少3.20万元，下降22.7%，主要原因是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减少了不必要会议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76.59</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0"/>
          <w:szCs w:val="30"/>
          <w:shd w:val="clear" w:fill="FFFFFF"/>
        </w:rPr>
        <w:t>办公费、水电费、公务接待费、邮电费、劳务费、会议费、差旅费、公务车运行维护费、群团工作经费、离退休活动管理费等。</w:t>
      </w:r>
      <w:r>
        <w:rPr>
          <w:rFonts w:ascii="方正仿宋_GBK" w:hAnsi="方正仿宋_GBK" w:eastAsia="方正仿宋_GBK" w:cs="方正仿宋_GBK"/>
          <w:sz w:val="32"/>
          <w:szCs w:val="32"/>
          <w:shd w:val="clear" w:color="auto" w:fill="FFFFFF"/>
        </w:rPr>
        <w:t>机关运行经费较上年支出数减少9.85万元，下降11.4%，主要原因是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w:t>
      </w:r>
      <w:r>
        <w:rPr>
          <w:rFonts w:ascii="方正仿宋_GBK" w:hAnsi="方正仿宋_GBK" w:eastAsia="方正仿宋_GBK" w:cs="方正仿宋_GBK"/>
          <w:sz w:val="32"/>
          <w:szCs w:val="32"/>
          <w:shd w:val="clear" w:color="auto" w:fill="FFFFFF"/>
        </w:rPr>
        <w:t>机关运行经费</w:t>
      </w:r>
      <w:r>
        <w:rPr>
          <w:rFonts w:hint="eastAsia" w:ascii="仿宋_GB2312" w:hAnsi="仿宋" w:eastAsia="仿宋_GB2312" w:cs="仿宋"/>
          <w:color w:val="000000"/>
          <w:sz w:val="32"/>
          <w:szCs w:val="32"/>
        </w:rPr>
        <w:t>开支。</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146.43万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val="en-US" w:eastAsia="zh-CN"/>
        </w:rPr>
        <w:t>农业生产设备。</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71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3565.3</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2891" w:firstLineChars="9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5066" w:type="pct"/>
        <w:tblInd w:w="0" w:type="dxa"/>
        <w:shd w:val="clear" w:color="auto" w:fill="auto"/>
        <w:tblLayout w:type="fixed"/>
        <w:tblCellMar>
          <w:top w:w="0" w:type="dxa"/>
          <w:left w:w="0" w:type="dxa"/>
          <w:bottom w:w="0" w:type="dxa"/>
          <w:right w:w="0" w:type="dxa"/>
        </w:tblCellMar>
      </w:tblPr>
      <w:tblGrid>
        <w:gridCol w:w="1139"/>
        <w:gridCol w:w="800"/>
        <w:gridCol w:w="900"/>
        <w:gridCol w:w="700"/>
        <w:gridCol w:w="928"/>
        <w:gridCol w:w="705"/>
        <w:gridCol w:w="434"/>
        <w:gridCol w:w="366"/>
        <w:gridCol w:w="767"/>
        <w:gridCol w:w="83"/>
        <w:gridCol w:w="534"/>
        <w:gridCol w:w="386"/>
        <w:gridCol w:w="365"/>
        <w:gridCol w:w="349"/>
      </w:tblGrid>
      <w:tr>
        <w:tblPrEx>
          <w:shd w:val="clear" w:color="auto" w:fill="auto"/>
          <w:tblCellMar>
            <w:top w:w="0" w:type="dxa"/>
            <w:left w:w="0" w:type="dxa"/>
            <w:bottom w:w="0" w:type="dxa"/>
            <w:right w:w="0" w:type="dxa"/>
          </w:tblCellMar>
        </w:tblPrEx>
        <w:trPr>
          <w:trHeight w:val="8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shd w:val="clear" w:color="auto" w:fill="auto"/>
          <w:tblCellMar>
            <w:top w:w="0" w:type="dxa"/>
            <w:left w:w="0" w:type="dxa"/>
            <w:bottom w:w="0" w:type="dxa"/>
            <w:right w:w="0" w:type="dxa"/>
          </w:tblCellMar>
        </w:tblPrEx>
        <w:trPr>
          <w:trHeight w:val="5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DA3232"/>
                <w:sz w:val="22"/>
                <w:szCs w:val="22"/>
                <w:u w:val="none"/>
              </w:rPr>
            </w:pP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巫溪县尖山镇人民政府整体监控</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50023800024P000081</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99.68</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512-巫溪县尖山镇人民政府</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刘林</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15223536596</w:t>
            </w:r>
          </w:p>
        </w:tc>
      </w:tr>
      <w:tr>
        <w:tblPrEx>
          <w:shd w:val="clear" w:color="auto" w:fill="auto"/>
          <w:tblCellMar>
            <w:top w:w="0" w:type="dxa"/>
            <w:left w:w="0" w:type="dxa"/>
            <w:bottom w:w="0" w:type="dxa"/>
            <w:right w:w="0" w:type="dxa"/>
          </w:tblCellMar>
        </w:tblPrEx>
        <w:trPr>
          <w:trHeight w:val="613"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shd w:val="clear" w:color="auto" w:fill="auto"/>
          <w:tblCellMar>
            <w:top w:w="0" w:type="dxa"/>
            <w:left w:w="0" w:type="dxa"/>
            <w:bottom w:w="0" w:type="dxa"/>
            <w:right w:w="0" w:type="dxa"/>
          </w:tblCellMar>
        </w:tblPrEx>
        <w:trPr>
          <w:trHeight w:val="500" w:hRule="atLeast"/>
        </w:trPr>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96.76</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w:t>
            </w: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96.76</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22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68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720" w:hRule="atLeast"/>
        </w:trPr>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政策引导，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 围绕“保、优、延、减、稳”的原则，进一步落实“有保有压”，加强“保民生、保工资、保运转”等重点领域经费保障，压减一般性支出，进一步优化支出结构，严格政府采购管理，规范经费开支标准，提升财政资金使用绩效。</w:t>
            </w:r>
          </w:p>
        </w:tc>
        <w:tc>
          <w:tcPr>
            <w:tcW w:w="122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68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政策引导，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 围绕“保、优、延、减、稳”的原则，进一步落实“有保有压”，加强“保民生、保工资、保运转”等重点领域经费保障，压减一般性支出，进一步优化支出结构，严格政府采购管理，规范经费开支标准，提升财政资金使用绩效。</w:t>
            </w:r>
          </w:p>
        </w:tc>
      </w:tr>
      <w:tr>
        <w:tblPrEx>
          <w:shd w:val="clear" w:color="auto" w:fill="auto"/>
          <w:tblCellMar>
            <w:top w:w="0" w:type="dxa"/>
            <w:left w:w="0" w:type="dxa"/>
            <w:bottom w:w="0" w:type="dxa"/>
            <w:right w:w="0" w:type="dxa"/>
          </w:tblCellMar>
        </w:tblPrEx>
        <w:trPr>
          <w:trHeight w:val="6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举办群团活动场次</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选举人大代表人数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补助资金按时发放率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年度预决算按时公开率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补助惠民政策落实率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严重精神障碍患者以奖代补人数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政务服务居民满意度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default" w:ascii="方正仿宋_GBK" w:hAnsi="方正仿宋_GBK" w:eastAsia="方正仿宋_GBK" w:cs="方正仿宋_GBK"/>
          <w:kern w:val="0"/>
          <w:sz w:val="32"/>
          <w:szCs w:val="32"/>
          <w:shd w:val="clear" w:fill="FFFFFF"/>
          <w:lang w:val="en-US" w:eastAsia="zh-CN"/>
        </w:rPr>
      </w:pPr>
      <w:bookmarkStart w:id="0" w:name="_GoBack"/>
      <w:bookmarkEnd w:id="0"/>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2570" w:firstLineChars="8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7"/>
        <w:tblW w:w="5000" w:type="pct"/>
        <w:tblInd w:w="0" w:type="dxa"/>
        <w:shd w:val="clear" w:color="auto" w:fill="auto"/>
        <w:tblLayout w:type="fixed"/>
        <w:tblCellMar>
          <w:top w:w="0" w:type="dxa"/>
          <w:left w:w="0" w:type="dxa"/>
          <w:bottom w:w="0" w:type="dxa"/>
          <w:right w:w="0" w:type="dxa"/>
        </w:tblCellMar>
      </w:tblPr>
      <w:tblGrid>
        <w:gridCol w:w="1239"/>
        <w:gridCol w:w="717"/>
        <w:gridCol w:w="600"/>
        <w:gridCol w:w="583"/>
        <w:gridCol w:w="817"/>
        <w:gridCol w:w="766"/>
        <w:gridCol w:w="850"/>
        <w:gridCol w:w="717"/>
        <w:gridCol w:w="750"/>
        <w:gridCol w:w="733"/>
        <w:gridCol w:w="573"/>
      </w:tblGrid>
      <w:tr>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DA3232"/>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巫溪县尖山镇2024年脱贫户、监测户产业帮扶项目（溪乡振发〔2024〕7号）</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50023824T000004472864</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512-巫溪县尖山镇人民政府</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15223536596</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188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8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3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trPr>
        <w:tc>
          <w:tcPr>
            <w:tcW w:w="188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c>
          <w:tcPr>
            <w:tcW w:w="18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c>
          <w:tcPr>
            <w:tcW w:w="123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发展到户产业帮扶补助户数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补贴资金在规定时间内支付到位率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家庭人均纯收入10000元至16118元之间中不增反降的脱贫户补助标准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家庭人均纯收入低于1万元以下的脱贫户及未消除风险监测户补助标准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其他脱贫户补助标准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特色产业带动户均增加产业收入</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受益总人口数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项目可持续性</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0"/>
        <w:numPr>
          <w:ilvl w:val="0"/>
          <w:numId w:val="0"/>
        </w:numPr>
        <w:autoSpaceDE w:val="0"/>
        <w:ind w:firstLine="320" w:firstLineChars="1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0"/>
        <w:numPr>
          <w:ilvl w:val="0"/>
          <w:numId w:val="0"/>
        </w:numPr>
        <w:autoSpaceDE w:val="0"/>
        <w:ind w:firstLine="320" w:firstLineChars="1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51637016</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巫溪县尖山镇人民政府（本级）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515.93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4,228.02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4,228.02</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巫溪县尖山镇人民政府（本级）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4,228.02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4,228.02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巫溪县尖山镇人民政府（本级）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4,228.02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662.73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3,565.30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433.51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巫溪县尖山镇人民政府（本级）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515.93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515.93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巫溪县尖山镇人民政府（本级）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4,228.02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662.73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3,565.30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4,228.02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662.73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3,565.30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3,003.76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2,976.32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3,003.76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2,976.32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2,612.18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2,591.69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2,612.18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2,591.69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433.51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433.51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巫溪县尖山镇人民政府（本级）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463.17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93.73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138.41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21.14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586.13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巫溪县尖山镇人民政府（本级）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巫溪县尖山镇人民政府（本级）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巫溪县尖山镇人民政府（本级）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1,220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10.90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1.80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CC48F7"/>
    <w:rsid w:val="01F3521E"/>
    <w:rsid w:val="03E3214F"/>
    <w:rsid w:val="04446191"/>
    <w:rsid w:val="044C50BA"/>
    <w:rsid w:val="04972FFD"/>
    <w:rsid w:val="05066DF3"/>
    <w:rsid w:val="06A2550B"/>
    <w:rsid w:val="06F80EE2"/>
    <w:rsid w:val="07001CCA"/>
    <w:rsid w:val="075678DB"/>
    <w:rsid w:val="08051BCA"/>
    <w:rsid w:val="08887FC5"/>
    <w:rsid w:val="08A45B64"/>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9E7F16"/>
    <w:rsid w:val="0F7B732C"/>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4B42310"/>
    <w:rsid w:val="1580711B"/>
    <w:rsid w:val="189B0D0B"/>
    <w:rsid w:val="192F73AA"/>
    <w:rsid w:val="194A1770"/>
    <w:rsid w:val="19917D9C"/>
    <w:rsid w:val="19B906A4"/>
    <w:rsid w:val="1A1F744B"/>
    <w:rsid w:val="1A4854EC"/>
    <w:rsid w:val="1B6F15B6"/>
    <w:rsid w:val="1BAA2EDC"/>
    <w:rsid w:val="1BE607FA"/>
    <w:rsid w:val="1CE157EE"/>
    <w:rsid w:val="1D014A01"/>
    <w:rsid w:val="1D022362"/>
    <w:rsid w:val="1DD26311"/>
    <w:rsid w:val="1EF67CA4"/>
    <w:rsid w:val="1FCD26AF"/>
    <w:rsid w:val="20642787"/>
    <w:rsid w:val="21556F04"/>
    <w:rsid w:val="2232251A"/>
    <w:rsid w:val="22403BD3"/>
    <w:rsid w:val="22467353"/>
    <w:rsid w:val="24B92327"/>
    <w:rsid w:val="2533755C"/>
    <w:rsid w:val="26396DF4"/>
    <w:rsid w:val="270642A6"/>
    <w:rsid w:val="27167136"/>
    <w:rsid w:val="27B23302"/>
    <w:rsid w:val="285B7F47"/>
    <w:rsid w:val="29310A5F"/>
    <w:rsid w:val="299947CC"/>
    <w:rsid w:val="29C37A35"/>
    <w:rsid w:val="29C95E09"/>
    <w:rsid w:val="2A076083"/>
    <w:rsid w:val="2A73162E"/>
    <w:rsid w:val="2AC37092"/>
    <w:rsid w:val="2B167953"/>
    <w:rsid w:val="2B200583"/>
    <w:rsid w:val="2B8209DE"/>
    <w:rsid w:val="2C161D32"/>
    <w:rsid w:val="2C2D3EC7"/>
    <w:rsid w:val="2C507045"/>
    <w:rsid w:val="2C6762A3"/>
    <w:rsid w:val="2D8D2A49"/>
    <w:rsid w:val="2EA85888"/>
    <w:rsid w:val="2FE029D7"/>
    <w:rsid w:val="2FF06E00"/>
    <w:rsid w:val="30D01E57"/>
    <w:rsid w:val="315D199F"/>
    <w:rsid w:val="315F0B22"/>
    <w:rsid w:val="31D84415"/>
    <w:rsid w:val="32285F6F"/>
    <w:rsid w:val="32770556"/>
    <w:rsid w:val="329C0913"/>
    <w:rsid w:val="3337290D"/>
    <w:rsid w:val="333F4494"/>
    <w:rsid w:val="338855B9"/>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EC62F0B"/>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E10B23"/>
    <w:rsid w:val="443A3B12"/>
    <w:rsid w:val="44A854C2"/>
    <w:rsid w:val="44DD597D"/>
    <w:rsid w:val="465B470D"/>
    <w:rsid w:val="469D6AD4"/>
    <w:rsid w:val="47674801"/>
    <w:rsid w:val="48225EF7"/>
    <w:rsid w:val="495C4A24"/>
    <w:rsid w:val="4AD70EE7"/>
    <w:rsid w:val="4B7951CB"/>
    <w:rsid w:val="4B7C315C"/>
    <w:rsid w:val="4BAB7F90"/>
    <w:rsid w:val="4DAC4ACA"/>
    <w:rsid w:val="4E391683"/>
    <w:rsid w:val="4EF5183C"/>
    <w:rsid w:val="4F186D58"/>
    <w:rsid w:val="50EC262C"/>
    <w:rsid w:val="522F6E0C"/>
    <w:rsid w:val="52463BA1"/>
    <w:rsid w:val="53C0244D"/>
    <w:rsid w:val="53DD4D4E"/>
    <w:rsid w:val="53E578CE"/>
    <w:rsid w:val="543B029D"/>
    <w:rsid w:val="545D0246"/>
    <w:rsid w:val="554E5773"/>
    <w:rsid w:val="555A3CBC"/>
    <w:rsid w:val="56530F5D"/>
    <w:rsid w:val="5842572D"/>
    <w:rsid w:val="5891059F"/>
    <w:rsid w:val="5AE75037"/>
    <w:rsid w:val="5B58571C"/>
    <w:rsid w:val="5B8376C2"/>
    <w:rsid w:val="5B96133A"/>
    <w:rsid w:val="5C1336B7"/>
    <w:rsid w:val="5C263CE4"/>
    <w:rsid w:val="5C5D2777"/>
    <w:rsid w:val="5D290C69"/>
    <w:rsid w:val="5D537F41"/>
    <w:rsid w:val="5EFA176D"/>
    <w:rsid w:val="5F0247F9"/>
    <w:rsid w:val="5F046F8B"/>
    <w:rsid w:val="5F2D4A41"/>
    <w:rsid w:val="5F7E026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B43FB5"/>
    <w:rsid w:val="692172FD"/>
    <w:rsid w:val="6A3829EE"/>
    <w:rsid w:val="6AB57F16"/>
    <w:rsid w:val="6B474EF5"/>
    <w:rsid w:val="6C560CAE"/>
    <w:rsid w:val="6D0615E4"/>
    <w:rsid w:val="6D903FF5"/>
    <w:rsid w:val="6DA955B8"/>
    <w:rsid w:val="6DE346AB"/>
    <w:rsid w:val="6F7F6A2D"/>
    <w:rsid w:val="6FB442D1"/>
    <w:rsid w:val="6FFB2E76"/>
    <w:rsid w:val="719340BE"/>
    <w:rsid w:val="71C34D91"/>
    <w:rsid w:val="71ED38AA"/>
    <w:rsid w:val="71F72B63"/>
    <w:rsid w:val="720229AA"/>
    <w:rsid w:val="72DB435C"/>
    <w:rsid w:val="72FB5C97"/>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E4F2F4A"/>
    <w:rsid w:val="7E5B7ABF"/>
    <w:rsid w:val="7EDF150F"/>
    <w:rsid w:val="7F3E4436"/>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30"/>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小岛</cp:lastModifiedBy>
  <dcterms:modified xsi:type="dcterms:W3CDTF">2025-09-15T08:45:57Z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9EDAFD8FD9424A54844071572B3E9A06_13</vt:lpwstr>
  </property>
</Properties>
</file>