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1760" w:firstLineChars="400"/>
        <w:jc w:val="both"/>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巫溪县兰英乡农业服务中心</w:t>
      </w:r>
    </w:p>
    <w:p>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720" w:firstLineChars="200"/>
        <w:jc w:val="center"/>
        <w:textAlignment w:val="auto"/>
        <w:rPr>
          <w:rFonts w:hint="eastAsia" w:ascii="方正小标宋_GBK" w:hAnsi="方正小标宋_GBK" w:eastAsia="方正小标宋_GBK" w:cs="方正小标宋_GBK"/>
          <w:sz w:val="36"/>
          <w:szCs w:val="36"/>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巫溪县</w:t>
      </w:r>
      <w:r>
        <w:rPr>
          <w:rFonts w:hint="eastAsia" w:ascii="Times New Roman" w:hAnsi="Times New Roman" w:eastAsia="方正仿宋_GBK" w:cs="Times New Roman"/>
          <w:sz w:val="32"/>
          <w:szCs w:val="32"/>
          <w:lang w:eastAsia="zh-CN"/>
        </w:rPr>
        <w:t>兰英乡产业发展服务中心</w:t>
      </w:r>
      <w:r>
        <w:rPr>
          <w:rFonts w:hint="default" w:ascii="Times New Roman" w:hAnsi="Times New Roman" w:eastAsia="方正仿宋_GBK" w:cs="Times New Roman"/>
          <w:sz w:val="32"/>
          <w:szCs w:val="32"/>
        </w:rPr>
        <w:t>是巫溪县</w:t>
      </w:r>
      <w:r>
        <w:rPr>
          <w:rFonts w:hint="eastAsia" w:ascii="Times New Roman" w:hAnsi="Times New Roman" w:eastAsia="方正仿宋_GBK" w:cs="Times New Roman"/>
          <w:sz w:val="32"/>
          <w:szCs w:val="32"/>
          <w:lang w:eastAsia="zh-CN"/>
        </w:rPr>
        <w:t>兰英乡</w:t>
      </w:r>
      <w:r>
        <w:rPr>
          <w:rFonts w:hint="default" w:ascii="Times New Roman" w:hAnsi="Times New Roman" w:eastAsia="方正仿宋_GBK" w:cs="Times New Roman"/>
          <w:sz w:val="32"/>
          <w:szCs w:val="32"/>
        </w:rPr>
        <w:t>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指导和帮助村民委员会搞好组织建设和制度建设以及群众自治；配合有关部门做好防汛、防风、防火、防震、抢险和防灾工作。</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本部门</w:t>
      </w:r>
      <w:r>
        <w:rPr>
          <w:rFonts w:hint="default" w:ascii="Times New Roman" w:hAnsi="Times New Roman" w:eastAsia="方正仿宋_GBK" w:cs="Times New Roman"/>
          <w:sz w:val="32"/>
          <w:szCs w:val="32"/>
        </w:rPr>
        <w:t>是巫溪县</w:t>
      </w:r>
      <w:r>
        <w:rPr>
          <w:rFonts w:hint="eastAsia" w:ascii="Times New Roman" w:hAnsi="Times New Roman" w:eastAsia="方正仿宋_GBK" w:cs="Times New Roman"/>
          <w:sz w:val="32"/>
          <w:szCs w:val="32"/>
          <w:lang w:eastAsia="zh-CN"/>
        </w:rPr>
        <w:t>兰英乡</w:t>
      </w:r>
      <w:r>
        <w:rPr>
          <w:rFonts w:hint="default" w:ascii="Times New Roman" w:hAnsi="Times New Roman" w:eastAsia="方正仿宋_GBK" w:cs="Times New Roman"/>
          <w:sz w:val="32"/>
          <w:szCs w:val="32"/>
        </w:rPr>
        <w:t>人民政府的下设机构</w:t>
      </w:r>
      <w:r>
        <w:rPr>
          <w:rFonts w:hint="eastAsia" w:ascii="Times New Roman" w:hAnsi="Times New Roman" w:eastAsia="方正仿宋_GBK" w:cs="Times New Roman"/>
          <w:sz w:val="32"/>
          <w:szCs w:val="32"/>
          <w:lang w:eastAsia="zh-CN"/>
        </w:rPr>
        <w:t>，</w:t>
      </w:r>
      <w:r>
        <w:rPr>
          <w:rFonts w:hint="eastAsia" w:ascii="仿宋_GB2312" w:hAnsi="仿宋_GB2312" w:eastAsia="仿宋_GB2312" w:cs="仿宋_GB2312"/>
          <w:color w:val="auto"/>
          <w:sz w:val="32"/>
          <w:highlight w:val="none"/>
          <w:lang w:val="en-US" w:eastAsia="zh-CN"/>
        </w:rPr>
        <w:t>从预算单位构成看，纳入兰英乡农业服务中心2024年度部门决算编报的单位共5个，分别是：便民服务中心、综合行政执法大队、产业发展服务中心、新时代文明服务实践中心、基础治理服务中心。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2" w:firstLineChars="200"/>
        <w:textAlignment w:val="auto"/>
        <w:rPr>
          <w:rFonts w:hint="eastAsia" w:ascii="仿宋_GB2312" w:hAnsi="仿宋_GB2312" w:eastAsia="仿宋_GB2312" w:cs="仿宋_GB2312"/>
          <w:sz w:val="32"/>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度收入总计202.38万元，支出总计</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万元。收、支与2023年度相比，增加202.38万元，增长100.0%，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度收入合计202.38万元，与2023年度相比，增加202.38万元，增长100.0%，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万元，与2023年度相比，增加202.38万元，增长100.0%，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2"/>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仿宋_GB2312" w:hAnsi="仿宋_GB2312" w:eastAsia="仿宋_GB2312" w:cs="仿宋_GB2312"/>
          <w:sz w:val="32"/>
          <w:lang w:val="en-US" w:eastAsia="zh-CN"/>
        </w:rPr>
        <w:t>2024年本单位为新增单位，上年度无结转结余。</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度财政拨款收、支总计202.38万元。与202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万元，与2023年度相比，增加202.38万元，增长100.0%。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ascii="方正仿宋_GBK" w:hAnsi="方正仿宋_GBK" w:eastAsia="方正仿宋_GBK" w:cs="方正仿宋_GBK"/>
          <w:sz w:val="32"/>
          <w:szCs w:val="32"/>
          <w:shd w:val="clear" w:color="auto" w:fill="FFFFFF"/>
        </w:rPr>
        <w:t>较年初预算数减少1.57万元，下降0.8%。主要原因是</w:t>
      </w:r>
      <w:r>
        <w:rPr>
          <w:rFonts w:hint="eastAsia" w:ascii="方正仿宋_GBK" w:hAnsi="方正仿宋_GBK" w:eastAsia="方正仿宋_GBK" w:cs="方正仿宋_GBK"/>
          <w:sz w:val="32"/>
          <w:szCs w:val="32"/>
          <w:shd w:val="clear" w:color="auto" w:fill="FFFFFF"/>
          <w:lang w:eastAsia="zh-CN"/>
        </w:rPr>
        <w:t>厉行节约政策落实，</w:t>
      </w:r>
      <w:r>
        <w:rPr>
          <w:rFonts w:hint="eastAsia" w:ascii="方正仿宋_GBK" w:hAnsi="方正仿宋_GBK" w:eastAsia="方正仿宋_GBK" w:cs="方正仿宋_GBK"/>
          <w:color w:val="auto"/>
          <w:sz w:val="32"/>
          <w:szCs w:val="32"/>
          <w:shd w:val="clear" w:color="auto" w:fill="FFFFFF"/>
          <w:lang w:eastAsia="zh-CN"/>
        </w:rPr>
        <w:t>公用经费压缩。</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万元，与2023年度相比，增加202.38万元，增长100.0%。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ascii="方正仿宋_GBK" w:hAnsi="方正仿宋_GBK" w:eastAsia="方正仿宋_GBK" w:cs="方正仿宋_GBK"/>
          <w:sz w:val="32"/>
          <w:szCs w:val="32"/>
          <w:shd w:val="clear" w:color="auto" w:fill="FFFFFF"/>
        </w:rPr>
        <w:t>较年初预算数减少1.57万元，下降0.8%。主要原因是</w:t>
      </w:r>
      <w:r>
        <w:rPr>
          <w:rFonts w:hint="eastAsia" w:ascii="方正仿宋_GBK" w:hAnsi="方正仿宋_GBK" w:eastAsia="方正仿宋_GBK" w:cs="方正仿宋_GBK"/>
          <w:sz w:val="32"/>
          <w:szCs w:val="32"/>
          <w:shd w:val="clear" w:color="auto" w:fill="FFFFFF"/>
          <w:lang w:eastAsia="zh-CN"/>
        </w:rPr>
        <w:t>厉行节约政策落实，</w:t>
      </w:r>
      <w:r>
        <w:rPr>
          <w:rFonts w:hint="eastAsia" w:ascii="方正仿宋_GBK" w:hAnsi="方正仿宋_GBK" w:eastAsia="方正仿宋_GBK" w:cs="方正仿宋_GBK"/>
          <w:color w:val="auto"/>
          <w:sz w:val="32"/>
          <w:szCs w:val="32"/>
          <w:shd w:val="clear" w:color="auto" w:fill="FFFFFF"/>
          <w:lang w:eastAsia="zh-CN"/>
        </w:rPr>
        <w:t>公用经费压缩。</w:t>
      </w:r>
    </w:p>
    <w:p>
      <w:pPr>
        <w:pStyle w:val="12"/>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仿宋_GB2312" w:hAnsi="仿宋_GB2312" w:eastAsia="仿宋_GB2312" w:cs="仿宋_GB2312"/>
          <w:sz w:val="32"/>
          <w:lang w:val="en-US" w:eastAsia="zh-CN"/>
        </w:rPr>
        <w:t>2024年本单位为新增单位，上年度无结转结余。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158.41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78.27</w:t>
      </w:r>
      <w:r>
        <w:rPr>
          <w:rFonts w:ascii="方正仿宋_GBK" w:hAnsi="方正仿宋_GBK" w:eastAsia="方正仿宋_GBK" w:cs="方正仿宋_GBK"/>
          <w:sz w:val="32"/>
          <w:szCs w:val="32"/>
          <w:shd w:val="clear" w:color="auto" w:fill="FFFFFF"/>
        </w:rPr>
        <w:t>%，较年初预算数减少4.48万元，下降2.8%，主要原因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厉行节约政策落实，</w:t>
      </w:r>
      <w:r>
        <w:rPr>
          <w:rFonts w:hint="eastAsia" w:ascii="方正仿宋_GBK" w:hAnsi="方正仿宋_GBK" w:eastAsia="方正仿宋_GBK" w:cs="方正仿宋_GBK"/>
          <w:color w:val="auto"/>
          <w:sz w:val="32"/>
          <w:szCs w:val="32"/>
          <w:shd w:val="clear" w:color="auto" w:fill="FFFFFF"/>
          <w:lang w:eastAsia="zh-CN"/>
        </w:rPr>
        <w:t>公用经费压缩。</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25.48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12.59</w:t>
      </w:r>
      <w:r>
        <w:rPr>
          <w:rFonts w:ascii="方正仿宋_GBK" w:hAnsi="方正仿宋_GBK" w:eastAsia="方正仿宋_GBK" w:cs="方正仿宋_GBK"/>
          <w:sz w:val="32"/>
          <w:szCs w:val="32"/>
          <w:shd w:val="clear" w:color="auto" w:fill="FFFFFF"/>
        </w:rPr>
        <w:t>%，较年初预算数增加2.92万元，增长12.9%，主要原因是社会保障与就业支出</w:t>
      </w:r>
      <w:r>
        <w:rPr>
          <w:rFonts w:hint="eastAsia" w:ascii="方正仿宋_GBK" w:hAnsi="方正仿宋_GBK" w:eastAsia="方正仿宋_GBK" w:cs="方正仿宋_GBK"/>
          <w:sz w:val="32"/>
          <w:szCs w:val="32"/>
          <w:shd w:val="clear" w:color="auto" w:fill="FFFFFF"/>
          <w:lang w:eastAsia="zh-CN"/>
        </w:rPr>
        <w:t>为</w:t>
      </w:r>
      <w:r>
        <w:rPr>
          <w:rFonts w:hint="eastAsia" w:ascii="方正仿宋_GBK" w:hAnsi="方正仿宋_GBK" w:eastAsia="方正仿宋_GBK" w:cs="方正仿宋_GBK"/>
          <w:color w:val="auto"/>
          <w:sz w:val="32"/>
          <w:szCs w:val="32"/>
          <w:shd w:val="clear" w:color="auto" w:fill="FFFFFF"/>
        </w:rPr>
        <w:t>事业单位职业年金缴费支出</w:t>
      </w:r>
      <w:r>
        <w:rPr>
          <w:rFonts w:hint="eastAsia" w:ascii="方正仿宋_GBK" w:hAnsi="方正仿宋_GBK" w:eastAsia="方正仿宋_GBK" w:cs="方正仿宋_GBK"/>
          <w:color w:val="auto"/>
          <w:sz w:val="32"/>
          <w:szCs w:val="32"/>
          <w:shd w:val="clear" w:color="auto" w:fill="FFFFFF"/>
          <w:lang w:eastAsia="zh-CN"/>
        </w:rPr>
        <w:t>及基本养老保险缴费支出，年中追加预算。</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4.16</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主要原因是卫生健康支出</w:t>
      </w:r>
      <w:r>
        <w:rPr>
          <w:rFonts w:hint="eastAsia" w:ascii="方正仿宋_GBK" w:hAnsi="方正仿宋_GBK" w:eastAsia="方正仿宋_GBK" w:cs="方正仿宋_GBK"/>
          <w:color w:val="auto"/>
          <w:sz w:val="32"/>
          <w:szCs w:val="32"/>
          <w:shd w:val="clear" w:color="auto" w:fill="FFFFFF"/>
          <w:lang w:eastAsia="zh-CN"/>
        </w:rPr>
        <w:t>为事业单位医疗保险，按年初预算拨款，年中不进行调整。</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4.99</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color w:val="auto"/>
          <w:sz w:val="32"/>
          <w:szCs w:val="32"/>
          <w:shd w:val="clear" w:fill="FFFFFF"/>
          <w:lang w:eastAsia="zh-CN"/>
        </w:rPr>
        <w:t>缴纳职工公积金，</w:t>
      </w:r>
      <w:r>
        <w:rPr>
          <w:rFonts w:hint="eastAsia" w:ascii="方正仿宋_GBK" w:hAnsi="方正仿宋_GBK" w:eastAsia="方正仿宋_GBK" w:cs="方正仿宋_GBK"/>
          <w:color w:val="auto"/>
          <w:sz w:val="32"/>
          <w:szCs w:val="32"/>
          <w:shd w:val="clear" w:color="auto" w:fill="FFFFFF"/>
          <w:lang w:eastAsia="zh-CN"/>
        </w:rPr>
        <w:t>按年初预算拨款，年中不进行调整。</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202.38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182.08</w:t>
      </w:r>
      <w:r>
        <w:rPr>
          <w:rFonts w:ascii="方正仿宋_GBK" w:hAnsi="方正仿宋_GBK" w:eastAsia="方正仿宋_GBK" w:cs="方正仿宋_GBK"/>
          <w:sz w:val="32"/>
          <w:szCs w:val="32"/>
          <w:shd w:val="clear" w:color="auto" w:fill="FFFFFF"/>
        </w:rPr>
        <w:t>万元，与2023年度相比，增加182.08万元，增长100.0%，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hint="eastAsia" w:ascii="方正仿宋_GBK" w:hAnsi="方正仿宋_GBK" w:eastAsia="方正仿宋_GBK" w:cs="方正仿宋_GBK"/>
          <w:color w:val="000000"/>
          <w:sz w:val="32"/>
          <w:szCs w:val="32"/>
          <w:lang w:eastAsia="zh-CN"/>
        </w:rPr>
        <w:t>人员经费用途主要包括</w:t>
      </w:r>
      <w:r>
        <w:rPr>
          <w:rFonts w:hint="eastAsia" w:ascii="方正仿宋_GBK" w:hAnsi="方正仿宋_GBK" w:eastAsia="方正仿宋_GBK" w:cs="方正仿宋_GBK"/>
          <w:color w:val="000000"/>
          <w:sz w:val="32"/>
          <w:szCs w:val="32"/>
          <w:shd w:val="clear" w:fill="FFFFFF"/>
          <w:lang w:eastAsia="zh-CN"/>
        </w:rPr>
        <w:t>包括基本工资、津贴补贴、绩效工资、奖金、社保及公积金缴费等。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20.30</w:t>
      </w:r>
      <w:r>
        <w:rPr>
          <w:rFonts w:ascii="方正仿宋_GBK" w:hAnsi="方正仿宋_GBK" w:eastAsia="方正仿宋_GBK" w:cs="方正仿宋_GBK"/>
          <w:sz w:val="32"/>
          <w:szCs w:val="32"/>
          <w:shd w:val="clear" w:color="auto" w:fill="FFFFFF"/>
        </w:rPr>
        <w:t>万元，与2023年度相比，增加20.30万元，增长100.0%，</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2024年本单位为新增单位，上年度无预算，故增长为100%。</w:t>
      </w:r>
      <w:r>
        <w:rPr>
          <w:rFonts w:hint="eastAsia" w:ascii="方正仿宋_GBK" w:hAnsi="方正仿宋_GBK" w:eastAsia="方正仿宋_GBK" w:cs="方正仿宋_GBK"/>
          <w:color w:val="000000"/>
          <w:sz w:val="32"/>
          <w:szCs w:val="32"/>
          <w:lang w:eastAsia="zh-CN"/>
        </w:rPr>
        <w:t>公用经费用途主要包括</w:t>
      </w:r>
      <w:r>
        <w:rPr>
          <w:rFonts w:hint="eastAsia" w:ascii="方正仿宋_GBK" w:hAnsi="方正仿宋_GBK" w:eastAsia="方正仿宋_GBK" w:cs="方正仿宋_GBK"/>
          <w:color w:val="000000"/>
          <w:sz w:val="32"/>
          <w:szCs w:val="32"/>
          <w:shd w:val="clear" w:fill="FFFFFF"/>
          <w:lang w:eastAsia="zh-CN"/>
        </w:rPr>
        <w:t>办公费、电费、邮电费、差旅费等。</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10"/>
          <w:rFonts w:ascii="方正仿宋_GBK" w:hAnsi="方正仿宋_GBK" w:eastAsia="方正仿宋_GBK" w:cs="方正仿宋_GBK"/>
          <w:b w:val="0"/>
          <w:bCs/>
          <w:sz w:val="32"/>
          <w:szCs w:val="32"/>
          <w:shd w:val="clear" w:color="auto" w:fill="auto"/>
        </w:rPr>
        <w:t>本部门</w:t>
      </w:r>
      <w:r>
        <w:rPr>
          <w:rStyle w:val="10"/>
          <w:rFonts w:hint="eastAsia" w:ascii="方正仿宋_GBK" w:hAnsi="方正仿宋_GBK" w:eastAsia="方正仿宋_GBK" w:cs="方正仿宋_GBK"/>
          <w:b w:val="0"/>
          <w:bCs/>
          <w:sz w:val="32"/>
          <w:szCs w:val="32"/>
          <w:shd w:val="clear" w:color="auto" w:fill="auto"/>
          <w:lang w:eastAsia="zh-CN"/>
        </w:rPr>
        <w:t>2024年</w:t>
      </w:r>
      <w:r>
        <w:rPr>
          <w:rStyle w:val="10"/>
          <w:rFonts w:ascii="方正仿宋_GBK" w:hAnsi="方正仿宋_GBK" w:eastAsia="方正仿宋_GBK" w:cs="方正仿宋_GBK"/>
          <w:b w:val="0"/>
          <w:bCs/>
          <w:sz w:val="32"/>
          <w:szCs w:val="32"/>
          <w:shd w:val="clear" w:color="auto" w:fill="auto"/>
        </w:rPr>
        <w:t>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10"/>
          <w:rFonts w:ascii="方正仿宋_GBK" w:hAnsi="方正仿宋_GBK" w:eastAsia="方正仿宋_GBK" w:cs="方正仿宋_GBK"/>
          <w:b w:val="0"/>
          <w:bCs/>
          <w:sz w:val="32"/>
          <w:szCs w:val="32"/>
          <w:shd w:val="clear" w:color="auto" w:fill="auto"/>
        </w:rPr>
        <w:t>本部门</w:t>
      </w:r>
      <w:r>
        <w:rPr>
          <w:rStyle w:val="10"/>
          <w:rFonts w:hint="eastAsia" w:ascii="方正仿宋_GBK" w:hAnsi="方正仿宋_GBK" w:eastAsia="方正仿宋_GBK" w:cs="方正仿宋_GBK"/>
          <w:b w:val="0"/>
          <w:bCs/>
          <w:sz w:val="32"/>
          <w:szCs w:val="32"/>
          <w:shd w:val="clear" w:color="auto" w:fill="auto"/>
          <w:lang w:eastAsia="zh-CN"/>
        </w:rPr>
        <w:t>2024年</w:t>
      </w:r>
      <w:r>
        <w:rPr>
          <w:rStyle w:val="10"/>
          <w:rFonts w:ascii="方正仿宋_GBK" w:hAnsi="方正仿宋_GBK" w:eastAsia="方正仿宋_GBK" w:cs="方正仿宋_GBK"/>
          <w:b w:val="0"/>
          <w:bCs/>
          <w:sz w:val="32"/>
          <w:szCs w:val="32"/>
          <w:shd w:val="clear" w:color="auto" w:fill="auto"/>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w:t>
      </w:r>
      <w:r>
        <w:rPr>
          <w:rFonts w:ascii="方正仿宋_GBK" w:hAnsi="方正仿宋_GBK" w:eastAsia="方正仿宋_GBK" w:cs="方正仿宋_GBK"/>
          <w:sz w:val="32"/>
          <w:szCs w:val="32"/>
          <w:shd w:val="clear" w:color="auto" w:fill="FFFFFF"/>
        </w:rPr>
        <w:t>较上年支出数无增减，</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fill="FFFFFF"/>
          <w:lang w:eastAsia="zh-CN"/>
        </w:rPr>
      </w:pPr>
      <w:r>
        <w:rPr>
          <w:rFonts w:hint="eastAsia" w:ascii="方正仿宋_GBK" w:hAnsi="方正仿宋_GBK" w:eastAsia="方正仿宋_GBK" w:cs="Times New Roman"/>
          <w:color w:val="auto"/>
          <w:sz w:val="32"/>
          <w:szCs w:val="32"/>
          <w:shd w:val="clear" w:fill="FFFFFF"/>
          <w:lang w:val="en-US"/>
        </w:rPr>
        <w:t>202</w:t>
      </w:r>
      <w:r>
        <w:rPr>
          <w:rFonts w:hint="eastAsia" w:ascii="方正仿宋_GBK" w:hAnsi="方正仿宋_GBK"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lang w:eastAsia="zh-CN"/>
        </w:rPr>
        <w:t>年度本单位未发生因公出国（境）费用。</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shd w:val="clear" w:fill="FFFFFF"/>
          <w:lang w:eastAsia="zh-CN"/>
        </w:rPr>
      </w:pPr>
      <w:r>
        <w:rPr>
          <w:rFonts w:hint="eastAsia" w:ascii="方正仿宋_GBK" w:hAnsi="方正仿宋_GBK" w:eastAsia="方正仿宋_GBK" w:cs="Times New Roman"/>
          <w:color w:val="auto"/>
          <w:sz w:val="32"/>
          <w:szCs w:val="32"/>
          <w:shd w:val="clear" w:fill="FFFFFF"/>
          <w:lang w:val="en-US"/>
        </w:rPr>
        <w:t>202</w:t>
      </w:r>
      <w:r>
        <w:rPr>
          <w:rFonts w:hint="eastAsia" w:ascii="方正仿宋_GBK" w:hAnsi="方正仿宋_GBK"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lang w:eastAsia="zh-CN"/>
        </w:rPr>
        <w:t>年度本单位未发生公务车购置费。</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Times New Roman"/>
          <w:color w:val="auto"/>
          <w:sz w:val="32"/>
          <w:szCs w:val="32"/>
          <w:shd w:val="clear" w:fill="FFFFFF"/>
          <w:lang w:val="en-US"/>
        </w:rPr>
        <w:t>2</w:t>
      </w:r>
      <w:r>
        <w:rPr>
          <w:rFonts w:hint="eastAsia" w:ascii="方正仿宋_GBK" w:hAnsi="方正仿宋_GBK" w:eastAsia="方正仿宋_GBK" w:cs="Times New Roman"/>
          <w:color w:val="auto"/>
          <w:sz w:val="32"/>
          <w:szCs w:val="32"/>
          <w:shd w:val="clear" w:fill="FFFFFF"/>
          <w:lang w:val="en-US" w:eastAsia="zh-CN"/>
        </w:rPr>
        <w:t>024</w:t>
      </w:r>
      <w:r>
        <w:rPr>
          <w:rFonts w:hint="eastAsia" w:ascii="方正仿宋_GBK" w:hAnsi="方正仿宋_GBK" w:eastAsia="方正仿宋_GBK" w:cs="方正仿宋_GBK"/>
          <w:color w:val="auto"/>
          <w:sz w:val="32"/>
          <w:szCs w:val="32"/>
          <w:shd w:val="clear" w:fill="FFFFFF"/>
          <w:lang w:eastAsia="zh-CN"/>
        </w:rPr>
        <w:t>年度本单位未发生</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Times New Roman"/>
          <w:color w:val="auto"/>
          <w:sz w:val="32"/>
          <w:szCs w:val="32"/>
          <w:shd w:val="clear" w:fill="FFFFFF"/>
          <w:lang w:val="en-US"/>
        </w:rPr>
        <w:t>2</w:t>
      </w:r>
      <w:r>
        <w:rPr>
          <w:rFonts w:hint="eastAsia" w:ascii="方正仿宋_GBK" w:hAnsi="方正仿宋_GBK" w:eastAsia="方正仿宋_GBK" w:cs="Times New Roman"/>
          <w:color w:val="auto"/>
          <w:sz w:val="32"/>
          <w:szCs w:val="32"/>
          <w:shd w:val="clear" w:fill="FFFFFF"/>
          <w:lang w:val="en-US" w:eastAsia="zh-CN"/>
        </w:rPr>
        <w:t>024</w:t>
      </w:r>
      <w:r>
        <w:rPr>
          <w:rFonts w:hint="eastAsia" w:ascii="方正仿宋_GBK" w:hAnsi="方正仿宋_GBK" w:eastAsia="方正仿宋_GBK" w:cs="方正仿宋_GBK"/>
          <w:color w:val="auto"/>
          <w:sz w:val="32"/>
          <w:szCs w:val="32"/>
          <w:shd w:val="clear" w:fill="FFFFFF"/>
          <w:lang w:eastAsia="zh-CN"/>
        </w:rPr>
        <w:t>年度本单位未发生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2024年本单位为新增单位，上年度无预算，故</w:t>
      </w:r>
      <w:r>
        <w:rPr>
          <w:rFonts w:hint="eastAsia" w:ascii="方正仿宋_GBK" w:hAnsi="方正仿宋_GBK" w:eastAsia="方正仿宋_GBK" w:cs="方正仿宋_GBK"/>
          <w:sz w:val="32"/>
          <w:szCs w:val="32"/>
          <w:shd w:val="clear" w:color="auto" w:fill="FFFFFF"/>
          <w:lang w:eastAsia="zh-CN"/>
        </w:rPr>
        <w:t>无变化。</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，因为</w:t>
      </w:r>
      <w:r>
        <w:rPr>
          <w:rFonts w:hint="default" w:ascii="方正仿宋_GBK" w:hAnsi="方正仿宋_GBK" w:eastAsia="方正仿宋_GBK" w:cs="方正仿宋_GBK"/>
          <w:color w:val="auto"/>
          <w:sz w:val="32"/>
          <w:szCs w:val="32"/>
        </w:rPr>
        <w:t>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sz w:val="32"/>
          <w:lang w:eastAsia="zh-CN"/>
        </w:rPr>
        <w:t>本单位无项目支出预算，不存在绩效目标设置情况。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楷体" w:hAnsi="楷体" w:eastAsia="楷体" w:cs="楷体"/>
          <w:b/>
          <w:bCs/>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w:t>
      </w:r>
      <w:bookmarkStart w:id="0" w:name="_GoBack"/>
      <w:r>
        <w:rPr>
          <w:rStyle w:val="10"/>
          <w:rFonts w:hint="eastAsia" w:ascii="楷体" w:hAnsi="楷体" w:eastAsia="楷体" w:cs="楷体"/>
          <w:sz w:val="32"/>
          <w:szCs w:val="32"/>
          <w:shd w:val="clear" w:color="auto" w:fill="FFFFFF"/>
          <w:lang w:val="en-US" w:eastAsia="zh-CN" w:bidi="ar-SA"/>
        </w:rPr>
        <w:t>工资</w:t>
      </w:r>
      <w:bookmarkEnd w:id="0"/>
      <w:r>
        <w:rPr>
          <w:rStyle w:val="10"/>
          <w:rFonts w:hint="eastAsia" w:ascii="楷体" w:hAnsi="楷体" w:eastAsia="楷体" w:cs="楷体"/>
          <w:sz w:val="32"/>
          <w:szCs w:val="32"/>
          <w:shd w:val="clear" w:color="auto" w:fill="FFFFFF"/>
          <w:lang w:val="en-US" w:eastAsia="zh-CN" w:bidi="ar-SA"/>
        </w:rPr>
        <w:t>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eastAsia="zh-CN"/>
        </w:rPr>
        <w:t>朱哂</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51683913</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巫溪县兰英乡农业服务中心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202.38</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巫溪县兰英乡农业服务中心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202.38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202.38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巫溪县兰英乡农业服务中心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202.38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202.38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巫溪县兰英乡农业服务中心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202.38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202.38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巫溪县兰英乡农业服务中心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182.08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3039" w:type="dxa"/>
            <w:gridSpan w:val="17"/>
            <w:tcBorders>
              <w:top w:val="nil"/>
              <w:left w:val="single" w:color="000000" w:sz="4" w:space="0"/>
              <w:bottom w:val="single" w:color="000000" w:sz="4" w:space="0"/>
              <w:right w:val="single" w:color="000000" w:sz="4" w:space="0"/>
            </w:tcBorders>
            <w:shd w:val="clear" w:color="auto" w:fill="auto"/>
            <w:vAlign w:val="center"/>
          </w:tcPr>
          <w:p>
            <w:pPr>
              <w:ind w:firstLine="400" w:firstLineChars="200"/>
              <w:rPr>
                <w:rFonts w:hint="eastAsia" w:ascii="宋体" w:hAnsi="宋体" w:eastAsia="宋体" w:cs="宋体"/>
                <w:sz w:val="32"/>
                <w:szCs w:val="32"/>
              </w:rPr>
            </w:pPr>
            <w:r>
              <w:rPr>
                <w:rFonts w:hint="eastAsia" w:ascii="Times New Roman" w:hAnsi="Times New Roman" w:cs="Times New Roman"/>
                <w:b w:val="0"/>
                <w:bCs w:val="0"/>
                <w:color w:val="000000"/>
                <w:sz w:val="20"/>
                <w:szCs w:val="20"/>
                <w:lang w:eastAsia="zh-CN"/>
              </w:rPr>
              <w:tab/>
            </w:r>
            <w:r>
              <w:rPr>
                <w:rFonts w:hint="eastAsia" w:ascii="宋体" w:hAnsi="宋体" w:eastAsia="宋体" w:cs="宋体"/>
                <w:sz w:val="32"/>
                <w:szCs w:val="32"/>
              </w:rPr>
              <w:t>备注</w:t>
            </w:r>
            <w:r>
              <w:rPr>
                <w:rFonts w:hint="eastAsia" w:ascii="宋体" w:hAnsi="宋体" w:eastAsia="宋体" w:cs="宋体"/>
                <w:sz w:val="32"/>
                <w:szCs w:val="32"/>
                <w:lang w:eastAsia="zh-CN"/>
              </w:rPr>
              <w:t>：</w:t>
            </w:r>
            <w:r>
              <w:rPr>
                <w:rFonts w:hint="eastAsia" w:ascii="宋体" w:hAnsi="宋体" w:eastAsia="宋体" w:cs="宋体"/>
                <w:sz w:val="32"/>
                <w:szCs w:val="32"/>
              </w:rPr>
              <w:t>本年无</w:t>
            </w:r>
            <w:r>
              <w:rPr>
                <w:rFonts w:hint="eastAsia" w:ascii="宋体" w:hAnsi="宋体" w:eastAsia="宋体" w:cs="宋体"/>
                <w:sz w:val="32"/>
                <w:szCs w:val="32"/>
                <w:lang w:val="en-US" w:eastAsia="zh-CN"/>
              </w:rPr>
              <w:t>政府性基金预算财政拨款</w:t>
            </w:r>
            <w:r>
              <w:rPr>
                <w:rFonts w:hint="eastAsia" w:ascii="宋体" w:hAnsi="宋体" w:eastAsia="宋体" w:cs="宋体"/>
                <w:sz w:val="32"/>
                <w:szCs w:val="32"/>
              </w:rPr>
              <w:t>收支，故本表无数据</w:t>
            </w:r>
          </w:p>
          <w:p>
            <w:pPr>
              <w:keepNext w:val="0"/>
              <w:keepLines w:val="0"/>
              <w:pageBreakBefore w:val="0"/>
              <w:widowControl/>
              <w:tabs>
                <w:tab w:val="left" w:pos="7553"/>
              </w:tabs>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color w:val="000000"/>
                <w:sz w:val="20"/>
                <w:szCs w:val="20"/>
                <w:lang w:eastAsia="zh-CN"/>
              </w:rPr>
            </w:pP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巫溪县兰英乡农业服务中心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nil"/>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nil"/>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39" w:type="dxa"/>
            <w:gridSpan w:val="1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12157"/>
              </w:tabs>
              <w:kinsoku/>
              <w:wordWrap w:val="0"/>
              <w:overflowPunct/>
              <w:topLinePunct w:val="0"/>
              <w:autoSpaceDE/>
              <w:autoSpaceDN/>
              <w:bidi w:val="0"/>
              <w:adjustRightInd/>
              <w:snapToGrid/>
              <w:spacing w:line="400" w:lineRule="exact"/>
              <w:jc w:val="both"/>
              <w:textAlignment w:val="center"/>
              <w:rPr>
                <w:rFonts w:hint="eastAsia" w:ascii="Times New Roman" w:hAnsi="Times New Roman" w:eastAsia="宋体" w:cs="Times New Roman"/>
                <w:b w:val="0"/>
                <w:bCs w:val="0"/>
                <w:color w:val="000000"/>
                <w:sz w:val="22"/>
                <w:szCs w:val="22"/>
                <w:lang w:eastAsia="zh-CN"/>
              </w:rPr>
            </w:pPr>
            <w:r>
              <w:rPr>
                <w:rFonts w:hint="eastAsia" w:ascii="宋体" w:hAnsi="宋体" w:eastAsia="宋体" w:cs="宋体"/>
                <w:sz w:val="32"/>
                <w:szCs w:val="32"/>
              </w:rPr>
              <w:t>备注</w:t>
            </w:r>
            <w:r>
              <w:rPr>
                <w:rFonts w:hint="eastAsia" w:ascii="宋体" w:hAnsi="宋体" w:eastAsia="宋体" w:cs="宋体"/>
                <w:sz w:val="32"/>
                <w:szCs w:val="32"/>
                <w:lang w:eastAsia="zh-CN"/>
              </w:rPr>
              <w:t>：</w:t>
            </w:r>
            <w:r>
              <w:rPr>
                <w:rFonts w:hint="eastAsia" w:ascii="宋体" w:hAnsi="宋体" w:eastAsia="宋体" w:cs="宋体"/>
                <w:sz w:val="32"/>
                <w:szCs w:val="32"/>
              </w:rPr>
              <w:t>本年无</w:t>
            </w:r>
            <w:r>
              <w:rPr>
                <w:rFonts w:hint="eastAsia" w:ascii="宋体" w:hAnsi="宋体" w:eastAsia="宋体" w:cs="宋体"/>
                <w:b w:val="0"/>
                <w:bCs w:val="0"/>
                <w:i w:val="0"/>
                <w:iCs w:val="0"/>
                <w:color w:val="000000"/>
                <w:kern w:val="0"/>
                <w:sz w:val="30"/>
                <w:szCs w:val="30"/>
                <w:u w:val="none"/>
                <w:lang w:val="en-US" w:eastAsia="zh-CN" w:bidi="ar"/>
              </w:rPr>
              <w:t>国有资本经营预算财政拨款</w:t>
            </w:r>
            <w:r>
              <w:rPr>
                <w:rFonts w:hint="eastAsia" w:ascii="宋体" w:hAnsi="宋体" w:eastAsia="宋体" w:cs="宋体"/>
                <w:sz w:val="32"/>
                <w:szCs w:val="32"/>
              </w:rPr>
              <w:t>收支，故本表无数据</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巫溪县兰英乡农业服务中心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1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AEF5A8E"/>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5F668C"/>
    <w:rsid w:val="7B7D43A1"/>
    <w:rsid w:val="7BD06A28"/>
    <w:rsid w:val="7C1E4CD7"/>
    <w:rsid w:val="7C3A7C0B"/>
    <w:rsid w:val="7C5248E4"/>
    <w:rsid w:val="7C566698"/>
    <w:rsid w:val="7CE56AF6"/>
    <w:rsid w:val="7CF02E5B"/>
    <w:rsid w:val="7D213FB2"/>
    <w:rsid w:val="7FF723E4"/>
    <w:rsid w:val="AF537056"/>
    <w:rsid w:val="CF362E68"/>
    <w:rsid w:val="DFA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普通(网站) Char Char"/>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huawei02</cp:lastModifiedBy>
  <dcterms:modified xsi:type="dcterms:W3CDTF">2025-09-16T21:11:59Z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ies>
</file>