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巫溪县宁厂镇农业服务中心</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96" w:lineRule="exact"/>
        <w:ind w:left="0" w:leftChars="0" w:right="0" w:rightChars="0" w:firstLine="420" w:firstLineChars="0"/>
        <w:jc w:val="left"/>
        <w:textAlignment w:val="auto"/>
        <w:outlineLvl w:val="9"/>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96" w:lineRule="exact"/>
        <w:ind w:left="0" w:leftChars="0" w:right="0" w:rightChars="0" w:firstLine="420" w:firstLineChars="0"/>
        <w:jc w:val="left"/>
        <w:textAlignment w:val="auto"/>
        <w:outlineLvl w:val="9"/>
        <w:rPr>
          <w:rStyle w:val="9"/>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一是组织开展政治和业务知识学习，提高全站农技人员的思想政治素质和业务技术水平。二是制定本站工作计划，负责全站农技人员工作的督查、考核工作和做好工作总结。三是农业生产技术管理，熟悉本乡镇主要农作物栽培品种及其栽培技术，根据不同农事季节，及时提出农业生产技术管理意见并组织实施。四是农业科技培训，组织开展农业科技培训工作，提高农民的农业科技素质，及时为农民提供技术咨询和技术服务。五是农业技术推广，组织农业技术推广项目的实施，抓好村级农科员队伍的建设和管理，组织农科员、示范户、专业技术协会等进行农业技术推广交流和技术考察。六是动植物疫病防控，负责畜禽生产技术指导、重大动物疫病防治等工作，负责畜禽品种、技术、知识三大更新工程的组织实施和畜禽养殖基地建设工作。七是其他工作任务，承办镇党委、政府和上级业务主管部门交办的其他工作任务。</w:t>
      </w:r>
    </w:p>
    <w:p>
      <w:pPr>
        <w:pStyle w:val="7"/>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1"/>
        <w:autoSpaceDE w:val="0"/>
        <w:ind w:firstLine="643"/>
        <w:rPr>
          <w:rStyle w:val="9"/>
          <w:rFonts w:hint="eastAsia" w:ascii="方正仿宋_GBK" w:hAnsi="方正仿宋_GBK" w:eastAsia="方正仿宋_GBK" w:cs="方正仿宋_GBK"/>
          <w:b w:val="0"/>
          <w:bCs/>
          <w:sz w:val="32"/>
          <w:szCs w:val="32"/>
          <w:shd w:val="clear" w:color="auto" w:fill="FFFFFF"/>
          <w:lang w:val="en-US" w:eastAsia="zh-CN" w:bidi="ar-SA"/>
        </w:rPr>
      </w:pPr>
      <w:r>
        <w:rPr>
          <w:rStyle w:val="9"/>
          <w:rFonts w:hint="eastAsia" w:ascii="方正仿宋_GBK" w:hAnsi="方正仿宋_GBK" w:eastAsia="方正仿宋_GBK" w:cs="方正仿宋_GBK"/>
          <w:b w:val="0"/>
          <w:bCs/>
          <w:sz w:val="32"/>
          <w:szCs w:val="32"/>
          <w:shd w:val="clear" w:color="auto" w:fill="FFFFFF"/>
          <w:lang w:val="en-US" w:eastAsia="zh-CN" w:bidi="ar-SA"/>
        </w:rPr>
        <w:t>巫溪县宁厂镇产业发展服务中心设行政单位0个，事业单位5个，分别是：宁厂镇便民服务中心、宁厂镇产业发展服务中心、宁厂镇新时代文明实践服务中心、宁厂镇基层治理服务中心、宁厂镇综合行政执法大队。</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度收入总计329.13万元，支出总计</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万元。收、支与2023年度相比，增加329.13万元，增长100.0%，主要原因是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度收入合计329.13万元，与2023年度相比，增加329.13万元，增长100.0%，主要原因是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万元，与2023年度相比，增加329.13万元，增长100.0%，主要原因是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度财政拨款收、支总计329.13万元。与202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万元，与2023年度相比，增加329.13万元，增长100.0%。主要原因是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较年初预算数增加6.01万元，增长1.9%。主要原因是单位新进职工增多，部分职工职级晋升</w:t>
      </w:r>
      <w:r>
        <w:rPr>
          <w:rFonts w:hint="eastAsia" w:ascii="方正仿宋_GBK" w:hAnsi="方正仿宋_GBK" w:eastAsia="方正仿宋_GBK" w:cs="方正仿宋_GBK"/>
          <w:sz w:val="32"/>
          <w:szCs w:val="32"/>
          <w:shd w:val="clear" w:color="auto" w:fill="FFFFFF"/>
          <w:lang w:eastAsia="zh-CN"/>
        </w:rPr>
        <w:t>，追加人员经费，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万元，与2023年度相比，增加329.13万元，增长100.0%。主要原因是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较年初预算数增加6.01万元，增长1.9%。主要原因是单位新进职工增多，部分职工职级晋升</w:t>
      </w:r>
      <w:r>
        <w:rPr>
          <w:rFonts w:hint="eastAsia" w:ascii="方正仿宋_GBK" w:hAnsi="方正仿宋_GBK" w:eastAsia="方正仿宋_GBK" w:cs="方正仿宋_GBK"/>
          <w:sz w:val="32"/>
          <w:szCs w:val="32"/>
          <w:shd w:val="clear" w:color="auto" w:fill="FFFFFF"/>
          <w:lang w:eastAsia="zh-CN"/>
        </w:rPr>
        <w:t>，追加人员经费。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（1）一般公共服务支出230.74万元，占70.11%，较年初预算数减少12.22万元，下降5.0%，主要原因是</w:t>
      </w:r>
      <w:r>
        <w:rPr>
          <w:rFonts w:hint="eastAsia" w:ascii="方正仿宋_GBK" w:hAnsi="方正仿宋_GBK" w:eastAsia="方正仿宋_GBK" w:cs="方正仿宋_GBK"/>
          <w:sz w:val="32"/>
          <w:szCs w:val="32"/>
          <w:shd w:val="clear" w:color="auto" w:fill="FFFFFF"/>
          <w:lang w:eastAsia="zh-CN"/>
        </w:rPr>
        <w:t>年中有调整预算数</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70.24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21.34</w:t>
      </w:r>
      <w:r>
        <w:rPr>
          <w:rFonts w:ascii="方正仿宋_GBK" w:hAnsi="方正仿宋_GBK" w:eastAsia="方正仿宋_GBK" w:cs="方正仿宋_GBK"/>
          <w:sz w:val="32"/>
          <w:szCs w:val="32"/>
          <w:shd w:val="clear" w:color="auto" w:fill="FFFFFF"/>
        </w:rPr>
        <w:t>%，较年初预算数增加18.23万元，增长35.1%，主要原因是</w:t>
      </w:r>
      <w:r>
        <w:rPr>
          <w:rFonts w:hint="eastAsia" w:ascii="方正仿宋_GBK" w:hAnsi="方正仿宋_GBK" w:eastAsia="方正仿宋_GBK" w:cs="方正仿宋_GBK"/>
          <w:sz w:val="32"/>
          <w:szCs w:val="32"/>
          <w:shd w:val="clear" w:color="auto" w:fill="FFFFFF"/>
          <w:lang w:eastAsia="zh-CN"/>
        </w:rPr>
        <w:t>年中追加预算。</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人员保险费用无变化</w:t>
      </w:r>
      <w:r>
        <w:rPr>
          <w:rFonts w:ascii="方正仿宋_GBK" w:hAnsi="方正仿宋_GBK" w:eastAsia="方正仿宋_GBK" w:cs="方正仿宋_GBK"/>
          <w:sz w:val="32"/>
          <w:szCs w:val="32"/>
          <w:shd w:val="clear" w:color="auto" w:fill="FFFFFF"/>
        </w:rPr>
        <w:t>，与年初预算基本持平。</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4.66</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人员住房公积金费用无变化</w:t>
      </w:r>
      <w:r>
        <w:rPr>
          <w:rFonts w:ascii="方正仿宋_GBK" w:hAnsi="方正仿宋_GBK" w:eastAsia="方正仿宋_GBK" w:cs="方正仿宋_GBK"/>
          <w:sz w:val="32"/>
          <w:szCs w:val="32"/>
          <w:shd w:val="clear" w:color="auto" w:fill="FFFFFF"/>
        </w:rPr>
        <w:t>，与年初预算基本持平。</w:t>
      </w:r>
    </w:p>
    <w:p>
      <w:pPr>
        <w:pStyle w:val="11"/>
        <w:autoSpaceDE w:val="0"/>
        <w:ind w:left="0" w:leftChars="0"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329.13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294.02</w:t>
      </w:r>
      <w:r>
        <w:rPr>
          <w:rFonts w:ascii="方正仿宋_GBK" w:hAnsi="方正仿宋_GBK" w:eastAsia="方正仿宋_GBK" w:cs="方正仿宋_GBK"/>
          <w:sz w:val="32"/>
          <w:szCs w:val="32"/>
          <w:shd w:val="clear" w:color="auto" w:fill="FFFFFF"/>
        </w:rPr>
        <w:t>万元，与2023年度相比，增加294.02万元，增长100.0%，主要原因是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工资、津贴、奖金、职工保险、生活补助等方面的支出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35.11</w:t>
      </w:r>
      <w:r>
        <w:rPr>
          <w:rFonts w:ascii="方正仿宋_GBK" w:hAnsi="方正仿宋_GBK" w:eastAsia="方正仿宋_GBK" w:cs="方正仿宋_GBK"/>
          <w:sz w:val="32"/>
          <w:szCs w:val="32"/>
          <w:shd w:val="clear" w:color="auto" w:fill="FFFFFF"/>
        </w:rPr>
        <w:t>万元，与2023年度相比，增加35.11万元，增长100.0%，主要原因是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本单位为新增核算单位，该数据之前年度在行政单位中统一核算，故年初数据为零，导致增加幅度为100%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公用经费用途主要包括公用经费用途主要包括办公费、电费、通信费、差旅费、公务接待费等。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ascii="方正仿宋_GBK" w:hAnsi="方正仿宋_GBK" w:eastAsia="方正仿宋_GBK" w:cs="方正仿宋_GBK"/>
          <w:sz w:val="32"/>
          <w:szCs w:val="32"/>
        </w:rPr>
        <w:t>度“三公”经费支出共计0.00万元，较年初预算数减少0.13万元，下降100.0%，主要原因是</w:t>
      </w:r>
      <w:r>
        <w:rPr>
          <w:rFonts w:hint="eastAsia" w:ascii="方正仿宋_GBK" w:hAnsi="方正仿宋_GBK" w:eastAsia="方正仿宋_GBK" w:cs="方正仿宋_GBK"/>
          <w:sz w:val="32"/>
          <w:szCs w:val="32"/>
        </w:rPr>
        <w:t>本单位为新增核算单位，该数据之前年度在行政单位中统一核算，故年初数据为零</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rPr>
        <w:t>本单位为新增核算单位，该数据之前年度在行政单位中统一核算，故年初数据为零</w:t>
      </w:r>
      <w:r>
        <w:rPr>
          <w:rFonts w:hint="eastAsia" w:ascii="方正仿宋_GBK" w:hAnsi="方正仿宋_GBK" w:eastAsia="方正仿宋_GBK" w:cs="方正仿宋_GBK"/>
          <w:sz w:val="32"/>
          <w:szCs w:val="32"/>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费用支出较年初预算数减少0.13万元，下降100.0%，主要原因是认真贯彻落实中央八项规定精神，按照只减不增的要求严格控制“三公”经费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本单位为新增核算单位，该数据之前年度在行政单位中统一核算</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0.65</w:t>
      </w:r>
      <w:r>
        <w:rPr>
          <w:rFonts w:ascii="方正仿宋_GBK" w:hAnsi="方正仿宋_GBK" w:eastAsia="方正仿宋_GBK" w:cs="方正仿宋_GBK"/>
          <w:sz w:val="32"/>
          <w:szCs w:val="32"/>
          <w:shd w:val="clear" w:color="auto" w:fill="FFFFFF"/>
        </w:rPr>
        <w:t>万元，与2023年度相比，增加0.65万元，增长100.0%，主要原因是</w:t>
      </w:r>
      <w:r>
        <w:rPr>
          <w:rFonts w:hint="eastAsia" w:ascii="方正仿宋_GBK" w:hAnsi="方正仿宋_GBK" w:eastAsia="方正仿宋_GBK" w:cs="方正仿宋_GBK"/>
          <w:sz w:val="32"/>
          <w:szCs w:val="32"/>
          <w:shd w:val="clear" w:color="auto" w:fill="FFFFFF"/>
          <w:lang w:eastAsia="zh-CN"/>
        </w:rPr>
        <w:t>本年组织开展党务班干部会议次数增加，费用增加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培训数次数减少，费用减少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万元，机关运行经费主要用于开支办公费、公务车运行维护费、信息网络购置更新费等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2024年我部门未开展预算绩效自评。</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51682016</w:t>
      </w:r>
    </w:p>
    <w:p>
      <w:pPr>
        <w:pStyle w:val="11"/>
        <w:autoSpaceDE w:val="0"/>
        <w:spacing w:line="596" w:lineRule="exact"/>
        <w:ind w:firstLine="640"/>
        <w:jc w:val="both"/>
        <w:rPr>
          <w:rStyle w:val="13"/>
          <w:rFonts w:hint="eastAsia" w:ascii="方正仿宋_GBK" w:hAnsi="方正仿宋_GBK" w:eastAsia="方正仿宋_GBK" w:cs="方正仿宋_GBK"/>
          <w:b/>
          <w:bCs/>
          <w:sz w:val="32"/>
          <w:szCs w:val="32"/>
          <w:shd w:val="clear" w:fill="FFFF00"/>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10"/>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巫溪县宁厂镇农业服务中心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329.13</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巫溪县宁厂镇农业服务中心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329.13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329.13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巫溪县宁厂镇农业服务中心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329.13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329.13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巫溪县宁厂镇农业服务中心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329.13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329.13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329.13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329.13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巫溪县宁厂镇农业服务中心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bookmarkStart w:id="0" w:name="_GoBack"/>
            <w:r>
              <w:rPr>
                <w:rFonts w:hint="eastAsia" w:ascii="宋体" w:hAnsi="宋体" w:eastAsia="宋体" w:cs="宋体"/>
                <w:b/>
                <w:bCs/>
                <w:i w:val="0"/>
                <w:iCs w:val="0"/>
                <w:color w:val="000000"/>
                <w:kern w:val="0"/>
                <w:sz w:val="22"/>
                <w:szCs w:val="22"/>
                <w:u w:val="none"/>
                <w:lang w:val="en-US" w:eastAsia="zh-CN" w:bidi="ar"/>
              </w:rPr>
              <w:t>人员</w:t>
            </w:r>
            <w:bookmarkEnd w:id="0"/>
            <w:r>
              <w:rPr>
                <w:rFonts w:hint="eastAsia" w:ascii="宋体" w:hAnsi="宋体" w:eastAsia="宋体" w:cs="宋体"/>
                <w:b/>
                <w:bCs/>
                <w:i w:val="0"/>
                <w:iCs w:val="0"/>
                <w:color w:val="000000"/>
                <w:kern w:val="0"/>
                <w:sz w:val="22"/>
                <w:szCs w:val="22"/>
                <w:u w:val="none"/>
                <w:lang w:val="en-US" w:eastAsia="zh-CN" w:bidi="ar"/>
              </w:rPr>
              <w:t>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294.02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巫溪县宁厂镇农业服务中心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巫溪县宁厂镇农业服务中心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veni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796DBE"/>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3F053EB"/>
    <w:rsid w:val="64192A39"/>
    <w:rsid w:val="64FB113D"/>
    <w:rsid w:val="6544377C"/>
    <w:rsid w:val="655F5939"/>
    <w:rsid w:val="656152C6"/>
    <w:rsid w:val="6587477F"/>
    <w:rsid w:val="658C3A08"/>
    <w:rsid w:val="65C031CA"/>
    <w:rsid w:val="65CE6852"/>
    <w:rsid w:val="65F004F9"/>
    <w:rsid w:val="66267C04"/>
    <w:rsid w:val="663F505A"/>
    <w:rsid w:val="667F2393"/>
    <w:rsid w:val="66C47C80"/>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ScaleCrop>false</ScaleCrop>
  <LinksUpToDate>false</LinksUpToDate>
  <CharactersWithSpaces>21460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2025-09-17T01:51:16Z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