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ind w:firstLine="720" w:firstLineChars="200"/>
        <w:jc w:val="center"/>
        <w:rPr>
          <w:rFonts w:hint="default" w:ascii="Times New Roman" w:hAnsi="Times New Roman" w:eastAsia="方正小标宋_GBK" w:cs="Times New Roman"/>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巫溪县人民政府宁河街道办事处（本级）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一、部门基本情况</w:t>
      </w:r>
    </w:p>
    <w:p>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420"/>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（一）职能职责</w:t>
      </w:r>
    </w:p>
    <w:p>
      <w:pPr>
        <w:keepNext w:val="0"/>
        <w:keepLines w:val="0"/>
        <w:pageBreakBefore w:val="0"/>
        <w:widowControl w:val="0"/>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属于行政机关，履行法律规定的行政职能。街道辖人民、广场、九磷、先锋、环城、白鹅、环保7个社区。街道党政机构具有党委和政府两种职能，党委领导政府工作。主要是政治思想和方针政策的领导、干部的选拔、考核和监督、经济和行政工作中重大问题的决策。街道办是基层国家行政机关行使本行政区的行政职能。</w:t>
      </w:r>
    </w:p>
    <w:p>
      <w:pPr>
        <w:keepNext w:val="0"/>
        <w:keepLines w:val="0"/>
        <w:pageBreakBefore w:val="0"/>
        <w:widowControl w:val="0"/>
        <w:kinsoku/>
        <w:wordWrap/>
        <w:overflowPunct/>
        <w:topLinePunct w:val="0"/>
        <w:autoSpaceDE w:val="0"/>
        <w:autoSpaceDN/>
        <w:bidi w:val="0"/>
        <w:adjustRightInd/>
        <w:spacing w:beforeAutospacing="0" w:afterAutospacing="0" w:line="596" w:lineRule="exact"/>
        <w:ind w:firstLine="643"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政府职能：</w:t>
      </w:r>
    </w:p>
    <w:p>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负责本行政区域内的民政、计划生育、文化教育、卫生、体育等社会公益事业的综合性工作，维护一切经济部门和个人的正当经济权益，取缔非法经济活动，调解和处理民事纠纷，打击刑事犯罪维护社会稳定。</w:t>
      </w:r>
    </w:p>
    <w:p>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按计划组织本级财政收入和地方税的征收完成国家财政计划，不断培植税源，管好财政资金，增强财政实力。</w:t>
      </w:r>
    </w:p>
    <w:p>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抓好精神文明建设，丰富群众文化生活，提倡移风易俗反对封建迷信，破除陈规陋习，树立社会主义新风尚。</w:t>
      </w:r>
    </w:p>
    <w:p>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完成上级政府交办的其它事项。</w:t>
      </w:r>
    </w:p>
    <w:p>
      <w:pPr>
        <w:keepNext w:val="0"/>
        <w:keepLines w:val="0"/>
        <w:pageBreakBefore w:val="0"/>
        <w:widowControl w:val="0"/>
        <w:kinsoku/>
        <w:wordWrap/>
        <w:overflowPunct/>
        <w:topLinePunct w:val="0"/>
        <w:autoSpaceDE w:val="0"/>
        <w:autoSpaceDN/>
        <w:bidi w:val="0"/>
        <w:adjustRightInd/>
        <w:spacing w:beforeAutospacing="0" w:afterAutospacing="0" w:line="596" w:lineRule="exact"/>
        <w:ind w:firstLine="643"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政府职责：</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执行本级人民代表大会的决议和上级国家行政机关的决定。</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保护社会主义的全民所有的财产和劳动群众集体所有财产，保护公民私有的合法财产，维护社会秩序，保障公民的人身权利、民主权利和其他权利。</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保障农村集体经济组织应有的自主权。</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保障少数民族的权利和尊重少数民族的风俗习惯。</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保障宪法和法律赋予妇女的男女平等、同工同酬和婚姻自由等各项权利。</w:t>
      </w:r>
    </w:p>
    <w:p>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办理上级人民政府交办的其它事项。</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（二）机构设置</w:t>
      </w:r>
    </w:p>
    <w:p>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480" w:firstLineChars="150"/>
        <w:textAlignment w:val="auto"/>
        <w:rPr>
          <w:rFonts w:hint="default" w:ascii="Times New Roman" w:hAnsi="Times New Roman" w:eastAsia="楷体" w:cs="Times New Roman"/>
          <w:sz w:val="32"/>
          <w:szCs w:val="32"/>
        </w:rPr>
      </w:pPr>
      <w:r>
        <w:rPr>
          <w:rFonts w:hint="default" w:ascii="Times New Roman" w:hAnsi="Times New Roman" w:eastAsia="方正仿宋_GBK" w:cs="Times New Roman"/>
          <w:sz w:val="32"/>
          <w:szCs w:val="32"/>
          <w:shd w:val="clear" w:color="auto" w:fill="FFFFFF"/>
        </w:rPr>
        <w:t>宁河街道办事处现有独立核算部门共1个，在编在岗行政编制人员28人，机关内设党政、党群工作、经济发展办公室、民政和社区事务、平安建设、规划建设管理环保、财政等10个办公室。</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二、部门决算收支情况说明</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643" w:firstLineChars="200"/>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总体情况。</w:t>
      </w:r>
      <w:r>
        <w:rPr>
          <w:rFonts w:hint="default" w:ascii="Times New Roman" w:hAnsi="Times New Roman" w:eastAsia="方正仿宋_GBK" w:cs="Times New Roman"/>
          <w:sz w:val="32"/>
          <w:szCs w:val="32"/>
          <w:shd w:val="clear" w:color="auto" w:fill="FFFFFF"/>
        </w:rPr>
        <w:t>2024年度收入总计1758.42万元，支出总计</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万元。收、支与2023年度相比，减少238.76万元，下降12.0%，主要原因是单位机构改革，下属事业单位宁河街道劳动就业和社会保障服务所已独立进行核算。</w:t>
      </w:r>
    </w:p>
    <w:p>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643" w:firstLineChars="200"/>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2024年度收入合计1758.42万元，与2023年度相比，减少238.76万元，下降12.0%，主要原因是单位机构改革，下属事业单位宁河街道劳动就业和社会保障服务所已独立进行核算。其中：财政拨款收入</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万元，与2023年度相比，减少238.76万元，下降12.0%，主要原因是单位机构改革，下属事业单位宁河街道劳动就业和社会保障服务所已独立进行核算。其中：基本支出</w:t>
      </w:r>
      <w:r>
        <w:rPr>
          <w:rFonts w:hint="default" w:ascii="Times New Roman" w:hAnsi="Times New Roman" w:eastAsia="方正仿宋_GBK" w:cs="Times New Roman"/>
          <w:sz w:val="32"/>
          <w:szCs w:val="32"/>
        </w:rPr>
        <w:t>929.15</w:t>
      </w:r>
      <w:r>
        <w:rPr>
          <w:rFonts w:hint="default" w:ascii="Times New Roman" w:hAnsi="Times New Roman" w:eastAsia="方正仿宋_GBK" w:cs="Times New Roman"/>
          <w:sz w:val="32"/>
          <w:szCs w:val="32"/>
          <w:shd w:val="clear" w:color="auto" w:fill="FFFFFF"/>
        </w:rPr>
        <w:t>万元，占52.84%；项目支出</w:t>
      </w:r>
      <w:r>
        <w:rPr>
          <w:rFonts w:hint="default" w:ascii="Times New Roman" w:hAnsi="Times New Roman" w:eastAsia="方正仿宋_GBK" w:cs="Times New Roman"/>
          <w:sz w:val="32"/>
          <w:szCs w:val="32"/>
        </w:rPr>
        <w:t>829.27</w:t>
      </w:r>
      <w:r>
        <w:rPr>
          <w:rFonts w:hint="default" w:ascii="Times New Roman" w:hAnsi="Times New Roman" w:eastAsia="方正仿宋_GBK" w:cs="Times New Roman"/>
          <w:sz w:val="32"/>
          <w:szCs w:val="32"/>
          <w:shd w:val="clear" w:color="auto" w:fill="FFFFFF"/>
        </w:rPr>
        <w:t>万元，占47.16%；经营支出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单位提前谋划，加强资金支付进度管理，提高资金兑付率，做到财政资金零结余。</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2024年度财政拨款收、支总计1758.42万元。与2023年相比，财政拨款收、支总计各减少238.76万元，下降12.0%。主要原因是单位机构改革，下属事业单位宁河街道劳动就业和社会保障服务所已独立进行核算。</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与2023年度相比，减少238.76万元，下降12.0%。主要原因是单位机构改革，下属事业单位宁河街道劳动就业和社会保障服务所已独立进行核算。较年初预算数增加413.74万元，增长30.8%。主要原因是部分项目年初未纳入预算，年中根据实际情况按文件入库纳入本年收支。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与2023年度相比，减少238.76万元，下降12.0%。主要原因是单位机构改革，下属事业单位宁河街道劳动就业和社会保障服务所已独立进行核算。较年初预算数增加413.74万元，增长30.8%。主要原因是部分项目年初未纳入预算，年中根据实际情况按文件入库纳入本年收支。</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bookmarkStart w:id="0" w:name="_GoBack"/>
      <w:bookmarkEnd w:id="0"/>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单位提前谋划，加强资金支付进度管理，提高资金兑付率，做到财政资金零结余。</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660.90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37.58</w:t>
      </w:r>
      <w:r>
        <w:rPr>
          <w:rFonts w:hint="default" w:ascii="Times New Roman" w:hAnsi="Times New Roman" w:eastAsia="方正仿宋_GBK" w:cs="Times New Roman"/>
          <w:sz w:val="32"/>
          <w:szCs w:val="32"/>
          <w:shd w:val="clear" w:color="auto" w:fill="FFFFFF"/>
        </w:rPr>
        <w:t>%，较年初预算数增加85.30万元，增长14.8%，主要原因是公务员工资津补贴政策衔接补发，年终考核奖年初未纳入预算，年中按实际收支。</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5.69</w:t>
      </w:r>
      <w:r>
        <w:rPr>
          <w:rFonts w:hint="default" w:ascii="Times New Roman" w:hAnsi="Times New Roman" w:eastAsia="方正仿宋_GBK" w:cs="Times New Roman"/>
          <w:sz w:val="32"/>
          <w:szCs w:val="32"/>
          <w:shd w:val="clear" w:color="auto" w:fill="FFFFFF"/>
        </w:rPr>
        <w:t>%，较年初预算数无增减。</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601.38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34.20</w:t>
      </w:r>
      <w:r>
        <w:rPr>
          <w:rFonts w:hint="default" w:ascii="Times New Roman" w:hAnsi="Times New Roman" w:eastAsia="方正仿宋_GBK" w:cs="Times New Roman"/>
          <w:sz w:val="32"/>
          <w:szCs w:val="32"/>
          <w:shd w:val="clear" w:color="auto" w:fill="FFFFFF"/>
        </w:rPr>
        <w:t>%，较年初预算数增加19.87万元，增长3.4%，主要原因是公务员基础绩效奖纳入五险缴费基数，预算增加；死亡抚恤、补缴机关职工职业年金纪实等年初未纳入预算，年中根据实际情况按文件增加支出。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37.59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2.14</w:t>
      </w:r>
      <w:r>
        <w:rPr>
          <w:rFonts w:hint="default" w:ascii="Times New Roman" w:hAnsi="Times New Roman" w:eastAsia="方正仿宋_GBK" w:cs="Times New Roman"/>
          <w:sz w:val="32"/>
          <w:szCs w:val="32"/>
          <w:shd w:val="clear" w:color="auto" w:fill="FFFFFF"/>
        </w:rPr>
        <w:t>%，较年初预算数无增减。</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（5）节能环保支出</w:t>
      </w:r>
      <w:r>
        <w:rPr>
          <w:rFonts w:hint="default" w:ascii="Times New Roman" w:hAnsi="Times New Roman" w:eastAsia="方正仿宋_GBK" w:cs="Times New Roman"/>
          <w:sz w:val="32"/>
          <w:szCs w:val="32"/>
        </w:rPr>
        <w:t>16.36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0.93</w:t>
      </w:r>
      <w:r>
        <w:rPr>
          <w:rFonts w:hint="default" w:ascii="Times New Roman" w:hAnsi="Times New Roman" w:eastAsia="方正仿宋_GBK" w:cs="Times New Roman"/>
          <w:sz w:val="32"/>
          <w:szCs w:val="32"/>
          <w:shd w:val="clear" w:color="auto" w:fill="FFFFFF"/>
        </w:rPr>
        <w:t>%，较年初预算数增加16.36万元，增长100.0%，主要原因是兑付2024年生态护林员补助13.35万元，该项目年初未纳入预算。</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（6）农林水支出</w:t>
      </w:r>
      <w:r>
        <w:rPr>
          <w:rFonts w:hint="default" w:ascii="Times New Roman" w:hAnsi="Times New Roman" w:eastAsia="方正仿宋_GBK" w:cs="Times New Roman"/>
          <w:sz w:val="32"/>
          <w:szCs w:val="32"/>
        </w:rPr>
        <w:t>135.98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7.73</w:t>
      </w:r>
      <w:r>
        <w:rPr>
          <w:rFonts w:hint="default" w:ascii="Times New Roman" w:hAnsi="Times New Roman" w:eastAsia="方正仿宋_GBK" w:cs="Times New Roman"/>
          <w:sz w:val="32"/>
          <w:szCs w:val="32"/>
          <w:shd w:val="clear" w:color="auto" w:fill="FFFFFF"/>
        </w:rPr>
        <w:t>%，较年初预算数增加135.98万元，增长100.0%，主要原因年中按实际情况根据文件入库和兑付大量巩固脱贫攻坚成果衔接乡村振兴支出。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（7）交通运输支出</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0.57</w:t>
      </w:r>
      <w:r>
        <w:rPr>
          <w:rFonts w:hint="default" w:ascii="Times New Roman" w:hAnsi="Times New Roman" w:eastAsia="方正仿宋_GBK" w:cs="Times New Roman"/>
          <w:sz w:val="32"/>
          <w:szCs w:val="32"/>
          <w:shd w:val="clear" w:color="auto" w:fill="FFFFFF"/>
        </w:rPr>
        <w:t>%，较年初预算数增加10.00万元，增长100.0%，主要原因兑付2024年宁河街道办事处农村公路项目10万元，该项目年初未纳入预算。</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w:t>
      </w:r>
      <w:r>
        <w:rPr>
          <w:rFonts w:hint="default" w:ascii="Times New Roman" w:hAnsi="Times New Roman" w:eastAsia="方正仿宋_GBK" w:cs="Times New Roman"/>
          <w:sz w:val="32"/>
          <w:szCs w:val="32"/>
        </w:rPr>
        <w:t>住房保障支出181.78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10.34</w:t>
      </w:r>
      <w:r>
        <w:rPr>
          <w:rFonts w:hint="default" w:ascii="Times New Roman" w:hAnsi="Times New Roman" w:eastAsia="方正仿宋_GBK" w:cs="Times New Roman"/>
          <w:sz w:val="32"/>
          <w:szCs w:val="32"/>
          <w:shd w:val="clear" w:color="auto" w:fill="FFFFFF"/>
        </w:rPr>
        <w:t>%，较年初预算数增加131.81万元，增长263.8%，主要原因是宁河街道城镇棚户区（危旧房）改造项目131.81万元，该项目年初未纳入预算。</w:t>
      </w:r>
    </w:p>
    <w:p>
      <w:pPr>
        <w:keepNext w:val="0"/>
        <w:keepLines w:val="0"/>
        <w:pageBreakBefore w:val="0"/>
        <w:kinsoku/>
        <w:wordWrap/>
        <w:overflowPunct/>
        <w:topLinePunct w:val="0"/>
        <w:autoSpaceDN/>
        <w:bidi w:val="0"/>
        <w:adjustRightInd/>
        <w:spacing w:beforeAutospacing="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灾害防治及应急管理支出14.43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0.82</w:t>
      </w:r>
      <w:r>
        <w:rPr>
          <w:rFonts w:hint="default" w:ascii="Times New Roman" w:hAnsi="Times New Roman" w:eastAsia="方正仿宋_GBK" w:cs="Times New Roman"/>
          <w:sz w:val="32"/>
          <w:szCs w:val="32"/>
          <w:shd w:val="clear" w:color="auto" w:fill="FFFFFF"/>
        </w:rPr>
        <w:t>%，较年初预算数增加14.43万元，增长100.0%，主要原因是2024年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7.8—7.15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洪涝灾害县级预备费救灾资金37.9万元，该项目年初未纳入预算。</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929.15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836.31</w:t>
      </w:r>
      <w:r>
        <w:rPr>
          <w:rFonts w:hint="default" w:ascii="Times New Roman" w:hAnsi="Times New Roman" w:eastAsia="方正仿宋_GBK" w:cs="Times New Roman"/>
          <w:sz w:val="32"/>
          <w:szCs w:val="32"/>
          <w:shd w:val="clear" w:color="auto" w:fill="FFFFFF"/>
        </w:rPr>
        <w:t>万元，与2023年度相比，减少365.37万元，下降30.4%，主要原因是单位机构改革，下属事业单位宁河街道劳动就业和社会保障服务所已独立进行核算。人员经费用途主要包括支付正常工资津贴、缴纳职工五险一金等。公用经费</w:t>
      </w:r>
      <w:r>
        <w:rPr>
          <w:rFonts w:hint="default" w:ascii="Times New Roman" w:hAnsi="Times New Roman" w:eastAsia="方正仿宋_GBK" w:cs="Times New Roman"/>
          <w:sz w:val="32"/>
          <w:szCs w:val="32"/>
        </w:rPr>
        <w:t>92.84</w:t>
      </w:r>
      <w:r>
        <w:rPr>
          <w:rFonts w:hint="default" w:ascii="Times New Roman" w:hAnsi="Times New Roman" w:eastAsia="方正仿宋_GBK" w:cs="Times New Roman"/>
          <w:sz w:val="32"/>
          <w:szCs w:val="32"/>
          <w:shd w:val="clear" w:color="auto" w:fill="FFFFFF"/>
        </w:rPr>
        <w:t>万元，与2023年度相比，减少50.19万元，下降35.1%，主要原因是单位机构改革，下属事业单位宁河街道劳动就业和社会保障服务所已独立进行核算。</w:t>
      </w:r>
      <w:r>
        <w:rPr>
          <w:rFonts w:hint="default" w:ascii="Times New Roman" w:hAnsi="Times New Roman" w:eastAsia="方正仿宋_GBK" w:cs="Times New Roman"/>
          <w:color w:val="333333"/>
          <w:sz w:val="32"/>
          <w:szCs w:val="32"/>
          <w:shd w:val="clear" w:color="auto" w:fill="FFFFFF"/>
        </w:rPr>
        <w:t>公用经费用途主要包括日常办公开支，如办公用品购置、水电通信费、公车维护加油、人员出差及培训、公务接待费、工会经费、其他商品和服务支出。</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pStyle w:val="5"/>
        <w:keepNext w:val="0"/>
        <w:keepLines w:val="0"/>
        <w:pageBreakBefore w:val="0"/>
        <w:numPr>
          <w:ilvl w:val="0"/>
          <w:numId w:val="3"/>
        </w:numPr>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财政拨款</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三公</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经费情况说明</w:t>
      </w:r>
    </w:p>
    <w:p>
      <w:pPr>
        <w:pStyle w:val="5"/>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lang w:val="en-US" w:eastAsia="zh-CN" w:bidi="ar-SA"/>
        </w:rPr>
        <w:t>（一）</w:t>
      </w:r>
      <w:r>
        <w:rPr>
          <w:rFonts w:hint="eastAsia"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楷体" w:cs="Times New Roman"/>
          <w:b w:val="0"/>
          <w:bCs w:val="0"/>
          <w:sz w:val="32"/>
          <w:szCs w:val="32"/>
          <w:shd w:val="clear" w:color="auto" w:fill="FFFFFF"/>
          <w:lang w:val="en-US" w:eastAsia="zh-CN" w:bidi="ar-SA"/>
        </w:rPr>
        <w:t>三公</w:t>
      </w:r>
      <w:r>
        <w:rPr>
          <w:rFonts w:hint="eastAsia"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楷体" w:cs="Times New Roman"/>
          <w:b w:val="0"/>
          <w:bCs w:val="0"/>
          <w:sz w:val="32"/>
          <w:szCs w:val="32"/>
          <w:shd w:val="clear" w:color="auto" w:fill="FFFFFF"/>
          <w:lang w:val="en-US" w:eastAsia="zh-CN" w:bidi="ar-SA"/>
        </w:rPr>
        <w:t>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万元，较年初预算数减少2.50万元，下降35.7%，主要原因是严格按照按照过紧日子要求，不随意增加调整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经费预算。较上年支出数减少0.09万元，下降2.0%，主要原因是严格按预算控制执行，认真贯彻落实中央八项规定精神，做到量入为出，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经费分项支出情况</w:t>
      </w:r>
    </w:p>
    <w:p>
      <w:pPr>
        <w:pStyle w:val="10"/>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万元，本部门没有发生因公出国（境）费用；</w:t>
      </w:r>
    </w:p>
    <w:p>
      <w:pPr>
        <w:pStyle w:val="10"/>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万元，本部门没有发生公务车购置费；</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万元，主要用于基层党建、城市创建、森林防火、大气污染防治、基层治理、道路安全执法及应急处理等方面。费用支出较年初预算数减少2.50万元，下降35.7%，严格按照按照过紧日子要求，不随意增加调整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经费预算。较上年支出数减少0.09万元，下降2.0%，主要原因是严格按预算控制执行，认真贯彻落实中央八项规定精神，做到量入为出，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万元，本部门没有发生公务接待费。</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本年度未发生会议费支出和培训费支出，未发生的主要原因是我部门进行会议培训时，相关经费由基本户相关工作经费支付，未纳入财政预算，故未显示。</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92.84</w:t>
      </w:r>
      <w:r>
        <w:rPr>
          <w:rFonts w:hint="default" w:ascii="Times New Roman" w:hAnsi="Times New Roman" w:eastAsia="方正仿宋_GBK" w:cs="Times New Roman"/>
          <w:sz w:val="32"/>
          <w:szCs w:val="32"/>
          <w:shd w:val="clear" w:color="auto" w:fill="FFFFFF"/>
        </w:rPr>
        <w:t>万元，机关运行经费主要用于开支街道办日常办公开支，如办公用品购置、水电通信费、公车维修加油、人员出差及培训等方面。机关运行经费较上年支出数减少50.19万元，下降35.1%，主要原因是单位机构改革，下属事业单位宁河街道劳动就业和社会保障服务所已独立进行核算。</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39.07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39.07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30.27万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77.48</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30.27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77.48</w:t>
      </w:r>
      <w:r>
        <w:rPr>
          <w:rFonts w:hint="default" w:ascii="Times New Roman" w:hAnsi="Times New Roman" w:eastAsia="方正仿宋_GBK" w:cs="Times New Roman"/>
          <w:sz w:val="32"/>
          <w:szCs w:val="32"/>
          <w:shd w:val="clear" w:color="auto" w:fill="FFFFFF"/>
        </w:rPr>
        <w:t xml:space="preserve"> %。主要用于采购会议室家具设备、空调、打印机等办公用品。</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五、2024年度预算绩效管理情况说明</w:t>
      </w:r>
    </w:p>
    <w:p>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pPr>
        <w:pStyle w:val="10"/>
        <w:keepNext w:val="0"/>
        <w:keepLines w:val="0"/>
        <w:pageBreakBefore w:val="0"/>
        <w:widowControl/>
        <w:kinsoku/>
        <w:wordWrap/>
        <w:overflowPunct/>
        <w:topLinePunct/>
        <w:autoSpaceDE/>
        <w:autoSpaceDN/>
        <w:bidi w:val="0"/>
        <w:adjustRightInd/>
        <w:spacing w:before="0" w:beforeAutospacing="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sectPr>
          <w:footerReference r:id="rId3" w:type="default"/>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eastAsia="方正仿宋_GBK" w:cs="Times New Roman"/>
          <w:sz w:val="32"/>
          <w:szCs w:val="32"/>
          <w:shd w:val="clear" w:color="auto" w:fill="FFFFFF"/>
        </w:rPr>
        <w:t xml:space="preserve">根据预算绩效管理要求，我单位对部门整体和30个二级项目开展了绩效自评，涉及财政拨款项目支出资金829.27万元。具体示例见附件1、2。          </w:t>
      </w:r>
    </w:p>
    <w:p>
      <w:pPr>
        <w:pStyle w:val="10"/>
        <w:keepNext w:val="0"/>
        <w:keepLines w:val="0"/>
        <w:pageBreakBefore w:val="0"/>
        <w:widowControl/>
        <w:numPr>
          <w:ilvl w:val="0"/>
          <w:numId w:val="0"/>
        </w:numPr>
        <w:kinsoku/>
        <w:wordWrap/>
        <w:overflowPunct/>
        <w:topLinePunct/>
        <w:autoSpaceDE/>
        <w:autoSpaceDN/>
        <w:bidi w:val="0"/>
        <w:adjustRightInd/>
        <w:spacing w:before="0" w:beforeAutospacing="0" w:after="0" w:afterAutospacing="0" w:line="596"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lang w:val="en-US" w:eastAsia="zh-CN"/>
        </w:rPr>
        <w:t>二</w:t>
      </w:r>
      <w:r>
        <w:rPr>
          <w:rFonts w:hint="eastAsia" w:ascii="方正楷体_GBK" w:hAnsi="方正楷体_GBK" w:eastAsia="方正楷体_GBK" w:cs="方正楷体_GBK"/>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部门绩效评价情况</w:t>
      </w:r>
    </w:p>
    <w:p>
      <w:pPr>
        <w:pStyle w:val="10"/>
        <w:keepNext w:val="0"/>
        <w:keepLines w:val="0"/>
        <w:pageBreakBefore w:val="0"/>
        <w:widowControl/>
        <w:kinsoku/>
        <w:wordWrap/>
        <w:overflowPunct/>
        <w:topLinePunct/>
        <w:autoSpaceDE/>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pPr>
        <w:pStyle w:val="12"/>
        <w:keepNext w:val="0"/>
        <w:keepLines w:val="0"/>
        <w:pageBreakBefore w:val="0"/>
        <w:kinsoku/>
        <w:wordWrap/>
        <w:overflowPunct/>
        <w:topLinePunct w:val="0"/>
        <w:autoSpaceDE w:val="0"/>
        <w:autoSpaceDN/>
        <w:bidi w:val="0"/>
        <w:adjustRightInd/>
        <w:spacing w:beforeAutospacing="0" w:afterAutospacing="0" w:line="59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 xml:space="preserve"> 六、专业名词解释</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指事业部门开展专业业务活动及其辅助活动取得的现金流入；事业部门收到的财政专户实际核拨的教育收费等资金在此反映。</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楷体_GBK" w:cs="Times New Roman"/>
          <w:bCs/>
          <w:sz w:val="32"/>
          <w:szCs w:val="32"/>
          <w:shd w:val="clear" w:color="auto" w:fill="FFFFFF"/>
        </w:rPr>
        <w:t>三）经营</w:t>
      </w:r>
      <w:r>
        <w:rPr>
          <w:rFonts w:hint="default" w:ascii="Times New Roman" w:hAnsi="Times New Roman" w:eastAsia="方正楷体_GBK" w:cs="Times New Roman"/>
          <w:sz w:val="32"/>
          <w:szCs w:val="32"/>
          <w:shd w:val="clear" w:color="auto" w:fill="FFFFFF"/>
        </w:rPr>
        <w:t>收入：</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指事业部门在专业业务活动及其辅助活动之外开展非独立核算经营活动取得的现金流入。</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仿宋_GBK" w:cs="Times New Roman"/>
          <w:sz w:val="32"/>
          <w:szCs w:val="32"/>
          <w:shd w:val="clear" w:color="auto" w:fill="FFFFFF"/>
        </w:rPr>
        <w:t>指部门取得的除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部门从本级财政部门以外的同级部门取得的经费、从非本级财政部门取得的经费，以及行政部门收到的财政专户管理资金反映在本项内。</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仿宋_GBK" w:cs="Times New Roman"/>
          <w:sz w:val="32"/>
          <w:szCs w:val="32"/>
          <w:shd w:val="clear" w:color="auto" w:fill="FFFFFF"/>
        </w:rPr>
        <w:t>指部门在当年的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sz w:val="32"/>
          <w:szCs w:val="32"/>
          <w:shd w:val="clear" w:color="auto" w:fill="FFFFFF"/>
        </w:rPr>
        <w:t>（六）年初结转和结余</w:t>
      </w:r>
      <w:r>
        <w:rPr>
          <w:rFonts w:hint="default" w:ascii="Times New Roman" w:hAnsi="Times New Roman" w:eastAsia="方正楷体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指部门上年结转本年使用的基本支出结转、项目支出结转和结余、经营结余。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指部门按照国家有关规定，缴纳所得税、提取专用基金、转入非财政拨款结余等当年结余的分配情况。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指部门结转下年的基本支出结转、项目支出结转和结余、经营结余。</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指事业部门在专业业务活动及其辅助活动之外开展非独立核算经营活动发生的支出。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（十二）</w:t>
      </w:r>
      <w:r>
        <w:rPr>
          <w:rStyle w:val="8"/>
          <w:rFonts w:hint="eastAsia" w:ascii="Times New Roman" w:hAnsi="Times New Roman" w:eastAsia="方正楷体_GBK" w:cs="Times New Roman"/>
          <w:b w:val="0"/>
          <w:bCs/>
          <w:sz w:val="32"/>
          <w:szCs w:val="32"/>
          <w:shd w:val="clear" w:color="auto" w:fill="FFFFFF"/>
          <w:lang w:eastAsia="zh-CN"/>
        </w:rPr>
        <w:t>“</w:t>
      </w:r>
      <w:r>
        <w:rPr>
          <w:rStyle w:val="8"/>
          <w:rFonts w:hint="default" w:ascii="Times New Roman" w:hAnsi="Times New Roman" w:eastAsia="方正楷体_GBK" w:cs="Times New Roman"/>
          <w:b w:val="0"/>
          <w:bCs/>
          <w:sz w:val="32"/>
          <w:szCs w:val="32"/>
          <w:shd w:val="clear" w:color="auto" w:fill="FFFFFF"/>
        </w:rPr>
        <w:t>三公</w:t>
      </w:r>
      <w:r>
        <w:rPr>
          <w:rStyle w:val="8"/>
          <w:rFonts w:hint="eastAsia" w:ascii="Times New Roman" w:hAnsi="Times New Roman" w:eastAsia="方正楷体_GBK" w:cs="Times New Roman"/>
          <w:b w:val="0"/>
          <w:bCs/>
          <w:sz w:val="32"/>
          <w:szCs w:val="32"/>
          <w:shd w:val="clear" w:color="auto" w:fill="FFFFFF"/>
          <w:lang w:eastAsia="zh-CN"/>
        </w:rPr>
        <w:t>”</w:t>
      </w:r>
      <w:r>
        <w:rPr>
          <w:rStyle w:val="8"/>
          <w:rFonts w:hint="default" w:ascii="Times New Roman" w:hAnsi="Times New Roman" w:eastAsia="方正楷体_GBK" w:cs="Times New Roman"/>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部门公务出国（境）的国际旅费、国外城市间交通费、住宿费、伙食费、培训费、公杂费等支出；公务用车购置费反映部门公务用车购置支出（含车辆购置税）；公务用车运行维护费反映部门按规定保留的公务用车燃料费、维修费、过路过桥费、保险费、安全奖励费用等支出；公务接待费反映部门按规定开支的各类公务接待（含外宾接待）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部门（含参照公务员法管理的事业部门）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反映部门开支的在职职工和编制外长期聘用人员的各类劳动报酬，以及为上述人员缴纳的各项社会保险费等。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反映部门购买商品和服务的支出（不包括用于购置固定资产的支出、战略性和应急储备支出）。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七、决算公开联系方式及信息反馈渠道</w:t>
      </w:r>
    </w:p>
    <w:p>
      <w:pPr>
        <w:pStyle w:val="10"/>
        <w:keepNext w:val="0"/>
        <w:keepLines w:val="0"/>
        <w:pageBreakBefore w:val="0"/>
        <w:kinsoku/>
        <w:wordWrap/>
        <w:overflowPunct/>
        <w:topLinePunct w:val="0"/>
        <w:autoSpaceDE w:val="0"/>
        <w:autoSpaceDN/>
        <w:bidi w:val="0"/>
        <w:adjustRightInd/>
        <w:spacing w:before="0" w:beforeAutospacing="0" w:after="0" w:afterAutospacing="0" w:line="596" w:lineRule="exact"/>
        <w:ind w:firstLine="640" w:firstLineChars="200"/>
        <w:jc w:val="both"/>
        <w:textAlignment w:val="auto"/>
        <w:rPr>
          <w:rStyle w:val="8"/>
          <w:rFonts w:hint="default" w:ascii="Times New Roman" w:hAnsi="Times New Roman" w:eastAsia="方正仿宋_GBK" w:cs="Times New Roman"/>
          <w:sz w:val="32"/>
          <w:szCs w:val="32"/>
          <w:shd w:val="clear" w:color="auto" w:fill="FFFF00"/>
        </w:rPr>
        <w:sectPr>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rPr>
        <w:t>李佳芹</w:t>
      </w:r>
      <w:r>
        <w:rPr>
          <w:rFonts w:hint="default" w:ascii="Times New Roman" w:hAnsi="Times New Roman" w:eastAsia="方正仿宋_GBK" w:cs="Times New Roman"/>
          <w:sz w:val="32"/>
          <w:szCs w:val="32"/>
          <w:shd w:val="clear" w:color="auto" w:fill="FFFFFF"/>
        </w:rPr>
        <w:t>023-51336995</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rPr>
              <w:t>收入支出决算表</w:t>
            </w:r>
          </w:p>
        </w:tc>
      </w:tr>
      <w:tr>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巫溪县人民政府宁河街道办事处（本级）</w:t>
            </w:r>
          </w:p>
        </w:tc>
        <w:tc>
          <w:tcPr>
            <w:tcW w:w="4344"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01表</w:t>
            </w:r>
          </w:p>
        </w:tc>
      </w:tr>
      <w:tr>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4344"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支出</w:t>
            </w:r>
          </w:p>
        </w:tc>
      </w:tr>
      <w:tr>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1,758.42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660.90</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436" w:type="dxa"/>
            <w:tcBorders>
              <w:top w:val="nil"/>
              <w:left w:val="nil"/>
              <w:bottom w:val="nil"/>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601.38</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37.59</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16.36</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135.98</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181.78</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14.43</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1,758.42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1,758.42</w:t>
            </w: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1,758.42</w:t>
            </w:r>
          </w:p>
        </w:tc>
        <w:tc>
          <w:tcPr>
            <w:tcW w:w="443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1,758.42</w:t>
            </w:r>
          </w:p>
        </w:tc>
      </w:tr>
    </w:tbl>
    <w:p>
      <w:pPr>
        <w:pStyle w:val="9"/>
        <w:autoSpaceDE w:val="0"/>
        <w:ind w:firstLine="0" w:firstLineChars="0"/>
        <w:jc w:val="center"/>
        <w:rPr>
          <w:rFonts w:hint="default" w:ascii="Times New Roman" w:hAnsi="Times New Roman" w:cs="Times New Roman"/>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收入决算表</w:t>
            </w:r>
          </w:p>
        </w:tc>
      </w:tr>
      <w:tr>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1"/>
                <w:szCs w:val="21"/>
              </w:rPr>
              <w:t>部门</w:t>
            </w:r>
            <w:r>
              <w:rPr>
                <w:rFonts w:hint="default" w:ascii="Times New Roman" w:hAnsi="Times New Roman" w:cs="Times New Roman"/>
                <w:sz w:val="20"/>
                <w:szCs w:val="20"/>
              </w:rPr>
              <w:t>：</w:t>
            </w:r>
            <w:r>
              <w:rPr>
                <w:rFonts w:hint="default" w:ascii="Times New Roman" w:hAnsi="Times New Roman" w:cs="Times New Roman"/>
                <w:sz w:val="20"/>
              </w:rPr>
              <w:t>巫溪县人民政府宁河街道办事处（本级）</w:t>
            </w:r>
          </w:p>
        </w:tc>
        <w:tc>
          <w:tcPr>
            <w:tcW w:w="2408" w:type="dxa"/>
            <w:tcBorders>
              <w:top w:val="nil"/>
              <w:left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02表</w:t>
            </w:r>
          </w:p>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其他收入</w:t>
            </w: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r>
      <w:tr>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1,758.42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1,758.42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660.90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660.90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653.11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653.11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147.01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147.01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pPr>
        <w:ind w:left="630" w:hanging="630" w:hanging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支出决算表</w:t>
            </w:r>
          </w:p>
        </w:tc>
      </w:tr>
      <w:tr>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巫溪县人民政府宁河街道办事处（本级） </w:t>
            </w:r>
          </w:p>
        </w:tc>
        <w:tc>
          <w:tcPr>
            <w:tcW w:w="2741"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03表</w:t>
            </w:r>
          </w:p>
        </w:tc>
      </w:tr>
      <w:tr>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2741"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r>
      <w:tr>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1,758.42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929.15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829.27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624.86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653.11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624.86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147.01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118.76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601.38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419.46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财政拨款收入支出决算表</w:t>
            </w:r>
          </w:p>
        </w:tc>
      </w:tr>
      <w:tr>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2874"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04表</w:t>
            </w:r>
          </w:p>
        </w:tc>
      </w:tr>
      <w:tr>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2874"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     出</w:t>
            </w:r>
          </w:p>
        </w:tc>
      </w:tr>
      <w:tr>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国有资本经营预算财政拨款</w:t>
            </w:r>
          </w:p>
        </w:tc>
      </w:tr>
      <w:tr>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cs="Times New Roman"/>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cs="Times New Roman"/>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660.90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660.90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601.38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601.38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16.36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16.36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135.98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135.98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181.78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181.78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60" w:lineRule="exact"/>
              <w:rPr>
                <w:rFonts w:hint="default" w:ascii="Times New Roman" w:hAnsi="Times New Roman" w:cs="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default" w:ascii="Times New Roman" w:hAnsi="Times New Roman" w:cs="Times New Roman"/>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rFonts w:hint="default" w:ascii="Times New Roman" w:hAnsi="Times New Roman" w:cs="Times New Roman" w:eastAsiaTheme="minorEastAsia"/>
                <w:color w:val="000000"/>
                <w:sz w:val="22"/>
                <w:szCs w:val="22"/>
              </w:rPr>
            </w:pPr>
          </w:p>
        </w:tc>
      </w:tr>
      <w:tr>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1,758.42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929.15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829.27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1,758.42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929.15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829.27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660.90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36.04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660.90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36.04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653.11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653.11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147.01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118.76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147.01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118.76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601.38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181.93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419.46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601.38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181.93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419.46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135.98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101.17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135.98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101.17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181.78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181.78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2682"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06表</w:t>
            </w:r>
          </w:p>
        </w:tc>
      </w:tr>
      <w:tr>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2682"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公用经费</w:t>
            </w:r>
          </w:p>
        </w:tc>
      </w:tr>
      <w:tr>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713.36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87.82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5.02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134.87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39.13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120.29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5.02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155.12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60.42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4.31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33.91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38.14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49.97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118.76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122.94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4.68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117.26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4.04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2.84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28.55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39908</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39910</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39999</w:t>
            </w:r>
          </w:p>
        </w:tc>
        <w:tc>
          <w:tcPr>
            <w:tcW w:w="4467" w:type="dxa"/>
            <w:tcBorders>
              <w:top w:val="nil"/>
              <w:left w:val="nil"/>
              <w:bottom w:val="single" w:color="000000" w:sz="4" w:space="0"/>
              <w:right w:val="nil"/>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spacing w:line="340" w:lineRule="exact"/>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pPr>
              <w:spacing w:line="340" w:lineRule="exact"/>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ordWrap w:val="0"/>
              <w:spacing w:line="340" w:lineRule="exact"/>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836.31 </w:t>
            </w:r>
          </w:p>
        </w:tc>
        <w:tc>
          <w:tcPr>
            <w:tcW w:w="12067" w:type="dxa"/>
            <w:gridSpan w:val="5"/>
            <w:tcBorders>
              <w:top w:val="nil"/>
              <w:left w:val="nil"/>
              <w:bottom w:val="single" w:color="000000" w:sz="4" w:space="0"/>
              <w:right w:val="single" w:color="000000" w:sz="4" w:space="0"/>
            </w:tcBorders>
            <w:shd w:val="clear" w:color="auto" w:fill="auto"/>
            <w:vAlign w:val="center"/>
          </w:tcPr>
          <w:p>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92.84 </w:t>
            </w:r>
          </w:p>
        </w:tc>
      </w:tr>
    </w:tbl>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p>
      <w:pPr>
        <w:rPr>
          <w:rFonts w:hint="default" w:ascii="Times New Roman" w:hAnsi="Times New Roman" w:cs="Times New Roman"/>
          <w:sz w:val="20"/>
          <w:szCs w:val="20"/>
        </w:rPr>
      </w:pP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政府性基金预算财政拨款收入支出决算表</w:t>
            </w:r>
          </w:p>
        </w:tc>
      </w:tr>
      <w:tr>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07表</w:t>
            </w:r>
          </w:p>
        </w:tc>
      </w:tr>
      <w:tr>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pPr>
              <w:spacing w:line="240" w:lineRule="exact"/>
              <w:textAlignment w:val="center"/>
              <w:rPr>
                <w:rFonts w:hint="default" w:ascii="Times New Roman" w:hAnsi="Times New Roman" w:cs="Times New Roman"/>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0"/>
          <w:szCs w:val="20"/>
        </w:rPr>
        <w:t>备注：本年无政府性基金收支，故本表无数据。</w:t>
      </w:r>
      <w:r>
        <w:rPr>
          <w:rFonts w:hint="default" w:ascii="Times New Roman" w:hAnsi="Times New Roman" w:cs="Times New Roman"/>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国有资本经营预算财政拨款收入支出决算表</w:t>
            </w:r>
          </w:p>
        </w:tc>
      </w:tr>
      <w:tr>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巫溪县人民政府宁河街道办事处（本级）</w:t>
            </w:r>
          </w:p>
        </w:tc>
        <w:tc>
          <w:tcPr>
            <w:tcW w:w="2116"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08表</w:t>
            </w:r>
          </w:p>
        </w:tc>
      </w:tr>
      <w:tr>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2116"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r>
      <w:tr>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r>
      <w:tr>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pPr>
        <w:rPr>
          <w:rFonts w:hint="default" w:ascii="Times New Roman" w:hAnsi="Times New Roman" w:cs="Times New Roman"/>
          <w:sz w:val="21"/>
          <w:szCs w:val="21"/>
        </w:rPr>
      </w:pPr>
    </w:p>
    <w:p>
      <w:pPr>
        <w:rPr>
          <w:rFonts w:hint="default" w:ascii="Times New Roman" w:hAnsi="Times New Roman" w:cs="Times New Roman"/>
          <w:sz w:val="21"/>
          <w:szCs w:val="21"/>
        </w:rPr>
      </w:pPr>
      <w:r>
        <w:rPr>
          <w:rFonts w:hint="default" w:ascii="Times New Roman" w:hAnsi="Times New Roman" w:cs="Times New Roman"/>
          <w:sz w:val="20"/>
          <w:szCs w:val="20"/>
        </w:rPr>
        <w:t>备注：本年无国有资本经营收支，故本表无数据。</w:t>
      </w:r>
      <w:r>
        <w:rPr>
          <w:rFonts w:hint="default" w:ascii="Times New Roman" w:hAnsi="Times New Roman" w:cs="Times New Roman"/>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jc w:val="center"/>
              <w:textAlignment w:val="bottom"/>
              <w:rPr>
                <w:rFonts w:hint="default" w:ascii="Times New Roman" w:hAnsi="Times New Roman" w:cs="Times New Roman"/>
                <w:color w:val="000000"/>
                <w:sz w:val="44"/>
                <w:szCs w:val="44"/>
              </w:rPr>
            </w:pPr>
            <w:r>
              <w:rPr>
                <w:rFonts w:hint="default" w:ascii="Times New Roman" w:hAnsi="Times New Roman" w:eastAsia="方正小标宋_GBK" w:cs="Times New Roman"/>
                <w:b w:val="0"/>
                <w:bCs w:val="0"/>
                <w:color w:val="000000"/>
                <w:sz w:val="30"/>
                <w:szCs w:val="30"/>
              </w:rPr>
              <w:t>机构运行信息决算表</w:t>
            </w:r>
          </w:p>
        </w:tc>
      </w:tr>
      <w:tr>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巫溪县人民政府宁河街道办事处（本级）</w:t>
            </w:r>
          </w:p>
        </w:tc>
        <w:tc>
          <w:tcPr>
            <w:tcW w:w="4134"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09表</w:t>
            </w:r>
          </w:p>
        </w:tc>
      </w:tr>
      <w:tr>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cs="Times New Roman"/>
                <w:color w:val="000000"/>
                <w:sz w:val="20"/>
                <w:szCs w:val="20"/>
              </w:rPr>
            </w:pPr>
          </w:p>
        </w:tc>
        <w:tc>
          <w:tcPr>
            <w:tcW w:w="4134" w:type="dxa"/>
            <w:tcBorders>
              <w:top w:val="nil"/>
              <w:left w:val="nil"/>
              <w:bottom w:val="nil"/>
              <w:right w:val="nil"/>
            </w:tcBorders>
            <w:shd w:val="clear" w:color="auto" w:fill="auto"/>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一、</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三公</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经费支出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92.84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92.84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39.07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39.07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30.27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30.27 </w:t>
            </w:r>
          </w:p>
        </w:tc>
      </w:tr>
      <w:tr>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auto" w:sz="4" w:space="0"/>
              <w:right w:val="single" w:color="000000" w:sz="4" w:space="0"/>
            </w:tcBorders>
            <w:shd w:val="clear" w:color="auto" w:fill="auto"/>
            <w:vAlign w:val="center"/>
          </w:tcPr>
          <w:p>
            <w:pPr>
              <w:spacing w:line="400" w:lineRule="exact"/>
              <w:rPr>
                <w:rFonts w:hint="default" w:ascii="Times New Roman" w:hAnsi="Times New Roman" w:cs="Times New Roman"/>
                <w:color w:val="000000"/>
                <w:sz w:val="22"/>
                <w:szCs w:val="22"/>
              </w:rPr>
            </w:pPr>
          </w:p>
        </w:tc>
        <w:tc>
          <w:tcPr>
            <w:tcW w:w="1050" w:type="dxa"/>
            <w:tcBorders>
              <w:top w:val="nil"/>
              <w:left w:val="nil"/>
              <w:bottom w:val="single" w:color="auto" w:sz="4" w:space="0"/>
              <w:right w:val="nil"/>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400" w:lineRule="exact"/>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s="Times New Roman"/>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Times New Roman" w:hAnsi="Times New Roman" w:cs="Times New Roman"/>
                <w:color w:val="000000"/>
                <w:sz w:val="20"/>
                <w:szCs w:val="20"/>
              </w:rPr>
            </w:pPr>
          </w:p>
        </w:tc>
      </w:tr>
      <w:tr>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textAlignment w:val="center"/>
              <w:rPr>
                <w:rFonts w:hint="default" w:ascii="Times New Roman" w:hAnsi="Times New Roman" w:cs="Times New Roman"/>
                <w:b/>
                <w:color w:val="000000"/>
                <w:kern w:val="2"/>
                <w:sz w:val="22"/>
                <w:szCs w:val="22"/>
              </w:rPr>
            </w:pPr>
            <w:r>
              <w:rPr>
                <w:rFonts w:hint="default" w:ascii="Times New Roman" w:hAnsi="Times New Roman" w:cs="Times New Roman"/>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spacing w:line="400" w:lineRule="exact"/>
              <w:jc w:val="right"/>
              <w:textAlignment w:val="bottom"/>
              <w:rPr>
                <w:rFonts w:hint="default" w:ascii="Times New Roman" w:hAnsi="Times New Roman" w:cs="Times New Roman"/>
                <w:color w:val="000000"/>
                <w:kern w:val="2"/>
                <w:sz w:val="22"/>
                <w:szCs w:val="22"/>
              </w:rPr>
            </w:pPr>
            <w:r>
              <w:rPr>
                <w:rFonts w:hint="default" w:ascii="Times New Roman" w:hAnsi="Times New Roman" w:cs="Times New Roman"/>
                <w:color w:val="000000"/>
                <w:sz w:val="22"/>
                <w:szCs w:val="22"/>
              </w:rPr>
              <w:t>1.36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spacing w:line="400" w:lineRule="exact"/>
              <w:rPr>
                <w:rFonts w:hint="default" w:ascii="Times New Roman" w:hAnsi="Times New Roman" w:cs="Times New Roman"/>
                <w:color w:val="000000"/>
                <w:sz w:val="20"/>
                <w:szCs w:val="20"/>
              </w:rPr>
            </w:pPr>
          </w:p>
        </w:tc>
      </w:tr>
    </w:tbl>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rPr>
          <w:rFonts w:hint="default" w:ascii="Times New Roman" w:hAnsi="Times New Roman" w:cs="Times New Roman"/>
          <w:color w:val="000000"/>
          <w:sz w:val="21"/>
          <w:szCs w:val="21"/>
        </w:rPr>
      </w:pPr>
    </w:p>
    <w:p>
      <w:pPr>
        <w:pStyle w:val="10"/>
        <w:rPr>
          <w:rFonts w:hint="default" w:ascii="Times New Roman" w:hAnsi="Times New Roman" w:cs="Times New Roman"/>
        </w:rPr>
      </w:pPr>
      <w:r>
        <w:rPr>
          <w:rFonts w:hint="default" w:ascii="Times New Roman" w:hAnsi="Times New Roman" w:cs="Times New Roman"/>
        </w:rPr>
        <w:t>附件1：</w:t>
      </w:r>
    </w:p>
    <w:p>
      <w:pPr>
        <w:pStyle w:val="10"/>
        <w:rPr>
          <w:rFonts w:hint="default" w:ascii="Times New Roman" w:hAnsi="Times New Roman" w:cs="Times New Roman"/>
        </w:rPr>
      </w:pPr>
    </w:p>
    <w:tbl>
      <w:tblPr>
        <w:tblStyle w:val="6"/>
        <w:tblW w:w="21809" w:type="dxa"/>
        <w:tblInd w:w="96" w:type="dxa"/>
        <w:tblLayout w:type="autofit"/>
        <w:tblCellMar>
          <w:top w:w="0" w:type="dxa"/>
          <w:left w:w="108" w:type="dxa"/>
          <w:bottom w:w="0" w:type="dxa"/>
          <w:right w:w="108" w:type="dxa"/>
        </w:tblCellMar>
      </w:tblPr>
      <w:tblGrid>
        <w:gridCol w:w="3997"/>
        <w:gridCol w:w="1945"/>
        <w:gridCol w:w="1290"/>
        <w:gridCol w:w="2111"/>
        <w:gridCol w:w="1850"/>
        <w:gridCol w:w="1510"/>
        <w:gridCol w:w="1965"/>
        <w:gridCol w:w="1381"/>
        <w:gridCol w:w="1454"/>
        <w:gridCol w:w="1741"/>
        <w:gridCol w:w="2565"/>
      </w:tblGrid>
      <w:tr>
        <w:tblPrEx>
          <w:tblCellMar>
            <w:top w:w="0" w:type="dxa"/>
            <w:left w:w="108" w:type="dxa"/>
            <w:bottom w:w="0" w:type="dxa"/>
            <w:right w:w="108" w:type="dxa"/>
          </w:tblCellMar>
        </w:tblPrEx>
        <w:trPr>
          <w:trHeight w:val="807"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2024年度部门整体绩效自评表</w:t>
            </w:r>
          </w:p>
        </w:tc>
      </w:tr>
      <w:tr>
        <w:tblPrEx>
          <w:tblCellMar>
            <w:top w:w="0" w:type="dxa"/>
            <w:left w:w="108" w:type="dxa"/>
            <w:bottom w:w="0" w:type="dxa"/>
            <w:right w:w="108" w:type="dxa"/>
          </w:tblCellMar>
        </w:tblPrEx>
        <w:trPr>
          <w:trHeight w:val="1211"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巫溪县人民政府宁河街道办事处整体监控</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50023800024P000100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727"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孟令轩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15023893893</w:t>
            </w:r>
          </w:p>
        </w:tc>
      </w:tr>
      <w:tr>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tblPrEx>
          <w:tblCellMar>
            <w:top w:w="0" w:type="dxa"/>
            <w:left w:w="108" w:type="dxa"/>
            <w:bottom w:w="0" w:type="dxa"/>
            <w:right w:w="108" w:type="dxa"/>
          </w:tblCellMar>
        </w:tblPrEx>
        <w:trPr>
          <w:trHeight w:val="636" w:hRule="atLeast"/>
        </w:trPr>
        <w:tc>
          <w:tcPr>
            <w:tcW w:w="5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94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17,197,283.38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21,634,078.21 </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21,335,310.21 </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741" w:type="dxa"/>
            <w:tcBorders>
              <w:top w:val="single" w:color="000000" w:sz="4" w:space="0"/>
              <w:left w:val="nil"/>
              <w:bottom w:val="nil"/>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94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17,197,283.38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21,634,078.21 </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21,335,310.21 </w:t>
            </w:r>
          </w:p>
        </w:tc>
        <w:tc>
          <w:tcPr>
            <w:tcW w:w="1454" w:type="dxa"/>
            <w:tcBorders>
              <w:top w:val="nil"/>
              <w:left w:val="nil"/>
              <w:bottom w:val="nil"/>
              <w:right w:val="nil"/>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98.62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9.86 </w:t>
            </w:r>
          </w:p>
        </w:tc>
      </w:tr>
      <w:tr>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94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17,197,283.38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21,634,078.21 </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21,335,310.21 </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98.94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tblPrEx>
          <w:tblCellMar>
            <w:top w:w="0" w:type="dxa"/>
            <w:left w:w="108" w:type="dxa"/>
            <w:bottom w:w="0" w:type="dxa"/>
            <w:right w:w="108" w:type="dxa"/>
          </w:tblCellMar>
        </w:tblPrEx>
        <w:trPr>
          <w:trHeight w:val="504"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tblPrEx>
          <w:tblCellMar>
            <w:top w:w="0" w:type="dxa"/>
            <w:left w:w="108" w:type="dxa"/>
            <w:bottom w:w="0" w:type="dxa"/>
            <w:right w:w="108" w:type="dxa"/>
          </w:tblCellMar>
        </w:tblPrEx>
        <w:trPr>
          <w:trHeight w:val="4043"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w:t>
            </w:r>
          </w:p>
        </w:tc>
      </w:tr>
      <w:tr>
        <w:tblPrEx>
          <w:tblCellMar>
            <w:top w:w="0" w:type="dxa"/>
            <w:left w:w="108" w:type="dxa"/>
            <w:bottom w:w="0" w:type="dxa"/>
            <w:right w:w="108" w:type="dxa"/>
          </w:tblCellMar>
        </w:tblPrEx>
        <w:trPr>
          <w:trHeight w:val="60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tblPrEx>
          <w:tblCellMar>
            <w:top w:w="0" w:type="dxa"/>
            <w:left w:w="108" w:type="dxa"/>
            <w:bottom w:w="0" w:type="dxa"/>
            <w:right w:w="108" w:type="dxa"/>
          </w:tblCellMar>
        </w:tblPrEx>
        <w:trPr>
          <w:trHeight w:val="709"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tblPrEx>
          <w:tblCellMar>
            <w:top w:w="0" w:type="dxa"/>
            <w:left w:w="108" w:type="dxa"/>
            <w:bottom w:w="0" w:type="dxa"/>
            <w:right w:w="108" w:type="dxa"/>
          </w:tblCellMar>
        </w:tblPrEx>
        <w:trPr>
          <w:trHeight w:val="666"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单位线下线上宣传发布动态数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惠民惠农政策落实率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信访工作完成率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群众对街道工作的满意度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2168"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r>
    </w:tbl>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r>
        <w:rPr>
          <w:rFonts w:hint="default" w:ascii="Times New Roman" w:hAnsi="Times New Roman" w:cs="Times New Roman"/>
        </w:rPr>
        <w:t>附件2</w:t>
      </w:r>
    </w:p>
    <w:p>
      <w:pPr>
        <w:pStyle w:val="10"/>
        <w:rPr>
          <w:rFonts w:hint="default" w:ascii="Times New Roman" w:hAnsi="Times New Roman" w:cs="Times New Roman"/>
        </w:rPr>
      </w:pPr>
    </w:p>
    <w:tbl>
      <w:tblPr>
        <w:tblStyle w:val="6"/>
        <w:tblW w:w="21864" w:type="dxa"/>
        <w:tblInd w:w="96" w:type="dxa"/>
        <w:tblLayout w:type="autofit"/>
        <w:tblCellMar>
          <w:top w:w="0" w:type="dxa"/>
          <w:left w:w="108" w:type="dxa"/>
          <w:bottom w:w="0" w:type="dxa"/>
          <w:right w:w="108" w:type="dxa"/>
        </w:tblCellMar>
      </w:tblPr>
      <w:tblGrid>
        <w:gridCol w:w="3280"/>
        <w:gridCol w:w="1735"/>
        <w:gridCol w:w="1894"/>
        <w:gridCol w:w="1970"/>
        <w:gridCol w:w="1681"/>
        <w:gridCol w:w="1900"/>
        <w:gridCol w:w="1846"/>
        <w:gridCol w:w="1603"/>
        <w:gridCol w:w="1933"/>
        <w:gridCol w:w="1627"/>
        <w:gridCol w:w="2395"/>
      </w:tblGrid>
      <w:tr>
        <w:tblPrEx>
          <w:tblCellMar>
            <w:top w:w="0" w:type="dxa"/>
            <w:left w:w="108" w:type="dxa"/>
            <w:bottom w:w="0" w:type="dxa"/>
            <w:right w:w="108" w:type="dxa"/>
          </w:tblCellMar>
        </w:tblPrEx>
        <w:trPr>
          <w:trHeight w:val="8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2024年度二级项目绩效自评表</w:t>
            </w:r>
          </w:p>
        </w:tc>
      </w:tr>
      <w:tr>
        <w:tblPrEx>
          <w:tblCellMar>
            <w:top w:w="0" w:type="dxa"/>
            <w:left w:w="108" w:type="dxa"/>
            <w:bottom w:w="0" w:type="dxa"/>
            <w:right w:w="108" w:type="dxa"/>
          </w:tblCellMar>
        </w:tblPrEx>
        <w:trPr>
          <w:trHeight w:val="1205"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巫溪县2024年宁河街道环城社区胡守成后山救灾项目（巫溪规资发[2024]116号）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50023825T000004843563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72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史红梅</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18875003202</w:t>
            </w:r>
          </w:p>
        </w:tc>
      </w:tr>
      <w:tr>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tblPrEx>
          <w:tblCellMar>
            <w:top w:w="0" w:type="dxa"/>
            <w:left w:w="108" w:type="dxa"/>
            <w:bottom w:w="0" w:type="dxa"/>
            <w:right w:w="108" w:type="dxa"/>
          </w:tblCellMar>
        </w:tblPrEx>
        <w:trPr>
          <w:trHeight w:val="502" w:hRule="atLeast"/>
        </w:trPr>
        <w:tc>
          <w:tcPr>
            <w:tcW w:w="5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73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81" w:type="dxa"/>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73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81" w:type="dxa"/>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r>
      <w:tr>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735" w:type="dxa"/>
            <w:tcBorders>
              <w:top w:val="single" w:color="000000" w:sz="4" w:space="0"/>
              <w:left w:val="nil"/>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81" w:type="dxa"/>
            <w:tcBorders>
              <w:top w:val="single" w:color="000000" w:sz="4" w:space="0"/>
              <w:left w:val="single" w:color="000000" w:sz="4" w:space="0"/>
              <w:bottom w:val="single" w:color="000000" w:sz="4" w:space="0"/>
              <w:right w:val="nil"/>
            </w:tcBorders>
            <w:shd w:val="clear" w:color="auto" w:fill="auto"/>
            <w:vAlign w:val="center"/>
          </w:tcPr>
          <w:p>
            <w:pPr>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tblPrEx>
          <w:tblCellMar>
            <w:top w:w="0" w:type="dxa"/>
            <w:left w:w="108" w:type="dxa"/>
            <w:bottom w:w="0" w:type="dxa"/>
            <w:right w:w="108" w:type="dxa"/>
          </w:tblCellMar>
        </w:tblPrEx>
        <w:trPr>
          <w:trHeight w:val="502"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tblPrEx>
          <w:tblCellMar>
            <w:top w:w="0" w:type="dxa"/>
            <w:left w:w="108" w:type="dxa"/>
            <w:bottom w:w="0" w:type="dxa"/>
            <w:right w:w="108" w:type="dxa"/>
          </w:tblCellMar>
        </w:tblPrEx>
        <w:trPr>
          <w:trHeight w:val="1607"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通过人工清危125平方米，建立被动防护网260平方米，项目实施可保障胡守成后山危岩下方9户63人的生命财产安全（其中脱贫人口4人）。巫溪规资发[2024]116号</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通过人工清危125平方米，建立被动防护网260平方米，项目实施可保障胡守成后山危岩下方9户63人的生命财产安全（其中脱贫人口4人）。巫溪规资发[2024]116号</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通过人工清危125平方米，建立被动防护网260平方米，项目实施可保障胡守成后山危岩下方9户63人的生命财产安全（其中脱贫人口4人）。巫溪规资发[2024]116号</w:t>
            </w:r>
          </w:p>
        </w:tc>
      </w:tr>
      <w:tr>
        <w:tblPrEx>
          <w:tblCellMar>
            <w:top w:w="0" w:type="dxa"/>
            <w:left w:w="108" w:type="dxa"/>
            <w:bottom w:w="0" w:type="dxa"/>
            <w:right w:w="108" w:type="dxa"/>
          </w:tblCellMar>
        </w:tblPrEx>
        <w:trPr>
          <w:trHeight w:val="60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tblPrEx>
          <w:tblCellMar>
            <w:top w:w="0" w:type="dxa"/>
            <w:left w:w="108" w:type="dxa"/>
            <w:bottom w:w="0" w:type="dxa"/>
            <w:right w:w="108" w:type="dxa"/>
          </w:tblCellMar>
        </w:tblPrEx>
        <w:trPr>
          <w:trHeight w:val="70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tblPrEx>
          <w:tblCellMar>
            <w:top w:w="0" w:type="dxa"/>
            <w:left w:w="108" w:type="dxa"/>
            <w:bottom w:w="0" w:type="dxa"/>
            <w:right w:w="108" w:type="dxa"/>
          </w:tblCellMar>
        </w:tblPrEx>
        <w:trPr>
          <w:trHeight w:val="66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安装PPS-150/DB-A型被动防护网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人工清危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受益巩固脱贫人数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r>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受益脱贫人口满意度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cs="Times New Roman"/>
                <w:color w:val="000000"/>
                <w:sz w:val="22"/>
                <w:szCs w:val="22"/>
              </w:rPr>
            </w:pPr>
          </w:p>
        </w:tc>
      </w:tr>
    </w:tbl>
    <w:p>
      <w:pPr>
        <w:pStyle w:val="9"/>
        <w:autoSpaceDE w:val="0"/>
        <w:ind w:firstLine="0" w:firstLineChars="0"/>
        <w:rPr>
          <w:rFonts w:hint="default" w:ascii="Times New Roman" w:hAnsi="Times New Roman" w:cs="Times New Roman"/>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default"/>
                  </w:rPr>
                </w:pPr>
                <w:r>
                  <w:rPr>
                    <w:sz w:val="28"/>
                    <w:szCs w:val="28"/>
                  </w:rPr>
                  <w:t xml:space="preserve"> </w:t>
                </w:r>
                <w:r>
                  <w:rPr>
                    <w:rFonts w:hint="default"/>
                    <w:sz w:val="28"/>
                    <w:szCs w:val="28"/>
                  </w:rPr>
                  <w:fldChar w:fldCharType="begin"/>
                </w:r>
                <w:r>
                  <w:rPr>
                    <w:sz w:val="28"/>
                    <w:szCs w:val="28"/>
                  </w:rPr>
                  <w:instrText xml:space="preserve">PAGE   \* MERGEFORMAT</w:instrText>
                </w:r>
                <w:r>
                  <w:rPr>
                    <w:rFonts w:hint="default"/>
                    <w:sz w:val="28"/>
                    <w:szCs w:val="28"/>
                  </w:rPr>
                  <w:fldChar w:fldCharType="separate"/>
                </w:r>
                <w:r>
                  <w:rPr>
                    <w:rFonts w:hint="default"/>
                    <w:sz w:val="28"/>
                    <w:szCs w:val="28"/>
                    <w:lang w:val="zh-CN"/>
                  </w:rPr>
                  <w:t>-</w:t>
                </w:r>
                <w:r>
                  <w:rPr>
                    <w:rFonts w:hint="default"/>
                    <w:sz w:val="28"/>
                    <w:szCs w:val="28"/>
                  </w:rPr>
                  <w:t xml:space="preserve"> 30 -</w:t>
                </w:r>
                <w:r>
                  <w:rPr>
                    <w:rFonts w:hint="default"/>
                    <w:sz w:val="28"/>
                    <w:szCs w:val="28"/>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4611"/>
    <w:multiLevelType w:val="singleLevel"/>
    <w:tmpl w:val="9A134611"/>
    <w:lvl w:ilvl="0" w:tentative="0">
      <w:start w:val="1"/>
      <w:numFmt w:val="decimal"/>
      <w:suff w:val="space"/>
      <w:lvlText w:val="%1."/>
      <w:lvlJc w:val="left"/>
    </w:lvl>
  </w:abstractNum>
  <w:abstractNum w:abstractNumId="1">
    <w:nsid w:val="C80AFBF6"/>
    <w:multiLevelType w:val="singleLevel"/>
    <w:tmpl w:val="C80AFBF6"/>
    <w:lvl w:ilvl="0" w:tentative="0">
      <w:start w:val="3"/>
      <w:numFmt w:val="chineseCounting"/>
      <w:suff w:val="nothing"/>
      <w:lvlText w:val="%1、"/>
      <w:lvlJc w:val="left"/>
      <w:rPr>
        <w:rFonts w:hint="eastAsia"/>
      </w:rPr>
    </w:lvl>
  </w:abstractNum>
  <w:abstractNum w:abstractNumId="2">
    <w:nsid w:val="DAD78AA3"/>
    <w:multiLevelType w:val="singleLevel"/>
    <w:tmpl w:val="DAD78AA3"/>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yZjM1MjQyODdjYjRmMjgxZjZlMzUwNmY5ZjQyOGQifQ=="/>
  </w:docVars>
  <w:rsids>
    <w:rsidRoot w:val="00B03CCD"/>
    <w:rsid w:val="00026E02"/>
    <w:rsid w:val="00077664"/>
    <w:rsid w:val="000C754D"/>
    <w:rsid w:val="000D7BCC"/>
    <w:rsid w:val="000E5646"/>
    <w:rsid w:val="001063F3"/>
    <w:rsid w:val="0017354A"/>
    <w:rsid w:val="001772A5"/>
    <w:rsid w:val="001F2BC5"/>
    <w:rsid w:val="0028441D"/>
    <w:rsid w:val="002B3456"/>
    <w:rsid w:val="00353563"/>
    <w:rsid w:val="00443975"/>
    <w:rsid w:val="00505592"/>
    <w:rsid w:val="00550ABE"/>
    <w:rsid w:val="00551422"/>
    <w:rsid w:val="005B3CFE"/>
    <w:rsid w:val="00621B58"/>
    <w:rsid w:val="00663CDF"/>
    <w:rsid w:val="006C762C"/>
    <w:rsid w:val="006D3BFD"/>
    <w:rsid w:val="006F79C8"/>
    <w:rsid w:val="007B419D"/>
    <w:rsid w:val="007D2571"/>
    <w:rsid w:val="007D7BF7"/>
    <w:rsid w:val="007F7B84"/>
    <w:rsid w:val="00833F6E"/>
    <w:rsid w:val="00866403"/>
    <w:rsid w:val="008705E2"/>
    <w:rsid w:val="008A3CF9"/>
    <w:rsid w:val="00953556"/>
    <w:rsid w:val="009B67B8"/>
    <w:rsid w:val="00A05EB8"/>
    <w:rsid w:val="00A3000C"/>
    <w:rsid w:val="00B03CCD"/>
    <w:rsid w:val="00B04B6F"/>
    <w:rsid w:val="00BE6121"/>
    <w:rsid w:val="00C34356"/>
    <w:rsid w:val="00C67B67"/>
    <w:rsid w:val="00CE4036"/>
    <w:rsid w:val="00CE4EA7"/>
    <w:rsid w:val="00D06C4C"/>
    <w:rsid w:val="00D61821"/>
    <w:rsid w:val="00DC461D"/>
    <w:rsid w:val="00DE19F9"/>
    <w:rsid w:val="00E21E20"/>
    <w:rsid w:val="00E910C2"/>
    <w:rsid w:val="00EE1CAE"/>
    <w:rsid w:val="00F129C1"/>
    <w:rsid w:val="00F14E3C"/>
    <w:rsid w:val="00F73E80"/>
    <w:rsid w:val="01371994"/>
    <w:rsid w:val="01474EBF"/>
    <w:rsid w:val="01F3521E"/>
    <w:rsid w:val="03E3214F"/>
    <w:rsid w:val="04446191"/>
    <w:rsid w:val="044C50BA"/>
    <w:rsid w:val="047F2D99"/>
    <w:rsid w:val="0536621F"/>
    <w:rsid w:val="05473131"/>
    <w:rsid w:val="05E64A5A"/>
    <w:rsid w:val="05E71467"/>
    <w:rsid w:val="06247E33"/>
    <w:rsid w:val="068843FB"/>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3F717A"/>
    <w:rsid w:val="0B9335CE"/>
    <w:rsid w:val="0BA10C97"/>
    <w:rsid w:val="0C554661"/>
    <w:rsid w:val="0C7927C4"/>
    <w:rsid w:val="0C9B098C"/>
    <w:rsid w:val="0CE80A8F"/>
    <w:rsid w:val="0D472B48"/>
    <w:rsid w:val="0D5568B2"/>
    <w:rsid w:val="0D563863"/>
    <w:rsid w:val="0D673E11"/>
    <w:rsid w:val="0DB50EFE"/>
    <w:rsid w:val="0DDA54E4"/>
    <w:rsid w:val="0DDC74AE"/>
    <w:rsid w:val="0E2C21E4"/>
    <w:rsid w:val="0E3A5F83"/>
    <w:rsid w:val="0E9478E1"/>
    <w:rsid w:val="0F6A05D3"/>
    <w:rsid w:val="0F836721"/>
    <w:rsid w:val="10175803"/>
    <w:rsid w:val="103645A3"/>
    <w:rsid w:val="107B59E5"/>
    <w:rsid w:val="10AA219D"/>
    <w:rsid w:val="11003CB0"/>
    <w:rsid w:val="11124E18"/>
    <w:rsid w:val="111445C7"/>
    <w:rsid w:val="1158083A"/>
    <w:rsid w:val="11F03528"/>
    <w:rsid w:val="12C827F6"/>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9B157F"/>
    <w:rsid w:val="1AB10093"/>
    <w:rsid w:val="1B501DE7"/>
    <w:rsid w:val="1B6F15B6"/>
    <w:rsid w:val="1BAA2EDC"/>
    <w:rsid w:val="1CE157EE"/>
    <w:rsid w:val="1D014A01"/>
    <w:rsid w:val="1D022362"/>
    <w:rsid w:val="1D091B60"/>
    <w:rsid w:val="1D794AE5"/>
    <w:rsid w:val="1DD26311"/>
    <w:rsid w:val="1DE57DAF"/>
    <w:rsid w:val="1EF67CA4"/>
    <w:rsid w:val="1F213FD9"/>
    <w:rsid w:val="1F527078"/>
    <w:rsid w:val="1FCD26AF"/>
    <w:rsid w:val="20642787"/>
    <w:rsid w:val="20C83310"/>
    <w:rsid w:val="20EC77A3"/>
    <w:rsid w:val="21556F04"/>
    <w:rsid w:val="217C0824"/>
    <w:rsid w:val="218E2416"/>
    <w:rsid w:val="21EB07A6"/>
    <w:rsid w:val="220214C0"/>
    <w:rsid w:val="22403BD3"/>
    <w:rsid w:val="22561024"/>
    <w:rsid w:val="24B92327"/>
    <w:rsid w:val="2533755C"/>
    <w:rsid w:val="25451957"/>
    <w:rsid w:val="257218BD"/>
    <w:rsid w:val="25C25B30"/>
    <w:rsid w:val="26396DF4"/>
    <w:rsid w:val="266B763B"/>
    <w:rsid w:val="27167136"/>
    <w:rsid w:val="27B23302"/>
    <w:rsid w:val="27D424D7"/>
    <w:rsid w:val="285722C3"/>
    <w:rsid w:val="2859068C"/>
    <w:rsid w:val="28DC1FF8"/>
    <w:rsid w:val="29310A5F"/>
    <w:rsid w:val="29C37A35"/>
    <w:rsid w:val="2A076083"/>
    <w:rsid w:val="2A306CA5"/>
    <w:rsid w:val="2A4160C7"/>
    <w:rsid w:val="2A73162E"/>
    <w:rsid w:val="2AFA2E94"/>
    <w:rsid w:val="2B167953"/>
    <w:rsid w:val="2B200583"/>
    <w:rsid w:val="2B8209DE"/>
    <w:rsid w:val="2C6762A3"/>
    <w:rsid w:val="2CF9649D"/>
    <w:rsid w:val="2D5F4C37"/>
    <w:rsid w:val="2DE81100"/>
    <w:rsid w:val="2FE029D7"/>
    <w:rsid w:val="2FF06E00"/>
    <w:rsid w:val="315F0B22"/>
    <w:rsid w:val="316E5BDA"/>
    <w:rsid w:val="31BE24D6"/>
    <w:rsid w:val="31D84415"/>
    <w:rsid w:val="32285F6F"/>
    <w:rsid w:val="32546C1E"/>
    <w:rsid w:val="32770556"/>
    <w:rsid w:val="329C0913"/>
    <w:rsid w:val="3337290D"/>
    <w:rsid w:val="352930DB"/>
    <w:rsid w:val="352D221A"/>
    <w:rsid w:val="35573069"/>
    <w:rsid w:val="358C217E"/>
    <w:rsid w:val="359E7284"/>
    <w:rsid w:val="359F188C"/>
    <w:rsid w:val="362E06B5"/>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A768E2"/>
    <w:rsid w:val="3DDF3AB1"/>
    <w:rsid w:val="3DE60B7E"/>
    <w:rsid w:val="3E1D0952"/>
    <w:rsid w:val="3E42660A"/>
    <w:rsid w:val="3E7555B1"/>
    <w:rsid w:val="3EA72472"/>
    <w:rsid w:val="3EDE1208"/>
    <w:rsid w:val="3F0527E5"/>
    <w:rsid w:val="3F16459E"/>
    <w:rsid w:val="3F4A6687"/>
    <w:rsid w:val="3FD779FE"/>
    <w:rsid w:val="4004000C"/>
    <w:rsid w:val="411B6CE5"/>
    <w:rsid w:val="412070D7"/>
    <w:rsid w:val="41314E40"/>
    <w:rsid w:val="414D77A0"/>
    <w:rsid w:val="415C674B"/>
    <w:rsid w:val="426C1EA8"/>
    <w:rsid w:val="426D56E2"/>
    <w:rsid w:val="42E86A87"/>
    <w:rsid w:val="43136432"/>
    <w:rsid w:val="43CF26EE"/>
    <w:rsid w:val="443A3B12"/>
    <w:rsid w:val="44487B36"/>
    <w:rsid w:val="44EF6BE8"/>
    <w:rsid w:val="45A30364"/>
    <w:rsid w:val="465B470D"/>
    <w:rsid w:val="469D6AD4"/>
    <w:rsid w:val="47674801"/>
    <w:rsid w:val="48225EF7"/>
    <w:rsid w:val="484F2050"/>
    <w:rsid w:val="48A36D47"/>
    <w:rsid w:val="495C4A24"/>
    <w:rsid w:val="49A21DF3"/>
    <w:rsid w:val="49C811E4"/>
    <w:rsid w:val="4A216E30"/>
    <w:rsid w:val="4ADF590D"/>
    <w:rsid w:val="4B0F428B"/>
    <w:rsid w:val="4B7951CB"/>
    <w:rsid w:val="4B7C315C"/>
    <w:rsid w:val="4B9300D7"/>
    <w:rsid w:val="4BAB7F90"/>
    <w:rsid w:val="4BD53EDA"/>
    <w:rsid w:val="4BE11807"/>
    <w:rsid w:val="4C484CE5"/>
    <w:rsid w:val="4D7F037D"/>
    <w:rsid w:val="4DAC4ACA"/>
    <w:rsid w:val="4DD06F63"/>
    <w:rsid w:val="4E043596"/>
    <w:rsid w:val="4EA8523F"/>
    <w:rsid w:val="4EDD2163"/>
    <w:rsid w:val="4F186D58"/>
    <w:rsid w:val="4F224836"/>
    <w:rsid w:val="511C2A69"/>
    <w:rsid w:val="51760217"/>
    <w:rsid w:val="51E36677"/>
    <w:rsid w:val="522F6E0C"/>
    <w:rsid w:val="52463BA1"/>
    <w:rsid w:val="529F078E"/>
    <w:rsid w:val="53C0244D"/>
    <w:rsid w:val="53DD4D4E"/>
    <w:rsid w:val="53E578CE"/>
    <w:rsid w:val="53EA10F5"/>
    <w:rsid w:val="543B029D"/>
    <w:rsid w:val="54977029"/>
    <w:rsid w:val="554E5773"/>
    <w:rsid w:val="555A3CBC"/>
    <w:rsid w:val="55CC1183"/>
    <w:rsid w:val="55EF4EA6"/>
    <w:rsid w:val="56530F5D"/>
    <w:rsid w:val="56EE372E"/>
    <w:rsid w:val="57A858DC"/>
    <w:rsid w:val="5842572D"/>
    <w:rsid w:val="598A28E2"/>
    <w:rsid w:val="5B022F52"/>
    <w:rsid w:val="5C1336B7"/>
    <w:rsid w:val="5C263CE4"/>
    <w:rsid w:val="5C5D2777"/>
    <w:rsid w:val="5C722D7F"/>
    <w:rsid w:val="5CAB0AC1"/>
    <w:rsid w:val="5D290C69"/>
    <w:rsid w:val="5EFA176D"/>
    <w:rsid w:val="5F0247F9"/>
    <w:rsid w:val="5F2D4A41"/>
    <w:rsid w:val="601C34ED"/>
    <w:rsid w:val="60A511FB"/>
    <w:rsid w:val="61025A59"/>
    <w:rsid w:val="613D5BBC"/>
    <w:rsid w:val="61536C39"/>
    <w:rsid w:val="616D60F9"/>
    <w:rsid w:val="61E3513D"/>
    <w:rsid w:val="62944DD7"/>
    <w:rsid w:val="63497036"/>
    <w:rsid w:val="63C1619B"/>
    <w:rsid w:val="63C25DC5"/>
    <w:rsid w:val="63C62057"/>
    <w:rsid w:val="63C73832"/>
    <w:rsid w:val="64192A39"/>
    <w:rsid w:val="64290161"/>
    <w:rsid w:val="64FB113D"/>
    <w:rsid w:val="6544377C"/>
    <w:rsid w:val="655F5939"/>
    <w:rsid w:val="656152C6"/>
    <w:rsid w:val="6587477F"/>
    <w:rsid w:val="658C3A08"/>
    <w:rsid w:val="65AD68DC"/>
    <w:rsid w:val="65C031CA"/>
    <w:rsid w:val="65CE6852"/>
    <w:rsid w:val="65F004F9"/>
    <w:rsid w:val="66267C04"/>
    <w:rsid w:val="663F505A"/>
    <w:rsid w:val="667F2393"/>
    <w:rsid w:val="66EE5541"/>
    <w:rsid w:val="67086152"/>
    <w:rsid w:val="68424586"/>
    <w:rsid w:val="687E45FE"/>
    <w:rsid w:val="68DE3EB3"/>
    <w:rsid w:val="692172FD"/>
    <w:rsid w:val="69725190"/>
    <w:rsid w:val="6A3829EE"/>
    <w:rsid w:val="6A924CB7"/>
    <w:rsid w:val="6AE0292E"/>
    <w:rsid w:val="6B474EF5"/>
    <w:rsid w:val="6BAE71AF"/>
    <w:rsid w:val="6BC27679"/>
    <w:rsid w:val="6BC54EFE"/>
    <w:rsid w:val="6C560CAE"/>
    <w:rsid w:val="6CD15296"/>
    <w:rsid w:val="6D903FF5"/>
    <w:rsid w:val="6D9146A6"/>
    <w:rsid w:val="6DA955B8"/>
    <w:rsid w:val="6DE346AB"/>
    <w:rsid w:val="6E4678CD"/>
    <w:rsid w:val="6FFB2E76"/>
    <w:rsid w:val="70AB70D6"/>
    <w:rsid w:val="70DE5507"/>
    <w:rsid w:val="718C12E2"/>
    <w:rsid w:val="71C34D91"/>
    <w:rsid w:val="71ED38AA"/>
    <w:rsid w:val="72B61A5F"/>
    <w:rsid w:val="72DB435C"/>
    <w:rsid w:val="74ED1B1B"/>
    <w:rsid w:val="750837F0"/>
    <w:rsid w:val="750C0267"/>
    <w:rsid w:val="75667320"/>
    <w:rsid w:val="762A73EF"/>
    <w:rsid w:val="7631412E"/>
    <w:rsid w:val="764F62AB"/>
    <w:rsid w:val="765C45EC"/>
    <w:rsid w:val="768A7619"/>
    <w:rsid w:val="7714640F"/>
    <w:rsid w:val="77896B4D"/>
    <w:rsid w:val="77EA362A"/>
    <w:rsid w:val="77F65DDE"/>
    <w:rsid w:val="783B49AD"/>
    <w:rsid w:val="7875383E"/>
    <w:rsid w:val="78FA0A94"/>
    <w:rsid w:val="792627D5"/>
    <w:rsid w:val="796D60A4"/>
    <w:rsid w:val="79A031D5"/>
    <w:rsid w:val="79A52681"/>
    <w:rsid w:val="79C847BA"/>
    <w:rsid w:val="7A1525F7"/>
    <w:rsid w:val="7A1F4797"/>
    <w:rsid w:val="7A3E6CB6"/>
    <w:rsid w:val="7A99799F"/>
    <w:rsid w:val="7B420052"/>
    <w:rsid w:val="7B7D43A1"/>
    <w:rsid w:val="7BD06A28"/>
    <w:rsid w:val="7C1E4CD7"/>
    <w:rsid w:val="7C3A7C0B"/>
    <w:rsid w:val="7C5248E4"/>
    <w:rsid w:val="7C566698"/>
    <w:rsid w:val="7CAC7113"/>
    <w:rsid w:val="7CB9570E"/>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5984</Words>
  <Characters>6677</Characters>
  <Lines>196</Lines>
  <Paragraphs>55</Paragraphs>
  <TotalTime>13</TotalTime>
  <ScaleCrop>false</ScaleCrop>
  <LinksUpToDate>false</LinksUpToDate>
  <CharactersWithSpaces>6700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2025-09-10T06:45:00Z</dcterms:created>
  <dc:creator>Administrator</dc:creator>
  <cp:lastModifiedBy>Administrator</cp:lastModifiedBy>
  <dcterms:modified xsi:type="dcterms:W3CDTF">2026-06-04T09:25:11Z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