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仿宋简体" w:hAnsi="华文中宋" w:eastAsia="方正仿宋简体"/>
          <w:b/>
          <w:sz w:val="44"/>
          <w:szCs w:val="44"/>
        </w:rPr>
      </w:pPr>
      <w:bookmarkStart w:id="0" w:name="_GoBack"/>
      <w:bookmarkEnd w:id="0"/>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胜利</w:t>
            </w:r>
            <w:r>
              <w:rPr>
                <w:rFonts w:hint="eastAsia" w:ascii="华文中宋" w:hAnsi="华文中宋" w:eastAsia="华文中宋" w:cs="宋体"/>
                <w:kern w:val="0"/>
                <w:sz w:val="36"/>
                <w:szCs w:val="36"/>
              </w:rPr>
              <w:t>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right"/>
              <w:rPr>
                <w:rFonts w:ascii="华文中宋" w:hAnsi="华文中宋" w:eastAsia="华文中宋" w:cs="宋体"/>
                <w:kern w:val="0"/>
                <w:sz w:val="36"/>
                <w:szCs w:val="36"/>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1038.0</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301.3</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13.7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186.6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16.7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304.7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19.7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3904"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3904"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hint="eastAsia" w:ascii="仿宋" w:hAnsi="宋体" w:eastAsia="仿宋" w:cs="宋体"/>
                <w:b/>
                <w:bCs/>
                <w:color w:val="000000"/>
                <w:kern w:val="0"/>
                <w:sz w:val="22"/>
                <w:szCs w:val="22"/>
                <w:lang w:eastAsia="zh-CN"/>
              </w:rPr>
            </w:pPr>
            <w:r>
              <w:rPr>
                <w:rFonts w:hint="eastAsia" w:ascii="仿宋" w:hAnsi="宋体" w:eastAsia="仿宋" w:cs="宋体"/>
                <w:b/>
                <w:bCs/>
                <w:color w:val="000000"/>
                <w:kern w:val="0"/>
                <w:sz w:val="22"/>
                <w:szCs w:val="22"/>
                <w:lang w:val="en-US" w:eastAsia="zh-CN"/>
              </w:rPr>
              <w:t>1038.0</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hint="eastAsia" w:ascii="仿宋" w:hAnsi="宋体" w:eastAsia="仿宋" w:cs="宋体"/>
                <w:b/>
                <w:bCs/>
                <w:color w:val="000000"/>
                <w:kern w:val="0"/>
                <w:sz w:val="22"/>
                <w:szCs w:val="22"/>
                <w:lang w:eastAsia="zh-CN"/>
              </w:rPr>
            </w:pPr>
            <w:r>
              <w:rPr>
                <w:rFonts w:hint="eastAsia" w:ascii="仿宋" w:hAnsi="宋体" w:eastAsia="仿宋" w:cs="宋体"/>
                <w:b/>
                <w:bCs/>
                <w:color w:val="000000"/>
                <w:kern w:val="0"/>
                <w:sz w:val="22"/>
                <w:szCs w:val="22"/>
                <w:lang w:val="en-US" w:eastAsia="zh-CN"/>
              </w:rPr>
              <w:t>880.1</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157.9</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bCs/>
                <w:color w:val="000000"/>
                <w:kern w:val="0"/>
                <w:sz w:val="22"/>
                <w:szCs w:val="22"/>
                <w:lang w:eastAsia="zh-CN"/>
              </w:rPr>
            </w:pPr>
            <w:r>
              <w:rPr>
                <w:rFonts w:hint="eastAsia" w:ascii="仿宋" w:hAnsi="宋体" w:eastAsia="仿宋" w:cs="宋体"/>
                <w:b/>
                <w:bCs/>
                <w:color w:val="000000"/>
                <w:kern w:val="0"/>
                <w:sz w:val="22"/>
                <w:szCs w:val="22"/>
                <w:lang w:val="en-US" w:eastAsia="zh-CN"/>
              </w:rPr>
              <w:t>1038.0</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b/>
                <w:bCs/>
                <w:color w:val="000000"/>
                <w:kern w:val="0"/>
                <w:sz w:val="22"/>
                <w:szCs w:val="22"/>
                <w:lang w:eastAsia="zh-CN"/>
              </w:rPr>
            </w:pPr>
            <w:r>
              <w:rPr>
                <w:rFonts w:hint="eastAsia" w:ascii="仿宋" w:hAnsi="宋体" w:eastAsia="仿宋" w:cs="宋体"/>
                <w:b/>
                <w:bCs/>
                <w:color w:val="000000"/>
                <w:kern w:val="0"/>
                <w:sz w:val="22"/>
                <w:szCs w:val="22"/>
                <w:lang w:val="en-US" w:eastAsia="zh-CN"/>
              </w:rPr>
              <w:t>1038</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胜利</w:t>
            </w:r>
            <w:r>
              <w:rPr>
                <w:rFonts w:hint="eastAsia" w:ascii="华文中宋" w:hAnsi="华文中宋" w:eastAsia="华文中宋" w:cs="宋体"/>
                <w:kern w:val="0"/>
                <w:sz w:val="42"/>
                <w:szCs w:val="42"/>
              </w:rPr>
              <w:t>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1038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308.6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9.69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hint="eastAsia" w:ascii="仿宋" w:hAnsi="宋体" w:eastAsia="仿宋" w:cs="宋体"/>
                <w:color w:val="000000"/>
                <w:kern w:val="0"/>
                <w:sz w:val="18"/>
                <w:szCs w:val="18"/>
              </w:rPr>
              <w:t xml:space="preserve"> 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710" w:type="dxa"/>
            <w:gridSpan w:val="2"/>
            <w:tcBorders>
              <w:top w:val="nil"/>
              <w:left w:val="nil"/>
              <w:bottom w:val="single" w:color="auto" w:sz="4" w:space="0"/>
              <w:right w:val="single" w:color="auto" w:sz="4" w:space="0"/>
            </w:tcBorders>
          </w:tcPr>
          <w:p>
            <w:pPr>
              <w:jc w:val="center"/>
            </w:pPr>
          </w:p>
        </w:tc>
        <w:tc>
          <w:tcPr>
            <w:tcW w:w="1605" w:type="dxa"/>
            <w:gridSpan w:val="2"/>
            <w:tcBorders>
              <w:top w:val="nil"/>
              <w:left w:val="nil"/>
              <w:bottom w:val="single" w:color="auto" w:sz="4" w:space="0"/>
              <w:right w:val="single" w:color="auto" w:sz="4" w:space="0"/>
            </w:tcBorders>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710" w:type="dxa"/>
            <w:gridSpan w:val="2"/>
            <w:tcBorders>
              <w:top w:val="nil"/>
              <w:left w:val="nil"/>
              <w:bottom w:val="single" w:color="auto" w:sz="4" w:space="0"/>
              <w:right w:val="single" w:color="auto" w:sz="4" w:space="0"/>
            </w:tcBorders>
          </w:tcPr>
          <w:p>
            <w:pPr>
              <w:jc w:val="center"/>
            </w:pPr>
          </w:p>
        </w:tc>
        <w:tc>
          <w:tcPr>
            <w:tcW w:w="1605" w:type="dxa"/>
            <w:gridSpan w:val="2"/>
            <w:tcBorders>
              <w:top w:val="nil"/>
              <w:left w:val="nil"/>
              <w:bottom w:val="single" w:color="auto" w:sz="4" w:space="0"/>
              <w:right w:val="single" w:color="auto" w:sz="4" w:space="0"/>
            </w:tcBorders>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w:t>
            </w:r>
          </w:p>
        </w:tc>
        <w:tc>
          <w:tcPr>
            <w:tcW w:w="3769" w:type="dxa"/>
            <w:gridSpan w:val="2"/>
            <w:tcBorders>
              <w:top w:val="nil"/>
              <w:left w:val="nil"/>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2139999</w:t>
            </w:r>
          </w:p>
        </w:tc>
        <w:tc>
          <w:tcPr>
            <w:tcW w:w="3769" w:type="dxa"/>
            <w:gridSpan w:val="2"/>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710" w:type="dxa"/>
            <w:gridSpan w:val="2"/>
            <w:tcBorders>
              <w:top w:val="nil"/>
              <w:left w:val="nil"/>
              <w:bottom w:val="single" w:color="auto" w:sz="4" w:space="0"/>
              <w:right w:val="single" w:color="auto" w:sz="4" w:space="0"/>
            </w:tcBorders>
          </w:tcPr>
          <w:p>
            <w:pPr>
              <w:jc w:val="center"/>
            </w:pPr>
          </w:p>
        </w:tc>
        <w:tc>
          <w:tcPr>
            <w:tcW w:w="1605" w:type="dxa"/>
            <w:gridSpan w:val="2"/>
            <w:tcBorders>
              <w:top w:val="nil"/>
              <w:left w:val="nil"/>
              <w:bottom w:val="single" w:color="auto" w:sz="4" w:space="0"/>
              <w:right w:val="single" w:color="auto" w:sz="4" w:space="0"/>
            </w:tcBorders>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710" w:type="dxa"/>
            <w:gridSpan w:val="2"/>
            <w:tcBorders>
              <w:top w:val="nil"/>
              <w:left w:val="nil"/>
              <w:bottom w:val="single" w:color="auto" w:sz="4" w:space="0"/>
              <w:right w:val="single" w:color="auto" w:sz="4" w:space="0"/>
            </w:tcBorders>
          </w:tcPr>
          <w:p>
            <w:pPr>
              <w:jc w:val="center"/>
            </w:pPr>
          </w:p>
        </w:tc>
        <w:tc>
          <w:tcPr>
            <w:tcW w:w="1605" w:type="dxa"/>
            <w:gridSpan w:val="2"/>
            <w:tcBorders>
              <w:top w:val="nil"/>
              <w:left w:val="nil"/>
              <w:bottom w:val="single" w:color="auto" w:sz="4" w:space="0"/>
              <w:right w:val="single" w:color="auto" w:sz="4" w:space="0"/>
            </w:tcBorders>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710" w:type="dxa"/>
            <w:gridSpan w:val="2"/>
            <w:tcBorders>
              <w:top w:val="nil"/>
              <w:left w:val="nil"/>
              <w:bottom w:val="single" w:color="auto" w:sz="4" w:space="0"/>
              <w:right w:val="single" w:color="auto" w:sz="4" w:space="0"/>
            </w:tcBorders>
            <w:vAlign w:val="center"/>
          </w:tcPr>
          <w:p>
            <w:pPr>
              <w:jc w:val="center"/>
            </w:pPr>
          </w:p>
        </w:tc>
        <w:tc>
          <w:tcPr>
            <w:tcW w:w="1605" w:type="dxa"/>
            <w:gridSpan w:val="2"/>
            <w:tcBorders>
              <w:top w:val="nil"/>
              <w:left w:val="nil"/>
              <w:bottom w:val="single" w:color="auto" w:sz="4" w:space="0"/>
              <w:right w:val="single" w:color="auto" w:sz="4" w:space="0"/>
            </w:tcBorders>
            <w:vAlign w:val="center"/>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710" w:type="dxa"/>
            <w:gridSpan w:val="2"/>
            <w:tcBorders>
              <w:top w:val="nil"/>
              <w:left w:val="nil"/>
              <w:bottom w:val="single" w:color="auto" w:sz="4" w:space="0"/>
              <w:right w:val="single" w:color="auto" w:sz="4" w:space="0"/>
            </w:tcBorders>
            <w:vAlign w:val="center"/>
          </w:tcPr>
          <w:p>
            <w:pPr>
              <w:jc w:val="center"/>
            </w:pPr>
          </w:p>
        </w:tc>
        <w:tc>
          <w:tcPr>
            <w:tcW w:w="1605" w:type="dxa"/>
            <w:gridSpan w:val="2"/>
            <w:tcBorders>
              <w:top w:val="nil"/>
              <w:left w:val="nil"/>
              <w:bottom w:val="single" w:color="auto" w:sz="4" w:space="0"/>
              <w:right w:val="single" w:color="auto" w:sz="4" w:space="0"/>
            </w:tcBorders>
            <w:vAlign w:val="center"/>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710" w:type="dxa"/>
            <w:gridSpan w:val="2"/>
            <w:tcBorders>
              <w:top w:val="nil"/>
              <w:left w:val="nil"/>
              <w:bottom w:val="single" w:color="auto" w:sz="4" w:space="0"/>
              <w:right w:val="single" w:color="auto" w:sz="4" w:space="0"/>
            </w:tcBorders>
            <w:vAlign w:val="center"/>
          </w:tcPr>
          <w:p>
            <w:pPr>
              <w:jc w:val="center"/>
            </w:pPr>
          </w:p>
        </w:tc>
        <w:tc>
          <w:tcPr>
            <w:tcW w:w="1605" w:type="dxa"/>
            <w:gridSpan w:val="2"/>
            <w:tcBorders>
              <w:top w:val="nil"/>
              <w:left w:val="nil"/>
              <w:bottom w:val="single" w:color="auto" w:sz="4" w:space="0"/>
              <w:right w:val="single" w:color="auto" w:sz="4" w:space="0"/>
            </w:tcBorders>
            <w:vAlign w:val="center"/>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710" w:type="dxa"/>
            <w:gridSpan w:val="2"/>
            <w:tcBorders>
              <w:top w:val="nil"/>
              <w:left w:val="nil"/>
              <w:bottom w:val="single" w:color="auto" w:sz="4" w:space="0"/>
              <w:right w:val="single" w:color="auto" w:sz="4" w:space="0"/>
            </w:tcBorders>
            <w:vAlign w:val="center"/>
          </w:tcPr>
          <w:p>
            <w:pPr>
              <w:jc w:val="center"/>
            </w:pPr>
          </w:p>
        </w:tc>
        <w:tc>
          <w:tcPr>
            <w:tcW w:w="1605" w:type="dxa"/>
            <w:gridSpan w:val="2"/>
            <w:tcBorders>
              <w:top w:val="nil"/>
              <w:left w:val="nil"/>
              <w:bottom w:val="single" w:color="auto" w:sz="4" w:space="0"/>
              <w:right w:val="single" w:color="auto" w:sz="4" w:space="0"/>
            </w:tcBorders>
            <w:vAlign w:val="center"/>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710" w:type="dxa"/>
            <w:gridSpan w:val="2"/>
            <w:tcBorders>
              <w:top w:val="nil"/>
              <w:left w:val="nil"/>
              <w:bottom w:val="single" w:color="auto" w:sz="4" w:space="0"/>
              <w:right w:val="single" w:color="auto" w:sz="4" w:space="0"/>
            </w:tcBorders>
            <w:vAlign w:val="center"/>
          </w:tcPr>
          <w:p>
            <w:pPr>
              <w:jc w:val="center"/>
            </w:pPr>
          </w:p>
        </w:tc>
        <w:tc>
          <w:tcPr>
            <w:tcW w:w="1605" w:type="dxa"/>
            <w:gridSpan w:val="2"/>
            <w:tcBorders>
              <w:top w:val="nil"/>
              <w:left w:val="nil"/>
              <w:bottom w:val="single" w:color="auto" w:sz="4" w:space="0"/>
              <w:right w:val="single" w:color="auto" w:sz="4" w:space="0"/>
            </w:tcBorders>
            <w:vAlign w:val="center"/>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710" w:type="dxa"/>
            <w:gridSpan w:val="2"/>
            <w:tcBorders>
              <w:top w:val="nil"/>
              <w:left w:val="nil"/>
              <w:bottom w:val="single" w:color="auto" w:sz="4" w:space="0"/>
              <w:right w:val="single" w:color="auto" w:sz="4" w:space="0"/>
            </w:tcBorders>
            <w:vAlign w:val="center"/>
          </w:tcPr>
          <w:p>
            <w:pPr>
              <w:jc w:val="center"/>
            </w:pPr>
          </w:p>
        </w:tc>
        <w:tc>
          <w:tcPr>
            <w:tcW w:w="1605" w:type="dxa"/>
            <w:gridSpan w:val="2"/>
            <w:tcBorders>
              <w:top w:val="nil"/>
              <w:left w:val="nil"/>
              <w:bottom w:val="single" w:color="auto" w:sz="4" w:space="0"/>
              <w:right w:val="single" w:color="auto" w:sz="4" w:space="0"/>
            </w:tcBorders>
            <w:vAlign w:val="center"/>
          </w:tcPr>
          <w:p>
            <w:pPr>
              <w:jc w:val="cente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71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p>
    <w:tbl>
      <w:tblPr>
        <w:tblStyle w:val="6"/>
        <w:tblW w:w="15529"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2"/>
        <w:gridCol w:w="1233"/>
        <w:gridCol w:w="43"/>
        <w:gridCol w:w="1620"/>
      </w:tblGrid>
      <w:tr>
        <w:tblPrEx>
          <w:tblLayout w:type="fixed"/>
          <w:tblCellMar>
            <w:top w:w="0" w:type="dxa"/>
            <w:left w:w="108" w:type="dxa"/>
            <w:bottom w:w="0" w:type="dxa"/>
            <w:right w:w="108" w:type="dxa"/>
          </w:tblCellMar>
        </w:tblPrEx>
        <w:trPr>
          <w:gridAfter w:val="1"/>
          <w:wAfter w:w="1620" w:type="dxa"/>
          <w:trHeight w:val="1518" w:hRule="exact"/>
        </w:trPr>
        <w:tc>
          <w:tcPr>
            <w:tcW w:w="13909" w:type="dxa"/>
            <w:gridSpan w:val="19"/>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胜利</w:t>
            </w:r>
            <w:r>
              <w:rPr>
                <w:rFonts w:hint="eastAsia" w:ascii="华文中宋" w:hAnsi="华文中宋" w:eastAsia="华文中宋" w:cs="宋体"/>
                <w:kern w:val="0"/>
                <w:sz w:val="42"/>
                <w:szCs w:val="42"/>
              </w:rPr>
              <w:t>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p>
          <w:p>
            <w:pPr>
              <w:widowControl/>
              <w:jc w:val="right"/>
              <w:rPr>
                <w:rFonts w:ascii="华文中宋" w:hAnsi="华文中宋" w:eastAsia="华文中宋" w:cs="宋体"/>
                <w:kern w:val="0"/>
                <w:sz w:val="42"/>
                <w:szCs w:val="4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1620"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318" w:type="dxa"/>
            <w:gridSpan w:val="4"/>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1620"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318"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1"/>
          <w:wAfter w:w="1620"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90"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18"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648.3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2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17"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23"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20" w:type="dxa"/>
          <w:trHeight w:val="41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2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 xml:space="preserve"> 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18"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95.0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63.4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w:t>
            </w:r>
          </w:p>
        </w:tc>
        <w:tc>
          <w:tcPr>
            <w:tcW w:w="3990" w:type="dxa"/>
            <w:gridSpan w:val="3"/>
            <w:tcBorders>
              <w:top w:val="nil"/>
              <w:left w:val="nil"/>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88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2139999</w:t>
            </w:r>
          </w:p>
        </w:tc>
        <w:tc>
          <w:tcPr>
            <w:tcW w:w="3990" w:type="dxa"/>
            <w:gridSpan w:val="3"/>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88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50" w:type="dxa"/>
            <w:gridSpan w:val="3"/>
            <w:tcBorders>
              <w:top w:val="nil"/>
              <w:left w:val="nil"/>
              <w:bottom w:val="single" w:color="auto" w:sz="4" w:space="0"/>
              <w:right w:val="single" w:color="auto" w:sz="4" w:space="0"/>
            </w:tcBorders>
          </w:tcPr>
          <w:p>
            <w:pPr>
              <w:jc w:val="cente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50" w:type="dxa"/>
            <w:gridSpan w:val="3"/>
            <w:tcBorders>
              <w:top w:val="nil"/>
              <w:left w:val="nil"/>
              <w:bottom w:val="single" w:color="auto" w:sz="4" w:space="0"/>
              <w:right w:val="single" w:color="auto" w:sz="4" w:space="0"/>
            </w:tcBorders>
          </w:tcPr>
          <w:p>
            <w:pPr>
              <w:jc w:val="center"/>
            </w:pPr>
          </w:p>
        </w:tc>
        <w:tc>
          <w:tcPr>
            <w:tcW w:w="129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830"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50" w:type="dxa"/>
            <w:gridSpan w:val="3"/>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6"/>
                <w:szCs w:val="16"/>
              </w:rPr>
              <w:t>彩票公益金及对应专项债务收入安排的支出</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83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3.0</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82" w:type="dxa"/>
            <w:gridSpan w:val="4"/>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2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63" w:type="dxa"/>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2918"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胜利</w:t>
            </w:r>
            <w:r>
              <w:rPr>
                <w:rFonts w:hint="eastAsia" w:ascii="华文中宋" w:hAnsi="华文中宋" w:eastAsia="华文中宋" w:cs="宋体"/>
                <w:kern w:val="0"/>
                <w:sz w:val="36"/>
                <w:szCs w:val="36"/>
              </w:rPr>
              <w:t>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1038.0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301.3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4.0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13.7</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186.6</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16.7</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304.7</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3.2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19.7</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0.8</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二十一</w:t>
            </w:r>
            <w:r>
              <w:rPr>
                <w:rFonts w:hint="eastAsia" w:ascii="仿宋" w:hAnsi="宋体" w:eastAsia="仿宋" w:cs="宋体"/>
                <w:color w:val="000000"/>
                <w:kern w:val="0"/>
                <w:sz w:val="22"/>
                <w:szCs w:val="22"/>
              </w:rPr>
              <w:t>、</w:t>
            </w:r>
            <w:r>
              <w:rPr>
                <w:rFonts w:ascii="仿宋" w:hAnsi="宋体" w:eastAsia="仿宋" w:cs="宋体"/>
                <w:color w:val="000000"/>
                <w:kern w:val="0"/>
                <w:sz w:val="22"/>
                <w:szCs w:val="22"/>
              </w:rPr>
              <w:t>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849.0</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648.3</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200.7</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849.0</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849.0　</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胜利</w:t>
            </w:r>
            <w:r>
              <w:rPr>
                <w:rFonts w:hint="eastAsia" w:ascii="华文中宋" w:hAnsi="华文中宋" w:eastAsia="华文中宋" w:cs="宋体"/>
                <w:color w:val="000000"/>
                <w:kern w:val="0"/>
                <w:sz w:val="42"/>
                <w:szCs w:val="42"/>
              </w:rPr>
              <w:t>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377"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1421"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645.3</w:t>
            </w:r>
          </w:p>
        </w:tc>
        <w:tc>
          <w:tcPr>
            <w:tcW w:w="1695"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448.9</w:t>
            </w:r>
          </w:p>
        </w:tc>
        <w:tc>
          <w:tcPr>
            <w:tcW w:w="2075"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196.4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214.8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人大事务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rPr>
              <w:t>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代表工作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政府办公厅（室）及相关机构事务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160.5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158.6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 xml:space="preserve"> 其他政府办公厅（室）及相关机构事务支出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群众团体事务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2012901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党委办公厅（室）及相关机构事务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文化</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群众文化</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16.3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83.0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人力资源和社会保障管理事务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rPr>
              <w:t>其他人力资源和社会保障管理事务支出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23.3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归口管理的行政单位离退休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死亡抚恤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在乡复员、退伍军人生活补助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rPr>
              <w:t>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义务兵优待</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rPr>
              <w:t>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儿童福利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自然灾害生活救助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中央自然灾害生活补助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地方自然灾害生活补助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临时救助支出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流浪乞讨人员救助支出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特困人员供养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城市特困人员供养支出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农村五保供养支出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其他城市生活救助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医疗卫生与计划生育支出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医疗保障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优抚对象医疗救助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205.4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95.0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农业</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事业运行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对高校毕业生到基层任职补助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扶贫</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其他扶贫支出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63.4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49.2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其他农村综合改革支出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w:t>
            </w:r>
          </w:p>
        </w:tc>
        <w:tc>
          <w:tcPr>
            <w:tcW w:w="5980" w:type="dxa"/>
            <w:gridSpan w:val="3"/>
            <w:tcBorders>
              <w:top w:val="nil"/>
              <w:left w:val="nil"/>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2139999</w:t>
            </w:r>
          </w:p>
        </w:tc>
        <w:tc>
          <w:tcPr>
            <w:tcW w:w="5980" w:type="dxa"/>
            <w:gridSpan w:val="3"/>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商业服务业等支出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商业流通事务</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其他商业流通事务支出</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95" w:type="dxa"/>
            <w:gridSpan w:val="4"/>
            <w:tcBorders>
              <w:top w:val="nil"/>
              <w:left w:val="nil"/>
              <w:bottom w:val="single" w:color="auto" w:sz="4" w:space="0"/>
              <w:right w:val="single" w:color="auto" w:sz="4" w:space="0"/>
            </w:tcBorders>
          </w:tcPr>
          <w:p>
            <w:pPr>
              <w:jc w:val="cente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c>
          <w:tcPr>
            <w:tcW w:w="1695" w:type="dxa"/>
            <w:gridSpan w:val="4"/>
            <w:tcBorders>
              <w:top w:val="nil"/>
              <w:left w:val="nil"/>
              <w:bottom w:val="single" w:color="auto" w:sz="4" w:space="0"/>
              <w:right w:val="single" w:color="auto" w:sz="4" w:space="0"/>
            </w:tcBorders>
          </w:tcPr>
          <w:p>
            <w:pPr>
              <w:jc w:val="center"/>
            </w:pPr>
          </w:p>
        </w:tc>
        <w:tc>
          <w:tcPr>
            <w:tcW w:w="2075" w:type="dxa"/>
            <w:gridSpan w:val="2"/>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421"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1695" w:type="dxa"/>
            <w:gridSpan w:val="4"/>
            <w:tcBorders>
              <w:top w:val="nil"/>
              <w:left w:val="nil"/>
              <w:bottom w:val="single" w:color="auto" w:sz="4" w:space="0"/>
              <w:right w:val="single" w:color="auto" w:sz="4" w:space="0"/>
            </w:tcBorders>
          </w:tcPr>
          <w:p>
            <w:pPr>
              <w:jc w:val="center"/>
            </w:pPr>
            <w:r>
              <w:rPr>
                <w:rFonts w:hint="eastAsia" w:ascii="仿宋" w:hAnsi="宋体" w:eastAsia="仿宋" w:cs="宋体"/>
                <w:color w:val="000000"/>
                <w:kern w:val="0"/>
                <w:sz w:val="22"/>
                <w:szCs w:val="22"/>
              </w:rPr>
              <w:t>18.9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421" w:type="dxa"/>
            <w:gridSpan w:val="4"/>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421" w:type="dxa"/>
            <w:gridSpan w:val="4"/>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color w:val="000000"/>
                <w:kern w:val="0"/>
                <w:sz w:val="22"/>
                <w:szCs w:val="22"/>
              </w:rPr>
              <w:t>0.5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2"/>
                <w:szCs w:val="32"/>
              </w:rPr>
              <w:t>巫溪县</w:t>
            </w:r>
            <w:r>
              <w:rPr>
                <w:rFonts w:hint="eastAsia" w:ascii="华文中宋" w:hAnsi="华文中宋" w:eastAsia="华文中宋" w:cs="宋体"/>
                <w:color w:val="000000"/>
                <w:kern w:val="0"/>
                <w:sz w:val="32"/>
                <w:szCs w:val="32"/>
                <w:lang w:eastAsia="zh-CN"/>
              </w:rPr>
              <w:t>胜利</w:t>
            </w:r>
            <w:r>
              <w:rPr>
                <w:rFonts w:hint="eastAsia" w:ascii="华文中宋" w:hAnsi="华文中宋" w:eastAsia="华文中宋" w:cs="宋体"/>
                <w:color w:val="000000"/>
                <w:kern w:val="0"/>
                <w:sz w:val="32"/>
                <w:szCs w:val="32"/>
              </w:rPr>
              <w:t>乡人民政府一般公共预算财政拨款基本支出决算表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448.9</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358.4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221.4</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61.4</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61.4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80.5</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社会保障缴费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绩效工资</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其他工资福利支出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137.0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137.0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退休费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生活救助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80.9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90.5</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color w:val="000000"/>
                <w:kern w:val="0"/>
                <w:sz w:val="22"/>
                <w:szCs w:val="22"/>
              </w:rPr>
              <w:t xml:space="preserve"> </w:t>
            </w:r>
            <w:r>
              <w:rPr>
                <w:rFonts w:ascii="仿宋" w:hAnsi="宋体" w:eastAsia="仿宋" w:cs="宋体"/>
                <w:color w:val="FF0000"/>
                <w:kern w:val="0"/>
                <w:sz w:val="22"/>
                <w:szCs w:val="22"/>
              </w:rPr>
              <w:t xml:space="preserve"> </w:t>
            </w:r>
            <w:r>
              <w:rPr>
                <w:rFonts w:ascii="仿宋" w:hAnsi="宋体" w:eastAsia="仿宋" w:cs="宋体"/>
                <w:kern w:val="0"/>
                <w:sz w:val="22"/>
                <w:szCs w:val="22"/>
              </w:rPr>
              <w:t>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差旅费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培训费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公务接待费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福利费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公务用车运行维护费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9.2</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胜利</w:t>
            </w:r>
            <w:r>
              <w:rPr>
                <w:rFonts w:hint="eastAsia" w:ascii="华文中宋" w:hAnsi="华文中宋" w:eastAsia="华文中宋" w:cs="宋体"/>
                <w:kern w:val="0"/>
                <w:sz w:val="36"/>
                <w:szCs w:val="36"/>
              </w:rPr>
              <w:t>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jc w:val="cente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textDirection w:val="lrTb"/>
            <w:vAlign w:val="center"/>
          </w:tcPr>
          <w:p>
            <w:pPr>
              <w:jc w:val="cente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政府采购情况表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胜利</w:t>
            </w:r>
            <w:r>
              <w:rPr>
                <w:rFonts w:hint="eastAsia" w:ascii="宋体" w:hAnsi="宋体" w:cs="宋体"/>
                <w:color w:val="000000"/>
                <w:kern w:val="0"/>
                <w:sz w:val="28"/>
                <w:szCs w:val="28"/>
              </w:rPr>
              <w:t>乡人民政府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single" w:color="000000" w:sz="4" w:space="0"/>
            </w:tcBorders>
            <w:vAlign w:val="center"/>
          </w:tcPr>
          <w:p>
            <w:pPr>
              <w:jc w:val="center"/>
            </w:pPr>
            <w:r>
              <w:rPr>
                <w:rFonts w:hint="eastAsia" w:ascii="宋体" w:hAnsi="宋体" w:cs="宋体"/>
                <w:color w:val="000000"/>
                <w:kern w:val="0"/>
                <w:sz w:val="28"/>
                <w:szCs w:val="28"/>
              </w:rPr>
              <w:t>8.6</w:t>
            </w:r>
          </w:p>
        </w:tc>
        <w:tc>
          <w:tcPr>
            <w:tcW w:w="1770" w:type="dxa"/>
            <w:gridSpan w:val="4"/>
            <w:tcBorders>
              <w:top w:val="nil"/>
              <w:left w:val="nil"/>
              <w:bottom w:val="nil"/>
              <w:right w:val="single" w:color="000000" w:sz="4" w:space="0"/>
            </w:tcBorders>
            <w:vAlign w:val="center"/>
          </w:tcPr>
          <w:p>
            <w:pPr>
              <w:jc w:val="center"/>
            </w:pPr>
            <w:r>
              <w:rPr>
                <w:rFonts w:hint="eastAsia" w:ascii="宋体" w:hAnsi="宋体" w:cs="宋体"/>
                <w:color w:val="000000"/>
                <w:kern w:val="0"/>
                <w:sz w:val="28"/>
                <w:szCs w:val="28"/>
              </w:rPr>
              <w:t>8.6</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8.6</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237" w:type="dxa"/>
            <w:gridSpan w:val="3"/>
            <w:tcBorders>
              <w:top w:val="nil"/>
              <w:left w:val="nil"/>
              <w:bottom w:val="single" w:color="000000" w:sz="4" w:space="0"/>
              <w:right w:val="nil"/>
            </w:tcBorders>
            <w:vAlign w:val="center"/>
          </w:tcPr>
          <w:p>
            <w:pPr>
              <w:jc w:val="center"/>
            </w:pPr>
            <w:r>
              <w:rPr>
                <w:rFonts w:hint="eastAsia" w:ascii="宋体" w:hAnsi="宋体" w:cs="宋体"/>
                <w:color w:val="000000"/>
                <w:kern w:val="0"/>
                <w:sz w:val="28"/>
                <w:szCs w:val="28"/>
              </w:rPr>
              <w:t>8.6</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color w:val="000000"/>
                <w:kern w:val="0"/>
                <w:sz w:val="28"/>
                <w:szCs w:val="28"/>
              </w:rPr>
              <w:t>8.6</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一般公共预算财政拨款“三公”经费统计表</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19.9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6.0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9.2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10.5</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10.7</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ind w:firstLine="220" w:firstLineChars="100"/>
              <w:jc w:val="left"/>
              <w:rPr>
                <w:rFonts w:ascii="宋体" w:cs="宋体"/>
                <w:color w:val="000000"/>
                <w:kern w:val="0"/>
                <w:sz w:val="22"/>
                <w:szCs w:val="22"/>
              </w:rPr>
            </w:pPr>
            <w:r>
              <w:rPr>
                <w:rFonts w:hint="eastAsia" w:ascii="宋体" w:hAnsi="宋体" w:cs="宋体"/>
                <w:color w:val="000000"/>
                <w:kern w:val="0"/>
                <w:sz w:val="22"/>
                <w:szCs w:val="22"/>
              </w:rPr>
              <w:t>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99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1200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657B8"/>
    <w:rsid w:val="000915F9"/>
    <w:rsid w:val="00111C3E"/>
    <w:rsid w:val="00124F10"/>
    <w:rsid w:val="00160885"/>
    <w:rsid w:val="00173A75"/>
    <w:rsid w:val="00184AA0"/>
    <w:rsid w:val="001D4C00"/>
    <w:rsid w:val="002507D7"/>
    <w:rsid w:val="00290D47"/>
    <w:rsid w:val="002B51D4"/>
    <w:rsid w:val="002D0981"/>
    <w:rsid w:val="00310908"/>
    <w:rsid w:val="0032691A"/>
    <w:rsid w:val="003475AA"/>
    <w:rsid w:val="00351E76"/>
    <w:rsid w:val="00356D21"/>
    <w:rsid w:val="00364B4F"/>
    <w:rsid w:val="00400037"/>
    <w:rsid w:val="00407DDD"/>
    <w:rsid w:val="0042413C"/>
    <w:rsid w:val="0043173A"/>
    <w:rsid w:val="00474E9E"/>
    <w:rsid w:val="0049215A"/>
    <w:rsid w:val="00495D9C"/>
    <w:rsid w:val="00497DA9"/>
    <w:rsid w:val="004A402D"/>
    <w:rsid w:val="004D0D67"/>
    <w:rsid w:val="004E287A"/>
    <w:rsid w:val="004E7996"/>
    <w:rsid w:val="00504AC4"/>
    <w:rsid w:val="005113EC"/>
    <w:rsid w:val="00543F28"/>
    <w:rsid w:val="005B5937"/>
    <w:rsid w:val="005F637D"/>
    <w:rsid w:val="006422B5"/>
    <w:rsid w:val="00663A42"/>
    <w:rsid w:val="006759B4"/>
    <w:rsid w:val="006767D8"/>
    <w:rsid w:val="00696108"/>
    <w:rsid w:val="006D17C6"/>
    <w:rsid w:val="006E1638"/>
    <w:rsid w:val="00717E8A"/>
    <w:rsid w:val="00795BAB"/>
    <w:rsid w:val="007A0645"/>
    <w:rsid w:val="007E452D"/>
    <w:rsid w:val="007E6EDA"/>
    <w:rsid w:val="007F4711"/>
    <w:rsid w:val="008265E0"/>
    <w:rsid w:val="00841419"/>
    <w:rsid w:val="00871FA4"/>
    <w:rsid w:val="008C5E11"/>
    <w:rsid w:val="008D6BE8"/>
    <w:rsid w:val="008F0180"/>
    <w:rsid w:val="009253F0"/>
    <w:rsid w:val="0095298E"/>
    <w:rsid w:val="00A13E28"/>
    <w:rsid w:val="00A275AD"/>
    <w:rsid w:val="00AA7B57"/>
    <w:rsid w:val="00AB1490"/>
    <w:rsid w:val="00AD67E8"/>
    <w:rsid w:val="00AF4925"/>
    <w:rsid w:val="00B0542E"/>
    <w:rsid w:val="00B128FA"/>
    <w:rsid w:val="00B22854"/>
    <w:rsid w:val="00B52AC3"/>
    <w:rsid w:val="00B54391"/>
    <w:rsid w:val="00B618D2"/>
    <w:rsid w:val="00B731EA"/>
    <w:rsid w:val="00B84DE8"/>
    <w:rsid w:val="00BA5879"/>
    <w:rsid w:val="00BB4C28"/>
    <w:rsid w:val="00BC29DF"/>
    <w:rsid w:val="00BE2B37"/>
    <w:rsid w:val="00C11446"/>
    <w:rsid w:val="00C2736B"/>
    <w:rsid w:val="00C30DBC"/>
    <w:rsid w:val="00C756CE"/>
    <w:rsid w:val="00CA01C1"/>
    <w:rsid w:val="00CA2E9B"/>
    <w:rsid w:val="00CA371C"/>
    <w:rsid w:val="00CC3D46"/>
    <w:rsid w:val="00CE21CC"/>
    <w:rsid w:val="00CE57C5"/>
    <w:rsid w:val="00CF7264"/>
    <w:rsid w:val="00D02065"/>
    <w:rsid w:val="00D0363E"/>
    <w:rsid w:val="00D03F9B"/>
    <w:rsid w:val="00D40F29"/>
    <w:rsid w:val="00D456CD"/>
    <w:rsid w:val="00D605EC"/>
    <w:rsid w:val="00D74C3B"/>
    <w:rsid w:val="00D9213E"/>
    <w:rsid w:val="00DA5909"/>
    <w:rsid w:val="00DA790C"/>
    <w:rsid w:val="00E1268C"/>
    <w:rsid w:val="00E752F3"/>
    <w:rsid w:val="00E80AA1"/>
    <w:rsid w:val="00E856FF"/>
    <w:rsid w:val="00EB1E53"/>
    <w:rsid w:val="00ED45D8"/>
    <w:rsid w:val="00F14D84"/>
    <w:rsid w:val="00F34A66"/>
    <w:rsid w:val="00F363A9"/>
    <w:rsid w:val="00F5128F"/>
    <w:rsid w:val="00F71137"/>
    <w:rsid w:val="00FC488D"/>
    <w:rsid w:val="00FD298B"/>
    <w:rsid w:val="00FF02D7"/>
    <w:rsid w:val="0380154B"/>
    <w:rsid w:val="15896577"/>
    <w:rsid w:val="19995E94"/>
    <w:rsid w:val="1B083AED"/>
    <w:rsid w:val="24472C9A"/>
    <w:rsid w:val="24CD4772"/>
    <w:rsid w:val="2F894A91"/>
    <w:rsid w:val="42254669"/>
    <w:rsid w:val="45180CEA"/>
    <w:rsid w:val="47A9379D"/>
    <w:rsid w:val="4ACA0BE3"/>
    <w:rsid w:val="4DBE1D1C"/>
    <w:rsid w:val="4E614EBF"/>
    <w:rsid w:val="5415193B"/>
    <w:rsid w:val="59416DB5"/>
    <w:rsid w:val="5AB762F3"/>
    <w:rsid w:val="77F652F8"/>
    <w:rsid w:val="78247A6E"/>
    <w:rsid w:val="7EC879A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BC41B8-D9F5-43E8-B22F-1CE7C08D5148}">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26</Pages>
  <Words>1804</Words>
  <Characters>10284</Characters>
  <Lines>85</Lines>
  <Paragraphs>24</Paragraphs>
  <ScaleCrop>false</ScaleCrop>
  <LinksUpToDate>false</LinksUpToDate>
  <CharactersWithSpaces>12064</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dcterms:modified xsi:type="dcterms:W3CDTF">2016-10-18T02:26:55Z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