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hd w:val="clear"/>
        <w:kinsoku/>
        <w:wordWrap/>
        <w:overflowPunct/>
        <w:topLinePunct w:val="0"/>
        <w:autoSpaceDN/>
        <w:bidi w:val="0"/>
        <w:adjustRightInd/>
        <w:spacing w:before="0" w:beforeAutospacing="0" w:after="0" w:afterAutospacing="0" w:line="594" w:lineRule="exact"/>
        <w:jc w:val="center"/>
        <w:textAlignment w:val="auto"/>
        <w:rPr>
          <w:rFonts w:hint="eastAsia" w:asciiTheme="majorEastAsia" w:hAnsiTheme="majorEastAsia" w:eastAsiaTheme="majorEastAsia" w:cstheme="majorEastAsia"/>
          <w:color w:val="auto"/>
          <w:sz w:val="44"/>
          <w:szCs w:val="44"/>
          <w:highlight w:val="none"/>
        </w:rPr>
      </w:pPr>
      <w:r>
        <w:rPr>
          <w:rFonts w:hint="eastAsia" w:asciiTheme="majorEastAsia" w:hAnsiTheme="majorEastAsia" w:eastAsiaTheme="majorEastAsia" w:cstheme="majorEastAsia"/>
          <w:color w:val="auto"/>
          <w:sz w:val="44"/>
          <w:szCs w:val="44"/>
          <w:highlight w:val="none"/>
        </w:rPr>
        <w:t>巫溪县胜利乡农业服务中心</w:t>
      </w:r>
    </w:p>
    <w:p>
      <w:pPr>
        <w:pStyle w:val="7"/>
        <w:keepNext w:val="0"/>
        <w:keepLines w:val="0"/>
        <w:pageBreakBefore w:val="0"/>
        <w:widowControl/>
        <w:shd w:val="clear"/>
        <w:kinsoku/>
        <w:wordWrap/>
        <w:overflowPunct/>
        <w:topLinePunct w:val="0"/>
        <w:autoSpaceDN/>
        <w:bidi w:val="0"/>
        <w:adjustRightInd/>
        <w:spacing w:before="0" w:beforeAutospacing="0" w:after="0" w:afterAutospacing="0" w:line="594" w:lineRule="exact"/>
        <w:jc w:val="center"/>
        <w:textAlignment w:val="auto"/>
        <w:rPr>
          <w:rFonts w:hint="eastAsia" w:asciiTheme="majorEastAsia" w:hAnsiTheme="majorEastAsia" w:eastAsiaTheme="majorEastAsia" w:cstheme="majorEastAsia"/>
          <w:color w:val="auto"/>
          <w:sz w:val="44"/>
          <w:szCs w:val="44"/>
          <w:highlight w:val="none"/>
          <w:shd w:val="clear" w:color="auto" w:fill="FFFFFF"/>
        </w:rPr>
      </w:pPr>
      <w:r>
        <w:rPr>
          <w:rFonts w:hint="eastAsia" w:asciiTheme="majorEastAsia" w:hAnsiTheme="majorEastAsia" w:eastAsiaTheme="majorEastAsia" w:cstheme="majorEastAsia"/>
          <w:color w:val="auto"/>
          <w:sz w:val="44"/>
          <w:szCs w:val="44"/>
          <w:highlight w:val="none"/>
          <w:shd w:val="clear" w:color="auto" w:fill="FFFFFF"/>
        </w:rPr>
        <w:t>2024年度决算公开说明</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eastAsia" w:ascii="黑体" w:hAnsi="黑体" w:eastAsia="黑体" w:cs="黑体"/>
          <w:b w:val="0"/>
          <w:bCs/>
          <w:color w:val="auto"/>
          <w:sz w:val="32"/>
          <w:szCs w:val="32"/>
          <w:highlight w:val="none"/>
          <w:shd w:val="clear" w:color="auto" w:fill="FFFFFF"/>
        </w:rPr>
      </w:pPr>
      <w:r>
        <w:rPr>
          <w:rStyle w:val="10"/>
          <w:rFonts w:hint="eastAsia" w:ascii="黑体" w:hAnsi="黑体" w:eastAsia="黑体" w:cs="黑体"/>
          <w:b w:val="0"/>
          <w:bCs/>
          <w:color w:val="auto"/>
          <w:sz w:val="32"/>
          <w:szCs w:val="32"/>
          <w:highlight w:val="none"/>
          <w:shd w:val="clear" w:color="auto" w:fill="FFFFFF"/>
        </w:rPr>
        <w:t>一、</w:t>
      </w:r>
      <w:r>
        <w:rPr>
          <w:rStyle w:val="10"/>
          <w:rFonts w:hint="eastAsia" w:ascii="黑体" w:hAnsi="黑体" w:eastAsia="黑体" w:cs="黑体"/>
          <w:b w:val="0"/>
          <w:bCs/>
          <w:color w:val="auto"/>
          <w:sz w:val="32"/>
          <w:szCs w:val="32"/>
          <w:highlight w:val="none"/>
          <w:shd w:val="clear" w:color="auto" w:fill="FFFFFF"/>
          <w:lang w:eastAsia="zh-CN"/>
        </w:rPr>
        <w:t>单位</w:t>
      </w:r>
      <w:r>
        <w:rPr>
          <w:rStyle w:val="10"/>
          <w:rFonts w:hint="eastAsia" w:ascii="黑体" w:hAnsi="黑体" w:eastAsia="黑体" w:cs="黑体"/>
          <w:b w:val="0"/>
          <w:bCs/>
          <w:color w:val="auto"/>
          <w:sz w:val="32"/>
          <w:szCs w:val="32"/>
          <w:highlight w:val="none"/>
          <w:shd w:val="clear" w:color="auto" w:fill="FFFFFF"/>
        </w:rPr>
        <w:t>基本情况</w:t>
      </w:r>
    </w:p>
    <w:p>
      <w:pPr>
        <w:pStyle w:val="7"/>
        <w:keepNext w:val="0"/>
        <w:keepLines w:val="0"/>
        <w:pageBreakBefore w:val="0"/>
        <w:widowControl/>
        <w:shd w:val="clear" w:color="auto"/>
        <w:kinsoku/>
        <w:wordWrap/>
        <w:overflowPunct/>
        <w:topLinePunct w:val="0"/>
        <w:autoSpaceDN/>
        <w:bidi w:val="0"/>
        <w:adjustRightInd/>
        <w:spacing w:beforeAutospacing="0" w:afterAutospacing="0" w:line="594" w:lineRule="exact"/>
        <w:ind w:firstLine="420"/>
        <w:textAlignment w:val="auto"/>
        <w:rPr>
          <w:rFonts w:hint="eastAsia" w:ascii="楷体" w:hAnsi="楷体" w:eastAsia="楷体" w:cs="楷体"/>
          <w:b w:val="0"/>
          <w:bCs/>
          <w:color w:val="auto"/>
          <w:sz w:val="32"/>
          <w:szCs w:val="32"/>
          <w:highlight w:val="none"/>
        </w:rPr>
      </w:pPr>
      <w:r>
        <w:rPr>
          <w:rStyle w:val="10"/>
          <w:rFonts w:hint="eastAsia" w:ascii="楷体" w:hAnsi="楷体" w:eastAsia="楷体" w:cs="楷体"/>
          <w:b w:val="0"/>
          <w:bCs/>
          <w:color w:val="auto"/>
          <w:sz w:val="32"/>
          <w:szCs w:val="32"/>
          <w:highlight w:val="none"/>
          <w:shd w:val="clear" w:color="auto" w:fill="FFFFFF"/>
        </w:rPr>
        <w:t>（一）职能职责</w:t>
      </w:r>
    </w:p>
    <w:p>
      <w:pPr>
        <w:pStyle w:val="7"/>
        <w:keepNext w:val="0"/>
        <w:keepLines w:val="0"/>
        <w:pageBreakBefore w:val="0"/>
        <w:widowControl/>
        <w:shd w:val="clear" w:color="auto"/>
        <w:kinsoku/>
        <w:wordWrap/>
        <w:overflowPunct/>
        <w:topLinePunct w:val="0"/>
        <w:autoSpaceDN/>
        <w:bidi w:val="0"/>
        <w:adjustRightInd/>
        <w:spacing w:beforeAutospacing="0" w:afterAutospacing="0" w:line="594" w:lineRule="exact"/>
        <w:ind w:firstLine="640" w:firstLineChars="200"/>
        <w:textAlignment w:val="auto"/>
        <w:rPr>
          <w:rFonts w:hint="eastAsia" w:ascii="仿宋" w:hAnsi="仿宋" w:eastAsia="仿宋" w:cs="仿宋"/>
          <w:b w:val="0"/>
          <w:bCs/>
          <w:color w:val="auto"/>
          <w:sz w:val="32"/>
          <w:szCs w:val="32"/>
          <w:highlight w:val="none"/>
          <w:lang w:eastAsia="zh-CN"/>
        </w:rPr>
      </w:pPr>
      <w:r>
        <w:rPr>
          <w:rFonts w:hint="eastAsia" w:ascii="仿宋" w:hAnsi="仿宋" w:eastAsia="仿宋" w:cs="仿宋"/>
          <w:b w:val="0"/>
          <w:bCs/>
          <w:color w:val="auto"/>
          <w:sz w:val="32"/>
          <w:szCs w:val="32"/>
          <w:highlight w:val="none"/>
          <w:lang w:val="en-US" w:eastAsia="zh-CN"/>
        </w:rPr>
        <w:t>本单位</w:t>
      </w:r>
      <w:r>
        <w:rPr>
          <w:rFonts w:hint="eastAsia" w:ascii="仿宋" w:hAnsi="仿宋" w:eastAsia="仿宋" w:cs="仿宋"/>
          <w:b w:val="0"/>
          <w:bCs/>
          <w:color w:val="auto"/>
          <w:sz w:val="32"/>
          <w:szCs w:val="32"/>
          <w:highlight w:val="none"/>
        </w:rPr>
        <w:t>承担农业、畜牧、水产、林业、水利、工业、服务业、科技等领域的技术推广和服务工作，开展相关业务培训，促进一、二、三产业融合发展。承担辖区内动物疫病检测报告、病死畜禽无害化处理，指导做好动物免疫、兽药饲料使用，开展动物产地检疫、畜禽调运备案等工作。开展植物疫病的田间调查上报、行业调查，指导植物疫病防控与处置，协助开展产地检疫、调运检疫和市场巡查等工作</w:t>
      </w:r>
      <w:r>
        <w:rPr>
          <w:rFonts w:hint="eastAsia" w:ascii="仿宋" w:hAnsi="仿宋" w:eastAsia="仿宋" w:cs="仿宋"/>
          <w:b w:val="0"/>
          <w:bCs/>
          <w:color w:val="auto"/>
          <w:sz w:val="32"/>
          <w:szCs w:val="32"/>
          <w:highlight w:val="none"/>
          <w:lang w:eastAsia="zh-CN"/>
        </w:rPr>
        <w:t>。</w:t>
      </w:r>
    </w:p>
    <w:p>
      <w:pPr>
        <w:pStyle w:val="7"/>
        <w:keepNext w:val="0"/>
        <w:keepLines w:val="0"/>
        <w:pageBreakBefore w:val="0"/>
        <w:widowControl/>
        <w:shd w:val="clear" w:color="auto"/>
        <w:kinsoku/>
        <w:wordWrap/>
        <w:overflowPunct/>
        <w:topLinePunct w:val="0"/>
        <w:autoSpaceDN/>
        <w:bidi w:val="0"/>
        <w:adjustRightInd/>
        <w:spacing w:beforeAutospacing="0" w:afterAutospacing="0" w:line="594" w:lineRule="exact"/>
        <w:ind w:firstLine="420"/>
        <w:textAlignment w:val="auto"/>
        <w:rPr>
          <w:rStyle w:val="10"/>
          <w:rFonts w:hint="eastAsia" w:ascii="楷体" w:hAnsi="楷体" w:eastAsia="楷体" w:cs="楷体"/>
          <w:b w:val="0"/>
          <w:bCs/>
          <w:color w:val="auto"/>
          <w:sz w:val="32"/>
          <w:szCs w:val="32"/>
          <w:highlight w:val="none"/>
          <w:shd w:val="clear" w:color="auto" w:fill="FFFFFF"/>
        </w:rPr>
      </w:pPr>
      <w:r>
        <w:rPr>
          <w:rStyle w:val="10"/>
          <w:rFonts w:hint="eastAsia" w:ascii="楷体" w:hAnsi="楷体" w:eastAsia="楷体" w:cs="楷体"/>
          <w:b w:val="0"/>
          <w:bCs/>
          <w:color w:val="auto"/>
          <w:sz w:val="32"/>
          <w:szCs w:val="32"/>
          <w:highlight w:val="none"/>
          <w:shd w:val="clear" w:color="auto" w:fill="FFFFFF"/>
        </w:rPr>
        <w:t>（二）机构设置</w:t>
      </w:r>
    </w:p>
    <w:p>
      <w:pPr>
        <w:keepNext w:val="0"/>
        <w:keepLines w:val="0"/>
        <w:pageBreakBefore w:val="0"/>
        <w:widowControl/>
        <w:shd w:val="clear"/>
        <w:kinsoku/>
        <w:wordWrap/>
        <w:overflowPunct/>
        <w:topLinePunct w:val="0"/>
        <w:autoSpaceDN/>
        <w:bidi w:val="0"/>
        <w:adjustRightInd/>
        <w:snapToGrid w:val="0"/>
        <w:spacing w:beforeAutospacing="0" w:afterAutospacing="0" w:line="594" w:lineRule="exact"/>
        <w:ind w:firstLine="640" w:firstLineChars="200"/>
        <w:textAlignment w:val="auto"/>
        <w:rPr>
          <w:rFonts w:hint="eastAsia" w:ascii="仿宋" w:hAnsi="仿宋" w:eastAsia="仿宋" w:cs="仿宋"/>
          <w:b w:val="0"/>
          <w:bCs/>
          <w:color w:val="auto"/>
          <w:sz w:val="32"/>
          <w:szCs w:val="32"/>
          <w:highlight w:val="none"/>
          <w:lang w:eastAsia="zh-CN"/>
        </w:rPr>
      </w:pPr>
      <w:r>
        <w:rPr>
          <w:rFonts w:hint="eastAsia" w:ascii="仿宋" w:hAnsi="仿宋" w:eastAsia="仿宋" w:cs="仿宋"/>
          <w:b w:val="0"/>
          <w:bCs/>
          <w:color w:val="auto"/>
          <w:sz w:val="32"/>
          <w:szCs w:val="32"/>
          <w:highlight w:val="none"/>
          <w:lang w:val="en-US" w:eastAsia="zh-CN"/>
        </w:rPr>
        <w:t>本单位</w:t>
      </w:r>
      <w:r>
        <w:rPr>
          <w:rFonts w:hint="eastAsia" w:ascii="仿宋" w:hAnsi="仿宋" w:eastAsia="仿宋" w:cs="仿宋"/>
          <w:b w:val="0"/>
          <w:bCs/>
          <w:color w:val="auto"/>
          <w:sz w:val="32"/>
          <w:szCs w:val="32"/>
          <w:highlight w:val="none"/>
          <w:lang w:eastAsia="zh-CN"/>
        </w:rPr>
        <w:t>包含5个事业单位，便民服务中心（退役军人服务站）、综合行政执法大队、产业发展服务中心、新时代文明实践服务中心、基层治理服务中心。其中：全额拨款的事业单位5个。</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eastAsia" w:ascii="黑体" w:hAnsi="黑体" w:eastAsia="黑体" w:cs="黑体"/>
          <w:b w:val="0"/>
          <w:bCs/>
          <w:color w:val="auto"/>
          <w:sz w:val="32"/>
          <w:szCs w:val="32"/>
          <w:highlight w:val="none"/>
          <w:shd w:val="clear" w:color="auto" w:fill="FFFFFF"/>
        </w:rPr>
      </w:pPr>
      <w:r>
        <w:rPr>
          <w:rStyle w:val="10"/>
          <w:rFonts w:hint="eastAsia" w:ascii="黑体" w:hAnsi="黑体" w:eastAsia="黑体" w:cs="黑体"/>
          <w:b w:val="0"/>
          <w:bCs/>
          <w:color w:val="auto"/>
          <w:sz w:val="32"/>
          <w:szCs w:val="32"/>
          <w:highlight w:val="none"/>
          <w:shd w:val="clear" w:color="auto" w:fill="FFFFFF"/>
        </w:rPr>
        <w:t>二、</w:t>
      </w:r>
      <w:r>
        <w:rPr>
          <w:rStyle w:val="10"/>
          <w:rFonts w:hint="eastAsia" w:ascii="黑体" w:hAnsi="黑体" w:eastAsia="黑体" w:cs="黑体"/>
          <w:b w:val="0"/>
          <w:bCs/>
          <w:color w:val="auto"/>
          <w:sz w:val="32"/>
          <w:szCs w:val="32"/>
          <w:highlight w:val="none"/>
          <w:shd w:val="clear" w:color="auto" w:fill="FFFFFF"/>
          <w:lang w:eastAsia="zh-CN"/>
        </w:rPr>
        <w:t>单位</w:t>
      </w:r>
      <w:r>
        <w:rPr>
          <w:rStyle w:val="10"/>
          <w:rFonts w:hint="eastAsia" w:ascii="黑体" w:hAnsi="黑体" w:eastAsia="黑体" w:cs="黑体"/>
          <w:b w:val="0"/>
          <w:bCs/>
          <w:color w:val="auto"/>
          <w:sz w:val="32"/>
          <w:szCs w:val="32"/>
          <w:highlight w:val="none"/>
          <w:shd w:val="clear" w:color="auto" w:fill="FFFFFF"/>
        </w:rPr>
        <w:t>决算</w:t>
      </w:r>
      <w:r>
        <w:rPr>
          <w:rStyle w:val="10"/>
          <w:rFonts w:hint="eastAsia" w:ascii="黑体" w:hAnsi="黑体" w:eastAsia="黑体" w:cs="黑体"/>
          <w:b w:val="0"/>
          <w:bCs/>
          <w:color w:val="auto"/>
          <w:sz w:val="32"/>
          <w:szCs w:val="32"/>
          <w:highlight w:val="none"/>
          <w:shd w:val="clear" w:color="auto" w:fill="FFFFFF"/>
          <w:lang w:eastAsia="zh-CN"/>
        </w:rPr>
        <w:t>收支</w:t>
      </w:r>
      <w:r>
        <w:rPr>
          <w:rStyle w:val="10"/>
          <w:rFonts w:hint="eastAsia" w:ascii="黑体" w:hAnsi="黑体" w:eastAsia="黑体" w:cs="黑体"/>
          <w:b w:val="0"/>
          <w:bCs/>
          <w:color w:val="auto"/>
          <w:sz w:val="32"/>
          <w:szCs w:val="32"/>
          <w:highlight w:val="none"/>
          <w:shd w:val="clear" w:color="auto" w:fill="FFFFFF"/>
        </w:rPr>
        <w:t>情况说明</w:t>
      </w:r>
    </w:p>
    <w:p>
      <w:pPr>
        <w:pStyle w:val="7"/>
        <w:keepNext w:val="0"/>
        <w:keepLines w:val="0"/>
        <w:pageBreakBefore w:val="0"/>
        <w:widowControl/>
        <w:shd w:val="clear" w:color="auto"/>
        <w:kinsoku/>
        <w:wordWrap/>
        <w:overflowPunct/>
        <w:topLinePunct w:val="0"/>
        <w:autoSpaceDN/>
        <w:bidi w:val="0"/>
        <w:adjustRightInd/>
        <w:spacing w:beforeAutospacing="0" w:afterAutospacing="0" w:line="594" w:lineRule="exact"/>
        <w:ind w:firstLine="420"/>
        <w:textAlignment w:val="auto"/>
        <w:rPr>
          <w:rStyle w:val="10"/>
          <w:rFonts w:hint="eastAsia" w:ascii="楷体" w:hAnsi="楷体" w:eastAsia="楷体" w:cs="楷体"/>
          <w:b w:val="0"/>
          <w:bCs/>
          <w:color w:val="auto"/>
          <w:sz w:val="32"/>
          <w:szCs w:val="32"/>
          <w:highlight w:val="none"/>
          <w:shd w:val="clear" w:color="auto" w:fill="FFFFFF"/>
        </w:rPr>
      </w:pPr>
      <w:r>
        <w:rPr>
          <w:rStyle w:val="10"/>
          <w:rFonts w:hint="eastAsia" w:ascii="楷体" w:hAnsi="楷体" w:eastAsia="楷体" w:cs="楷体"/>
          <w:b w:val="0"/>
          <w:bCs/>
          <w:color w:val="auto"/>
          <w:sz w:val="32"/>
          <w:szCs w:val="32"/>
          <w:highlight w:val="none"/>
          <w:shd w:val="clear" w:color="auto" w:fill="FFFFFF"/>
        </w:rPr>
        <w:t>（一）收入支出决算总体情况说明</w:t>
      </w:r>
    </w:p>
    <w:p>
      <w:pPr>
        <w:pStyle w:val="7"/>
        <w:keepNext w:val="0"/>
        <w:keepLines w:val="0"/>
        <w:pageBreakBefore w:val="0"/>
        <w:widowControl/>
        <w:shd w:val="clear" w:color="auto"/>
        <w:kinsoku/>
        <w:wordWrap/>
        <w:overflowPunct/>
        <w:topLinePunct w:val="0"/>
        <w:autoSpaceDN/>
        <w:bidi w:val="0"/>
        <w:adjustRightInd/>
        <w:spacing w:beforeAutospacing="0" w:afterAutospacing="0" w:line="594" w:lineRule="exact"/>
        <w:ind w:firstLine="640" w:firstLineChars="200"/>
        <w:textAlignment w:val="auto"/>
        <w:rPr>
          <w:rFonts w:hint="eastAsia" w:ascii="仿宋" w:hAnsi="仿宋" w:eastAsia="仿宋" w:cs="仿宋"/>
          <w:b w:val="0"/>
          <w:bCs/>
          <w:color w:val="auto"/>
          <w:sz w:val="32"/>
          <w:szCs w:val="32"/>
          <w:highlight w:val="none"/>
        </w:rPr>
      </w:pPr>
      <w:r>
        <w:rPr>
          <w:rStyle w:val="10"/>
          <w:rFonts w:hint="eastAsia" w:ascii="仿宋" w:hAnsi="仿宋" w:eastAsia="仿宋" w:cs="仿宋"/>
          <w:b w:val="0"/>
          <w:bCs/>
          <w:color w:val="auto"/>
          <w:sz w:val="32"/>
          <w:szCs w:val="32"/>
          <w:highlight w:val="none"/>
          <w:shd w:val="clear" w:color="auto" w:fill="FFFFFF"/>
        </w:rPr>
        <w:t>1.总体情况。</w:t>
      </w:r>
      <w:r>
        <w:rPr>
          <w:rFonts w:hint="eastAsia" w:ascii="仿宋" w:hAnsi="仿宋" w:eastAsia="仿宋" w:cs="仿宋"/>
          <w:b w:val="0"/>
          <w:bCs/>
          <w:color w:val="auto"/>
          <w:sz w:val="32"/>
          <w:szCs w:val="32"/>
          <w:highlight w:val="none"/>
          <w:shd w:val="clear" w:color="auto" w:fill="FFFFFF"/>
          <w:lang w:eastAsia="zh-CN"/>
        </w:rPr>
        <w:t>2024年</w:t>
      </w:r>
      <w:r>
        <w:rPr>
          <w:rFonts w:hint="eastAsia" w:ascii="仿宋" w:hAnsi="仿宋" w:eastAsia="仿宋" w:cs="仿宋"/>
          <w:b w:val="0"/>
          <w:bCs/>
          <w:color w:val="auto"/>
          <w:sz w:val="32"/>
          <w:szCs w:val="32"/>
          <w:highlight w:val="none"/>
          <w:shd w:val="clear" w:color="auto" w:fill="FFFFFF"/>
        </w:rPr>
        <w:t>度收入总计230.27万元，支出总计</w:t>
      </w:r>
      <w:r>
        <w:rPr>
          <w:rFonts w:hint="eastAsia" w:ascii="仿宋" w:hAnsi="仿宋" w:eastAsia="仿宋" w:cs="仿宋"/>
          <w:b w:val="0"/>
          <w:bCs/>
          <w:color w:val="auto"/>
          <w:sz w:val="32"/>
          <w:szCs w:val="32"/>
          <w:highlight w:val="none"/>
        </w:rPr>
        <w:t>230.27</w:t>
      </w:r>
      <w:r>
        <w:rPr>
          <w:rFonts w:hint="eastAsia" w:ascii="仿宋" w:hAnsi="仿宋" w:eastAsia="仿宋" w:cs="仿宋"/>
          <w:b w:val="0"/>
          <w:bCs/>
          <w:color w:val="auto"/>
          <w:sz w:val="32"/>
          <w:szCs w:val="32"/>
          <w:highlight w:val="none"/>
          <w:shd w:val="clear" w:color="auto" w:fill="FFFFFF"/>
        </w:rPr>
        <w:t>万元。收、支与2023年度相比，增加230.27万元，增长100.0%，主要原因是</w:t>
      </w:r>
      <w:r>
        <w:rPr>
          <w:rFonts w:hint="eastAsia" w:ascii="仿宋" w:hAnsi="仿宋" w:eastAsia="仿宋" w:cs="仿宋"/>
          <w:b w:val="0"/>
          <w:bCs/>
          <w:i w:val="0"/>
          <w:iCs w:val="0"/>
          <w:color w:val="auto"/>
          <w:kern w:val="0"/>
          <w:sz w:val="32"/>
          <w:szCs w:val="32"/>
          <w:highlight w:val="none"/>
          <w:u w:val="none"/>
          <w:lang w:val="en-US" w:eastAsia="zh-CN" w:bidi="ar"/>
        </w:rPr>
        <w:t>2024年农业服务中心为新增编报单位，上年数为0，本年数据比上年有所增加。</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仿宋" w:hAnsi="仿宋" w:eastAsia="仿宋" w:cs="仿宋"/>
          <w:b w:val="0"/>
          <w:bCs/>
          <w:color w:val="auto"/>
          <w:sz w:val="32"/>
          <w:szCs w:val="32"/>
          <w:highlight w:val="none"/>
          <w:shd w:val="clear" w:color="auto" w:fill="FFFFFF"/>
        </w:rPr>
      </w:pPr>
      <w:r>
        <w:rPr>
          <w:rStyle w:val="10"/>
          <w:rFonts w:hint="eastAsia" w:ascii="仿宋" w:hAnsi="仿宋" w:eastAsia="仿宋" w:cs="仿宋"/>
          <w:b w:val="0"/>
          <w:bCs/>
          <w:color w:val="auto"/>
          <w:sz w:val="32"/>
          <w:szCs w:val="32"/>
          <w:highlight w:val="none"/>
          <w:shd w:val="clear" w:color="auto" w:fill="FFFFFF"/>
        </w:rPr>
        <w:t>2.收入情况。</w:t>
      </w:r>
      <w:r>
        <w:rPr>
          <w:rFonts w:hint="eastAsia" w:ascii="仿宋" w:hAnsi="仿宋" w:eastAsia="仿宋" w:cs="仿宋"/>
          <w:b w:val="0"/>
          <w:bCs/>
          <w:color w:val="auto"/>
          <w:sz w:val="32"/>
          <w:szCs w:val="32"/>
          <w:highlight w:val="none"/>
          <w:shd w:val="clear" w:color="auto" w:fill="FFFFFF"/>
          <w:lang w:eastAsia="zh-CN"/>
        </w:rPr>
        <w:t>2024年</w:t>
      </w:r>
      <w:r>
        <w:rPr>
          <w:rFonts w:hint="eastAsia" w:ascii="仿宋" w:hAnsi="仿宋" w:eastAsia="仿宋" w:cs="仿宋"/>
          <w:b w:val="0"/>
          <w:bCs/>
          <w:color w:val="auto"/>
          <w:sz w:val="32"/>
          <w:szCs w:val="32"/>
          <w:highlight w:val="none"/>
          <w:shd w:val="clear" w:color="auto" w:fill="FFFFFF"/>
        </w:rPr>
        <w:t>度收入合计230.27万元，与2023年度相比，增加230.27万元，增长100.0%，主要原因是</w:t>
      </w:r>
      <w:r>
        <w:rPr>
          <w:rFonts w:hint="eastAsia" w:ascii="仿宋" w:hAnsi="仿宋" w:eastAsia="仿宋" w:cs="仿宋"/>
          <w:b w:val="0"/>
          <w:bCs/>
          <w:i w:val="0"/>
          <w:iCs w:val="0"/>
          <w:color w:val="auto"/>
          <w:kern w:val="0"/>
          <w:sz w:val="32"/>
          <w:szCs w:val="32"/>
          <w:highlight w:val="none"/>
          <w:u w:val="none"/>
          <w:lang w:val="en-US" w:eastAsia="zh-CN" w:bidi="ar"/>
        </w:rPr>
        <w:t>2024年农业服务中心为新增编报单位，上年数为0，本年数据比上年有所增加。</w:t>
      </w:r>
      <w:r>
        <w:rPr>
          <w:rFonts w:hint="eastAsia" w:ascii="仿宋" w:hAnsi="仿宋" w:eastAsia="仿宋" w:cs="仿宋"/>
          <w:b w:val="0"/>
          <w:bCs/>
          <w:color w:val="auto"/>
          <w:sz w:val="32"/>
          <w:szCs w:val="32"/>
          <w:highlight w:val="none"/>
          <w:shd w:val="clear" w:color="auto" w:fill="FFFFFF"/>
        </w:rPr>
        <w:t>其中：财政拨款收入</w:t>
      </w:r>
      <w:r>
        <w:rPr>
          <w:rFonts w:hint="eastAsia" w:ascii="仿宋" w:hAnsi="仿宋" w:eastAsia="仿宋" w:cs="仿宋"/>
          <w:b w:val="0"/>
          <w:bCs/>
          <w:color w:val="auto"/>
          <w:sz w:val="32"/>
          <w:szCs w:val="32"/>
          <w:highlight w:val="none"/>
        </w:rPr>
        <w:t>230.27</w:t>
      </w:r>
      <w:r>
        <w:rPr>
          <w:rFonts w:hint="eastAsia" w:ascii="仿宋" w:hAnsi="仿宋" w:eastAsia="仿宋" w:cs="仿宋"/>
          <w:b w:val="0"/>
          <w:bCs/>
          <w:color w:val="auto"/>
          <w:sz w:val="32"/>
          <w:szCs w:val="32"/>
          <w:highlight w:val="none"/>
          <w:shd w:val="clear" w:color="auto" w:fill="FFFFFF"/>
        </w:rPr>
        <w:t>万元，占</w:t>
      </w:r>
      <w:r>
        <w:rPr>
          <w:rFonts w:hint="eastAsia" w:ascii="仿宋" w:hAnsi="仿宋" w:eastAsia="仿宋" w:cs="仿宋"/>
          <w:b w:val="0"/>
          <w:bCs/>
          <w:color w:val="auto"/>
          <w:sz w:val="32"/>
          <w:szCs w:val="32"/>
          <w:highlight w:val="none"/>
        </w:rPr>
        <w:t>100.00</w:t>
      </w:r>
      <w:r>
        <w:rPr>
          <w:rFonts w:hint="eastAsia" w:ascii="仿宋" w:hAnsi="仿宋" w:eastAsia="仿宋" w:cs="仿宋"/>
          <w:b w:val="0"/>
          <w:bCs/>
          <w:color w:val="auto"/>
          <w:sz w:val="32"/>
          <w:szCs w:val="32"/>
          <w:highlight w:val="none"/>
          <w:shd w:val="clear" w:color="auto" w:fill="FFFFFF"/>
        </w:rPr>
        <w:t>%；事业收入</w:t>
      </w:r>
      <w:r>
        <w:rPr>
          <w:rFonts w:hint="eastAsia" w:ascii="仿宋" w:hAnsi="仿宋" w:eastAsia="仿宋" w:cs="仿宋"/>
          <w:b w:val="0"/>
          <w:bCs/>
          <w:color w:val="auto"/>
          <w:sz w:val="32"/>
          <w:szCs w:val="32"/>
          <w:highlight w:val="none"/>
        </w:rPr>
        <w:t>0.00</w:t>
      </w:r>
      <w:r>
        <w:rPr>
          <w:rFonts w:hint="eastAsia" w:ascii="仿宋" w:hAnsi="仿宋" w:eastAsia="仿宋" w:cs="仿宋"/>
          <w:b w:val="0"/>
          <w:bCs/>
          <w:color w:val="auto"/>
          <w:sz w:val="32"/>
          <w:szCs w:val="32"/>
          <w:highlight w:val="none"/>
          <w:shd w:val="clear" w:color="auto" w:fill="FFFFFF"/>
        </w:rPr>
        <w:t>万元，占0.00%；经营收入</w:t>
      </w:r>
      <w:r>
        <w:rPr>
          <w:rFonts w:hint="eastAsia" w:ascii="仿宋" w:hAnsi="仿宋" w:eastAsia="仿宋" w:cs="仿宋"/>
          <w:b w:val="0"/>
          <w:bCs/>
          <w:color w:val="auto"/>
          <w:sz w:val="32"/>
          <w:szCs w:val="32"/>
          <w:highlight w:val="none"/>
        </w:rPr>
        <w:t>0.00</w:t>
      </w:r>
      <w:r>
        <w:rPr>
          <w:rFonts w:hint="eastAsia" w:ascii="仿宋" w:hAnsi="仿宋" w:eastAsia="仿宋" w:cs="仿宋"/>
          <w:b w:val="0"/>
          <w:bCs/>
          <w:color w:val="auto"/>
          <w:sz w:val="32"/>
          <w:szCs w:val="32"/>
          <w:highlight w:val="none"/>
          <w:shd w:val="clear" w:color="auto" w:fill="FFFFFF"/>
        </w:rPr>
        <w:t>万元，占0.00%；其他收入</w:t>
      </w:r>
      <w:r>
        <w:rPr>
          <w:rFonts w:hint="eastAsia" w:ascii="仿宋" w:hAnsi="仿宋" w:eastAsia="仿宋" w:cs="仿宋"/>
          <w:b w:val="0"/>
          <w:bCs/>
          <w:color w:val="auto"/>
          <w:sz w:val="32"/>
          <w:szCs w:val="32"/>
          <w:highlight w:val="none"/>
        </w:rPr>
        <w:t>0.00</w:t>
      </w:r>
      <w:r>
        <w:rPr>
          <w:rFonts w:hint="eastAsia" w:ascii="仿宋" w:hAnsi="仿宋" w:eastAsia="仿宋" w:cs="仿宋"/>
          <w:b w:val="0"/>
          <w:bCs/>
          <w:color w:val="auto"/>
          <w:sz w:val="32"/>
          <w:szCs w:val="32"/>
          <w:highlight w:val="none"/>
          <w:shd w:val="clear" w:color="auto" w:fill="FFFFFF"/>
        </w:rPr>
        <w:t>万元，占0.00%。此外，使用非财政拨款结余和专用结余</w:t>
      </w:r>
      <w:r>
        <w:rPr>
          <w:rFonts w:hint="eastAsia" w:ascii="仿宋" w:hAnsi="仿宋" w:eastAsia="仿宋" w:cs="仿宋"/>
          <w:b w:val="0"/>
          <w:bCs/>
          <w:color w:val="auto"/>
          <w:sz w:val="32"/>
          <w:szCs w:val="32"/>
          <w:highlight w:val="none"/>
        </w:rPr>
        <w:t>0.00</w:t>
      </w:r>
      <w:r>
        <w:rPr>
          <w:rFonts w:hint="eastAsia" w:ascii="仿宋" w:hAnsi="仿宋" w:eastAsia="仿宋" w:cs="仿宋"/>
          <w:b w:val="0"/>
          <w:bCs/>
          <w:color w:val="auto"/>
          <w:sz w:val="32"/>
          <w:szCs w:val="32"/>
          <w:highlight w:val="none"/>
          <w:shd w:val="clear" w:color="auto" w:fill="FFFFFF"/>
        </w:rPr>
        <w:t>万元，年初结转和结余</w:t>
      </w:r>
      <w:r>
        <w:rPr>
          <w:rFonts w:hint="eastAsia" w:ascii="仿宋" w:hAnsi="仿宋" w:eastAsia="仿宋" w:cs="仿宋"/>
          <w:b w:val="0"/>
          <w:bCs/>
          <w:color w:val="auto"/>
          <w:sz w:val="32"/>
          <w:szCs w:val="32"/>
          <w:highlight w:val="none"/>
        </w:rPr>
        <w:t>0.00</w:t>
      </w:r>
      <w:r>
        <w:rPr>
          <w:rFonts w:hint="eastAsia" w:ascii="仿宋" w:hAnsi="仿宋" w:eastAsia="仿宋" w:cs="仿宋"/>
          <w:b w:val="0"/>
          <w:bCs/>
          <w:color w:val="auto"/>
          <w:sz w:val="32"/>
          <w:szCs w:val="32"/>
          <w:highlight w:val="none"/>
          <w:shd w:val="clear" w:color="auto" w:fill="FFFFFF"/>
        </w:rPr>
        <w:t>万元。</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仿宋" w:hAnsi="仿宋" w:eastAsia="仿宋" w:cs="仿宋"/>
          <w:b w:val="0"/>
          <w:bCs/>
          <w:color w:val="auto"/>
          <w:sz w:val="32"/>
          <w:szCs w:val="32"/>
          <w:highlight w:val="none"/>
          <w:shd w:val="clear" w:color="auto" w:fill="FFFFFF"/>
        </w:rPr>
      </w:pPr>
      <w:r>
        <w:rPr>
          <w:rStyle w:val="10"/>
          <w:rFonts w:hint="eastAsia" w:ascii="仿宋" w:hAnsi="仿宋" w:eastAsia="仿宋" w:cs="仿宋"/>
          <w:b w:val="0"/>
          <w:bCs/>
          <w:color w:val="auto"/>
          <w:sz w:val="32"/>
          <w:szCs w:val="32"/>
          <w:highlight w:val="none"/>
          <w:shd w:val="clear" w:color="auto" w:fill="FFFFFF"/>
        </w:rPr>
        <w:t>3.支出情况。</w:t>
      </w:r>
      <w:r>
        <w:rPr>
          <w:rFonts w:hint="eastAsia" w:ascii="仿宋" w:hAnsi="仿宋" w:eastAsia="仿宋" w:cs="仿宋"/>
          <w:b w:val="0"/>
          <w:bCs/>
          <w:color w:val="auto"/>
          <w:sz w:val="32"/>
          <w:szCs w:val="32"/>
          <w:highlight w:val="none"/>
          <w:shd w:val="clear" w:color="auto" w:fill="FFFFFF"/>
          <w:lang w:eastAsia="zh-CN"/>
        </w:rPr>
        <w:t>2024年</w:t>
      </w:r>
      <w:r>
        <w:rPr>
          <w:rFonts w:hint="eastAsia" w:ascii="仿宋" w:hAnsi="仿宋" w:eastAsia="仿宋" w:cs="仿宋"/>
          <w:b w:val="0"/>
          <w:bCs/>
          <w:color w:val="auto"/>
          <w:sz w:val="32"/>
          <w:szCs w:val="32"/>
          <w:highlight w:val="none"/>
          <w:shd w:val="clear" w:color="auto" w:fill="FFFFFF"/>
        </w:rPr>
        <w:t>度支出合计</w:t>
      </w:r>
      <w:r>
        <w:rPr>
          <w:rFonts w:hint="eastAsia" w:ascii="仿宋" w:hAnsi="仿宋" w:eastAsia="仿宋" w:cs="仿宋"/>
          <w:b w:val="0"/>
          <w:bCs/>
          <w:color w:val="auto"/>
          <w:sz w:val="32"/>
          <w:szCs w:val="32"/>
          <w:highlight w:val="none"/>
        </w:rPr>
        <w:t>230.27</w:t>
      </w:r>
      <w:r>
        <w:rPr>
          <w:rFonts w:hint="eastAsia" w:ascii="仿宋" w:hAnsi="仿宋" w:eastAsia="仿宋" w:cs="仿宋"/>
          <w:b w:val="0"/>
          <w:bCs/>
          <w:color w:val="auto"/>
          <w:sz w:val="32"/>
          <w:szCs w:val="32"/>
          <w:highlight w:val="none"/>
          <w:shd w:val="clear" w:color="auto" w:fill="FFFFFF"/>
        </w:rPr>
        <w:t>万元，与2023年度相比，增加230.27万元，增长100.0%，主要原因是</w:t>
      </w:r>
      <w:r>
        <w:rPr>
          <w:rFonts w:hint="eastAsia" w:ascii="仿宋" w:hAnsi="仿宋" w:eastAsia="仿宋" w:cs="仿宋"/>
          <w:b w:val="0"/>
          <w:bCs/>
          <w:i w:val="0"/>
          <w:iCs w:val="0"/>
          <w:color w:val="auto"/>
          <w:kern w:val="0"/>
          <w:sz w:val="32"/>
          <w:szCs w:val="32"/>
          <w:highlight w:val="none"/>
          <w:u w:val="none"/>
          <w:lang w:val="en-US" w:eastAsia="zh-CN" w:bidi="ar"/>
        </w:rPr>
        <w:t>2024年农业服务中心为新增编报单位，上年数为0，本年数据比上年有所增加。</w:t>
      </w:r>
      <w:r>
        <w:rPr>
          <w:rFonts w:hint="eastAsia" w:ascii="仿宋" w:hAnsi="仿宋" w:eastAsia="仿宋" w:cs="仿宋"/>
          <w:b w:val="0"/>
          <w:bCs/>
          <w:color w:val="auto"/>
          <w:sz w:val="32"/>
          <w:szCs w:val="32"/>
          <w:highlight w:val="none"/>
          <w:shd w:val="clear" w:color="auto" w:fill="FFFFFF"/>
        </w:rPr>
        <w:t>其中：基本支出</w:t>
      </w:r>
      <w:r>
        <w:rPr>
          <w:rFonts w:hint="eastAsia" w:ascii="仿宋" w:hAnsi="仿宋" w:eastAsia="仿宋" w:cs="仿宋"/>
          <w:b w:val="0"/>
          <w:bCs/>
          <w:color w:val="auto"/>
          <w:sz w:val="32"/>
          <w:szCs w:val="32"/>
          <w:highlight w:val="none"/>
        </w:rPr>
        <w:t>230.27</w:t>
      </w:r>
      <w:r>
        <w:rPr>
          <w:rFonts w:hint="eastAsia" w:ascii="仿宋" w:hAnsi="仿宋" w:eastAsia="仿宋" w:cs="仿宋"/>
          <w:b w:val="0"/>
          <w:bCs/>
          <w:color w:val="auto"/>
          <w:sz w:val="32"/>
          <w:szCs w:val="32"/>
          <w:highlight w:val="none"/>
          <w:shd w:val="clear" w:color="auto" w:fill="FFFFFF"/>
        </w:rPr>
        <w:t>万元，占100.00%；项目支出</w:t>
      </w:r>
      <w:r>
        <w:rPr>
          <w:rFonts w:hint="eastAsia" w:ascii="仿宋" w:hAnsi="仿宋" w:eastAsia="仿宋" w:cs="仿宋"/>
          <w:b w:val="0"/>
          <w:bCs/>
          <w:color w:val="auto"/>
          <w:sz w:val="32"/>
          <w:szCs w:val="32"/>
          <w:highlight w:val="none"/>
        </w:rPr>
        <w:t>0.00</w:t>
      </w:r>
      <w:r>
        <w:rPr>
          <w:rFonts w:hint="eastAsia" w:ascii="仿宋" w:hAnsi="仿宋" w:eastAsia="仿宋" w:cs="仿宋"/>
          <w:b w:val="0"/>
          <w:bCs/>
          <w:color w:val="auto"/>
          <w:sz w:val="32"/>
          <w:szCs w:val="32"/>
          <w:highlight w:val="none"/>
          <w:shd w:val="clear" w:color="auto" w:fill="FFFFFF"/>
        </w:rPr>
        <w:t>万元，占0.00%；经营支出</w:t>
      </w:r>
      <w:r>
        <w:rPr>
          <w:rFonts w:hint="eastAsia" w:ascii="仿宋" w:hAnsi="仿宋" w:eastAsia="仿宋" w:cs="仿宋"/>
          <w:b w:val="0"/>
          <w:bCs/>
          <w:color w:val="auto"/>
          <w:sz w:val="32"/>
          <w:szCs w:val="32"/>
          <w:highlight w:val="none"/>
        </w:rPr>
        <w:t>0.00</w:t>
      </w:r>
      <w:r>
        <w:rPr>
          <w:rFonts w:hint="eastAsia" w:ascii="仿宋" w:hAnsi="仿宋" w:eastAsia="仿宋" w:cs="仿宋"/>
          <w:b w:val="0"/>
          <w:bCs/>
          <w:color w:val="auto"/>
          <w:sz w:val="32"/>
          <w:szCs w:val="32"/>
          <w:highlight w:val="none"/>
          <w:shd w:val="clear" w:color="auto" w:fill="FFFFFF"/>
        </w:rPr>
        <w:t>万元，占0.00%。此外，结余分配</w:t>
      </w:r>
      <w:r>
        <w:rPr>
          <w:rFonts w:hint="eastAsia" w:ascii="仿宋" w:hAnsi="仿宋" w:eastAsia="仿宋" w:cs="仿宋"/>
          <w:b w:val="0"/>
          <w:bCs/>
          <w:color w:val="auto"/>
          <w:sz w:val="32"/>
          <w:szCs w:val="32"/>
          <w:highlight w:val="none"/>
        </w:rPr>
        <w:t>0.00</w:t>
      </w:r>
      <w:r>
        <w:rPr>
          <w:rFonts w:hint="eastAsia" w:ascii="仿宋" w:hAnsi="仿宋" w:eastAsia="仿宋" w:cs="仿宋"/>
          <w:b w:val="0"/>
          <w:bCs/>
          <w:color w:val="auto"/>
          <w:sz w:val="32"/>
          <w:szCs w:val="32"/>
          <w:highlight w:val="none"/>
          <w:shd w:val="clear" w:color="auto" w:fill="FFFFFF"/>
        </w:rPr>
        <w:t>万元。</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仿宋" w:hAnsi="仿宋" w:eastAsia="仿宋" w:cs="仿宋"/>
          <w:b w:val="0"/>
          <w:bCs/>
          <w:color w:val="auto"/>
          <w:sz w:val="32"/>
          <w:szCs w:val="32"/>
          <w:highlight w:val="none"/>
        </w:rPr>
      </w:pPr>
      <w:r>
        <w:rPr>
          <w:rStyle w:val="10"/>
          <w:rFonts w:hint="eastAsia" w:ascii="仿宋" w:hAnsi="仿宋" w:eastAsia="仿宋" w:cs="仿宋"/>
          <w:b w:val="0"/>
          <w:bCs/>
          <w:color w:val="auto"/>
          <w:sz w:val="32"/>
          <w:szCs w:val="32"/>
          <w:highlight w:val="none"/>
          <w:shd w:val="clear" w:color="auto" w:fill="FFFFFF"/>
        </w:rPr>
        <w:t>4.结转结余情况。</w:t>
      </w:r>
      <w:r>
        <w:rPr>
          <w:rFonts w:hint="eastAsia" w:ascii="仿宋" w:hAnsi="仿宋" w:eastAsia="仿宋" w:cs="仿宋"/>
          <w:b w:val="0"/>
          <w:bCs/>
          <w:color w:val="auto"/>
          <w:sz w:val="32"/>
          <w:szCs w:val="32"/>
          <w:highlight w:val="none"/>
          <w:shd w:val="clear" w:color="auto" w:fill="FFFFFF"/>
          <w:lang w:eastAsia="zh-CN"/>
        </w:rPr>
        <w:t>2024年</w:t>
      </w:r>
      <w:r>
        <w:rPr>
          <w:rFonts w:hint="eastAsia" w:ascii="仿宋" w:hAnsi="仿宋" w:eastAsia="仿宋" w:cs="仿宋"/>
          <w:b w:val="0"/>
          <w:bCs/>
          <w:color w:val="auto"/>
          <w:sz w:val="32"/>
          <w:szCs w:val="32"/>
          <w:highlight w:val="none"/>
          <w:shd w:val="clear" w:color="auto" w:fill="FFFFFF"/>
        </w:rPr>
        <w:t>度年末结转和结余</w:t>
      </w:r>
      <w:r>
        <w:rPr>
          <w:rFonts w:hint="eastAsia" w:ascii="仿宋" w:hAnsi="仿宋" w:eastAsia="仿宋" w:cs="仿宋"/>
          <w:b w:val="0"/>
          <w:bCs/>
          <w:color w:val="auto"/>
          <w:sz w:val="32"/>
          <w:szCs w:val="32"/>
          <w:highlight w:val="none"/>
        </w:rPr>
        <w:t>0.00</w:t>
      </w:r>
      <w:r>
        <w:rPr>
          <w:rFonts w:hint="eastAsia" w:ascii="仿宋" w:hAnsi="仿宋" w:eastAsia="仿宋" w:cs="仿宋"/>
          <w:b w:val="0"/>
          <w:bCs/>
          <w:color w:val="auto"/>
          <w:sz w:val="32"/>
          <w:szCs w:val="32"/>
          <w:highlight w:val="none"/>
          <w:shd w:val="clear" w:color="auto" w:fill="FFFFFF"/>
        </w:rPr>
        <w:t>万元，与2023年度相比，无增减。</w:t>
      </w:r>
    </w:p>
    <w:p>
      <w:pPr>
        <w:pStyle w:val="11"/>
        <w:keepNext w:val="0"/>
        <w:keepLines w:val="0"/>
        <w:pageBreakBefore w:val="0"/>
        <w:widowControl/>
        <w:shd w:val="clear"/>
        <w:kinsoku/>
        <w:wordWrap/>
        <w:overflowPunct/>
        <w:topLinePunct w:val="0"/>
        <w:autoSpaceDE w:val="0"/>
        <w:autoSpaceDN/>
        <w:bidi w:val="0"/>
        <w:adjustRightInd/>
        <w:spacing w:beforeAutospacing="0" w:afterAutospacing="0" w:line="594" w:lineRule="exact"/>
        <w:ind w:firstLine="643"/>
        <w:textAlignment w:val="auto"/>
        <w:rPr>
          <w:rStyle w:val="10"/>
          <w:rFonts w:hint="eastAsia" w:ascii="楷体" w:hAnsi="楷体" w:eastAsia="楷体" w:cs="楷体"/>
          <w:b w:val="0"/>
          <w:bCs/>
          <w:color w:val="auto"/>
          <w:sz w:val="32"/>
          <w:szCs w:val="32"/>
          <w:highlight w:val="none"/>
          <w:shd w:val="clear" w:color="auto" w:fill="FFFFFF"/>
          <w:lang w:val="en-US" w:eastAsia="zh-CN" w:bidi="ar-SA"/>
        </w:rPr>
      </w:pPr>
      <w:r>
        <w:rPr>
          <w:rStyle w:val="10"/>
          <w:rFonts w:hint="eastAsia" w:ascii="楷体" w:hAnsi="楷体" w:eastAsia="楷体" w:cs="楷体"/>
          <w:b w:val="0"/>
          <w:bCs/>
          <w:color w:val="auto"/>
          <w:sz w:val="32"/>
          <w:szCs w:val="32"/>
          <w:highlight w:val="none"/>
          <w:shd w:val="clear" w:color="auto" w:fill="FFFFFF"/>
          <w:lang w:val="en-US" w:eastAsia="zh-CN" w:bidi="ar-SA"/>
        </w:rPr>
        <w:t>（二）财政拨款收入支出决算总体情况说明</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shd w:val="clear" w:color="auto" w:fill="FFFFFF"/>
          <w:lang w:eastAsia="zh-CN"/>
        </w:rPr>
        <w:t>2024年</w:t>
      </w:r>
      <w:r>
        <w:rPr>
          <w:rFonts w:hint="eastAsia" w:ascii="仿宋" w:hAnsi="仿宋" w:eastAsia="仿宋" w:cs="仿宋"/>
          <w:b w:val="0"/>
          <w:bCs/>
          <w:color w:val="auto"/>
          <w:sz w:val="32"/>
          <w:szCs w:val="32"/>
          <w:highlight w:val="none"/>
          <w:shd w:val="clear" w:color="auto" w:fill="FFFFFF"/>
        </w:rPr>
        <w:t>度财政拨款收、支总计230.27万元。与202</w:t>
      </w:r>
      <w:r>
        <w:rPr>
          <w:rFonts w:hint="eastAsia" w:ascii="仿宋" w:hAnsi="仿宋" w:eastAsia="仿宋" w:cs="仿宋"/>
          <w:b w:val="0"/>
          <w:bCs/>
          <w:color w:val="auto"/>
          <w:sz w:val="32"/>
          <w:szCs w:val="32"/>
          <w:highlight w:val="none"/>
          <w:shd w:val="clear" w:color="auto" w:fill="FFFFFF"/>
          <w:lang w:val="en-US" w:eastAsia="zh-CN"/>
        </w:rPr>
        <w:t>3</w:t>
      </w:r>
      <w:r>
        <w:rPr>
          <w:rFonts w:hint="eastAsia" w:ascii="仿宋" w:hAnsi="仿宋" w:eastAsia="仿宋" w:cs="仿宋"/>
          <w:b w:val="0"/>
          <w:bCs/>
          <w:color w:val="auto"/>
          <w:sz w:val="32"/>
          <w:szCs w:val="32"/>
          <w:highlight w:val="none"/>
          <w:shd w:val="clear" w:color="auto" w:fill="FFFFFF"/>
        </w:rPr>
        <w:t>年相比，财政拨款收、支总计各增加230.27万元，增长100.0%。主要原因是</w:t>
      </w:r>
      <w:r>
        <w:rPr>
          <w:rFonts w:hint="eastAsia" w:ascii="仿宋" w:hAnsi="仿宋" w:eastAsia="仿宋" w:cs="仿宋"/>
          <w:b w:val="0"/>
          <w:bCs/>
          <w:i w:val="0"/>
          <w:iCs w:val="0"/>
          <w:color w:val="auto"/>
          <w:kern w:val="0"/>
          <w:sz w:val="32"/>
          <w:szCs w:val="32"/>
          <w:highlight w:val="none"/>
          <w:u w:val="none"/>
          <w:lang w:val="en-US" w:eastAsia="zh-CN" w:bidi="ar"/>
        </w:rPr>
        <w:t>2024年农业服务中心为新增编报单位，上年数为0，本年数据比上年有所增加。</w:t>
      </w:r>
    </w:p>
    <w:p>
      <w:pPr>
        <w:pStyle w:val="11"/>
        <w:keepNext w:val="0"/>
        <w:keepLines w:val="0"/>
        <w:pageBreakBefore w:val="0"/>
        <w:widowControl/>
        <w:shd w:val="clear"/>
        <w:kinsoku/>
        <w:wordWrap/>
        <w:overflowPunct/>
        <w:topLinePunct w:val="0"/>
        <w:autoSpaceDE w:val="0"/>
        <w:autoSpaceDN/>
        <w:bidi w:val="0"/>
        <w:adjustRightInd/>
        <w:spacing w:beforeAutospacing="0" w:afterAutospacing="0" w:line="594" w:lineRule="exact"/>
        <w:ind w:firstLine="643"/>
        <w:textAlignment w:val="auto"/>
        <w:rPr>
          <w:rStyle w:val="10"/>
          <w:rFonts w:hint="eastAsia" w:ascii="楷体" w:hAnsi="楷体" w:eastAsia="楷体" w:cs="楷体"/>
          <w:b w:val="0"/>
          <w:bCs/>
          <w:color w:val="auto"/>
          <w:sz w:val="32"/>
          <w:szCs w:val="32"/>
          <w:highlight w:val="none"/>
          <w:shd w:val="clear" w:color="auto" w:fill="FFFFFF"/>
          <w:lang w:val="en-US" w:eastAsia="zh-CN" w:bidi="ar-SA"/>
        </w:rPr>
      </w:pPr>
      <w:r>
        <w:rPr>
          <w:rStyle w:val="10"/>
          <w:rFonts w:hint="eastAsia" w:ascii="楷体" w:hAnsi="楷体" w:eastAsia="楷体" w:cs="楷体"/>
          <w:b w:val="0"/>
          <w:bCs/>
          <w:color w:val="auto"/>
          <w:sz w:val="32"/>
          <w:szCs w:val="32"/>
          <w:highlight w:val="none"/>
          <w:shd w:val="clear" w:color="auto" w:fill="FFFFFF"/>
          <w:lang w:val="en-US" w:eastAsia="zh-CN" w:bidi="ar-SA"/>
        </w:rPr>
        <w:t>（</w:t>
      </w:r>
      <w:r>
        <w:rPr>
          <w:rFonts w:hint="eastAsia" w:ascii="楷体" w:hAnsi="楷体" w:eastAsia="楷体" w:cs="楷体"/>
          <w:b w:val="0"/>
          <w:bCs/>
          <w:color w:val="auto"/>
          <w:sz w:val="32"/>
          <w:szCs w:val="32"/>
          <w:highlight w:val="none"/>
          <w:shd w:val="clear" w:color="auto" w:fill="FFFFFF"/>
          <w:lang w:val="en-US" w:eastAsia="zh-CN"/>
        </w:rPr>
        <w:t>三）一般公共预算财政拨款收入支出决算情况说明</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仿宋" w:hAnsi="仿宋" w:eastAsia="仿宋" w:cs="仿宋"/>
          <w:b w:val="0"/>
          <w:bCs/>
          <w:color w:val="auto"/>
          <w:sz w:val="32"/>
          <w:szCs w:val="32"/>
          <w:highlight w:val="none"/>
        </w:rPr>
      </w:pPr>
      <w:r>
        <w:rPr>
          <w:rStyle w:val="10"/>
          <w:rFonts w:hint="eastAsia" w:ascii="仿宋" w:hAnsi="仿宋" w:eastAsia="仿宋" w:cs="仿宋"/>
          <w:b w:val="0"/>
          <w:bCs/>
          <w:color w:val="auto"/>
          <w:sz w:val="32"/>
          <w:szCs w:val="32"/>
          <w:highlight w:val="none"/>
          <w:shd w:val="clear" w:color="auto" w:fill="FFFFFF"/>
        </w:rPr>
        <w:t>1.收入情况。</w:t>
      </w:r>
      <w:r>
        <w:rPr>
          <w:rFonts w:hint="eastAsia" w:ascii="仿宋" w:hAnsi="仿宋" w:eastAsia="仿宋" w:cs="仿宋"/>
          <w:b w:val="0"/>
          <w:bCs/>
          <w:color w:val="auto"/>
          <w:sz w:val="32"/>
          <w:szCs w:val="32"/>
          <w:highlight w:val="none"/>
          <w:shd w:val="clear" w:color="auto" w:fill="FFFFFF"/>
          <w:lang w:eastAsia="zh-CN"/>
        </w:rPr>
        <w:t>2024年</w:t>
      </w:r>
      <w:r>
        <w:rPr>
          <w:rFonts w:hint="eastAsia" w:ascii="仿宋" w:hAnsi="仿宋" w:eastAsia="仿宋" w:cs="仿宋"/>
          <w:b w:val="0"/>
          <w:bCs/>
          <w:color w:val="auto"/>
          <w:sz w:val="32"/>
          <w:szCs w:val="32"/>
          <w:highlight w:val="none"/>
          <w:shd w:val="clear" w:color="auto" w:fill="FFFFFF"/>
        </w:rPr>
        <w:t>度一般公共预算财政拨款收入</w:t>
      </w:r>
      <w:r>
        <w:rPr>
          <w:rFonts w:hint="eastAsia" w:ascii="仿宋" w:hAnsi="仿宋" w:eastAsia="仿宋" w:cs="仿宋"/>
          <w:b w:val="0"/>
          <w:bCs/>
          <w:color w:val="auto"/>
          <w:sz w:val="32"/>
          <w:szCs w:val="32"/>
          <w:highlight w:val="none"/>
        </w:rPr>
        <w:t>230.27</w:t>
      </w:r>
      <w:r>
        <w:rPr>
          <w:rFonts w:hint="eastAsia" w:ascii="仿宋" w:hAnsi="仿宋" w:eastAsia="仿宋" w:cs="仿宋"/>
          <w:b w:val="0"/>
          <w:bCs/>
          <w:color w:val="auto"/>
          <w:sz w:val="32"/>
          <w:szCs w:val="32"/>
          <w:highlight w:val="none"/>
          <w:shd w:val="clear" w:color="auto" w:fill="FFFFFF"/>
        </w:rPr>
        <w:t>万元，与2023年度相比，增加230.27万元，增长100.0%。主要原因是</w:t>
      </w:r>
      <w:r>
        <w:rPr>
          <w:rFonts w:hint="eastAsia" w:ascii="仿宋" w:hAnsi="仿宋" w:eastAsia="仿宋" w:cs="仿宋"/>
          <w:b w:val="0"/>
          <w:bCs/>
          <w:i w:val="0"/>
          <w:iCs w:val="0"/>
          <w:color w:val="auto"/>
          <w:kern w:val="0"/>
          <w:sz w:val="32"/>
          <w:szCs w:val="32"/>
          <w:highlight w:val="none"/>
          <w:u w:val="none"/>
          <w:lang w:val="en-US" w:eastAsia="zh-CN" w:bidi="ar"/>
        </w:rPr>
        <w:t>2024年农业服务中心为新增编报单位，上年数为0，本年数据比上年有所增加。</w:t>
      </w:r>
      <w:r>
        <w:rPr>
          <w:rFonts w:hint="eastAsia" w:ascii="仿宋" w:hAnsi="仿宋" w:eastAsia="仿宋" w:cs="仿宋"/>
          <w:b w:val="0"/>
          <w:bCs/>
          <w:color w:val="auto"/>
          <w:sz w:val="32"/>
          <w:szCs w:val="32"/>
          <w:highlight w:val="none"/>
          <w:shd w:val="clear" w:color="auto" w:fill="FFFFFF"/>
        </w:rPr>
        <w:t>较年初预算数减少1.18万元，下降0.5%。主要原因是</w:t>
      </w:r>
      <w:r>
        <w:rPr>
          <w:rFonts w:hint="eastAsia" w:ascii="仿宋" w:hAnsi="仿宋" w:eastAsia="仿宋" w:cs="仿宋"/>
          <w:b w:val="0"/>
          <w:bCs/>
          <w:i w:val="0"/>
          <w:iCs w:val="0"/>
          <w:color w:val="auto"/>
          <w:sz w:val="32"/>
          <w:szCs w:val="32"/>
          <w:highlight w:val="none"/>
          <w:u w:val="none"/>
          <w:lang w:val="en-US" w:eastAsia="zh-CN"/>
        </w:rPr>
        <w:t>2024年度12月统发工资指标追加，年底根据要求回收了超额绩效和结算支出。</w:t>
      </w:r>
      <w:r>
        <w:rPr>
          <w:rFonts w:hint="eastAsia" w:ascii="仿宋" w:hAnsi="仿宋" w:eastAsia="仿宋" w:cs="仿宋"/>
          <w:b w:val="0"/>
          <w:bCs/>
          <w:color w:val="auto"/>
          <w:sz w:val="32"/>
          <w:szCs w:val="32"/>
          <w:highlight w:val="none"/>
          <w:shd w:val="clear" w:color="auto" w:fill="FFFFFF"/>
        </w:rPr>
        <w:t>此外，年初财政拨款结转和结余</w:t>
      </w:r>
      <w:r>
        <w:rPr>
          <w:rFonts w:hint="eastAsia" w:ascii="仿宋" w:hAnsi="仿宋" w:eastAsia="仿宋" w:cs="仿宋"/>
          <w:b w:val="0"/>
          <w:bCs/>
          <w:color w:val="auto"/>
          <w:sz w:val="32"/>
          <w:szCs w:val="32"/>
          <w:highlight w:val="none"/>
        </w:rPr>
        <w:t>0.00</w:t>
      </w:r>
      <w:r>
        <w:rPr>
          <w:rFonts w:hint="eastAsia" w:ascii="仿宋" w:hAnsi="仿宋" w:eastAsia="仿宋" w:cs="仿宋"/>
          <w:b w:val="0"/>
          <w:bCs/>
          <w:color w:val="auto"/>
          <w:sz w:val="32"/>
          <w:szCs w:val="32"/>
          <w:highlight w:val="none"/>
          <w:shd w:val="clear" w:color="auto" w:fill="FFFFFF"/>
        </w:rPr>
        <w:t>万元。</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仿宋" w:hAnsi="仿宋" w:eastAsia="仿宋" w:cs="仿宋"/>
          <w:b w:val="0"/>
          <w:bCs/>
          <w:i w:val="0"/>
          <w:iCs w:val="0"/>
          <w:color w:val="auto"/>
          <w:sz w:val="32"/>
          <w:szCs w:val="32"/>
          <w:highlight w:val="none"/>
          <w:u w:val="none"/>
          <w:lang w:val="en-US" w:eastAsia="zh-CN"/>
        </w:rPr>
      </w:pPr>
      <w:r>
        <w:rPr>
          <w:rStyle w:val="10"/>
          <w:rFonts w:hint="eastAsia" w:ascii="仿宋" w:hAnsi="仿宋" w:eastAsia="仿宋" w:cs="仿宋"/>
          <w:b w:val="0"/>
          <w:bCs/>
          <w:color w:val="auto"/>
          <w:sz w:val="32"/>
          <w:szCs w:val="32"/>
          <w:highlight w:val="none"/>
          <w:shd w:val="clear" w:color="auto" w:fill="FFFFFF"/>
        </w:rPr>
        <w:t>2.支出情况。</w:t>
      </w:r>
      <w:r>
        <w:rPr>
          <w:rFonts w:hint="eastAsia" w:ascii="仿宋" w:hAnsi="仿宋" w:eastAsia="仿宋" w:cs="仿宋"/>
          <w:b w:val="0"/>
          <w:bCs/>
          <w:color w:val="auto"/>
          <w:sz w:val="32"/>
          <w:szCs w:val="32"/>
          <w:highlight w:val="none"/>
          <w:shd w:val="clear" w:color="auto" w:fill="FFFFFF"/>
          <w:lang w:eastAsia="zh-CN"/>
        </w:rPr>
        <w:t>2024年</w:t>
      </w:r>
      <w:r>
        <w:rPr>
          <w:rFonts w:hint="eastAsia" w:ascii="仿宋" w:hAnsi="仿宋" w:eastAsia="仿宋" w:cs="仿宋"/>
          <w:b w:val="0"/>
          <w:bCs/>
          <w:color w:val="auto"/>
          <w:sz w:val="32"/>
          <w:szCs w:val="32"/>
          <w:highlight w:val="none"/>
          <w:shd w:val="clear" w:color="auto" w:fill="FFFFFF"/>
        </w:rPr>
        <w:t>度一般公共预算财政拨款支出</w:t>
      </w:r>
      <w:r>
        <w:rPr>
          <w:rFonts w:hint="eastAsia" w:ascii="仿宋" w:hAnsi="仿宋" w:eastAsia="仿宋" w:cs="仿宋"/>
          <w:b w:val="0"/>
          <w:bCs/>
          <w:color w:val="auto"/>
          <w:sz w:val="32"/>
          <w:szCs w:val="32"/>
          <w:highlight w:val="none"/>
        </w:rPr>
        <w:t>230.27</w:t>
      </w:r>
      <w:r>
        <w:rPr>
          <w:rFonts w:hint="eastAsia" w:ascii="仿宋" w:hAnsi="仿宋" w:eastAsia="仿宋" w:cs="仿宋"/>
          <w:b w:val="0"/>
          <w:bCs/>
          <w:color w:val="auto"/>
          <w:sz w:val="32"/>
          <w:szCs w:val="32"/>
          <w:highlight w:val="none"/>
          <w:shd w:val="clear" w:color="auto" w:fill="FFFFFF"/>
        </w:rPr>
        <w:t>万元，与2023年度相比，增加230.27万元，增长100.0%。主要原因是</w:t>
      </w:r>
      <w:r>
        <w:rPr>
          <w:rFonts w:hint="eastAsia" w:ascii="仿宋" w:hAnsi="仿宋" w:eastAsia="仿宋" w:cs="仿宋"/>
          <w:b w:val="0"/>
          <w:bCs/>
          <w:i w:val="0"/>
          <w:iCs w:val="0"/>
          <w:color w:val="auto"/>
          <w:kern w:val="0"/>
          <w:sz w:val="32"/>
          <w:szCs w:val="32"/>
          <w:highlight w:val="none"/>
          <w:u w:val="none"/>
          <w:lang w:val="en-US" w:eastAsia="zh-CN" w:bidi="ar"/>
        </w:rPr>
        <w:t>2024年农业服务中心为新增编报单位，上年数为0，本年数据比上年有所增加。</w:t>
      </w:r>
      <w:r>
        <w:rPr>
          <w:rFonts w:hint="eastAsia" w:ascii="仿宋" w:hAnsi="仿宋" w:eastAsia="仿宋" w:cs="仿宋"/>
          <w:b w:val="0"/>
          <w:bCs/>
          <w:color w:val="auto"/>
          <w:sz w:val="32"/>
          <w:szCs w:val="32"/>
          <w:highlight w:val="none"/>
          <w:shd w:val="clear" w:color="auto" w:fill="FFFFFF"/>
        </w:rPr>
        <w:t>较年初预算数减少1.18万元，下降0.5%。主要原因是</w:t>
      </w:r>
      <w:r>
        <w:rPr>
          <w:rFonts w:hint="eastAsia" w:ascii="仿宋" w:hAnsi="仿宋" w:eastAsia="仿宋" w:cs="仿宋"/>
          <w:b w:val="0"/>
          <w:bCs/>
          <w:i w:val="0"/>
          <w:iCs w:val="0"/>
          <w:color w:val="auto"/>
          <w:sz w:val="32"/>
          <w:szCs w:val="32"/>
          <w:highlight w:val="none"/>
          <w:u w:val="none"/>
          <w:lang w:val="en-US" w:eastAsia="zh-CN"/>
        </w:rPr>
        <w:t>2024年度12月统发工资指标追加，年底根据要求回收了超额绩效和结算支出。</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仿宋" w:hAnsi="仿宋" w:eastAsia="仿宋" w:cs="仿宋"/>
          <w:b w:val="0"/>
          <w:bCs/>
          <w:color w:val="auto"/>
          <w:sz w:val="32"/>
          <w:szCs w:val="32"/>
          <w:highlight w:val="none"/>
          <w:lang w:val="en-US" w:eastAsia="zh-CN"/>
        </w:rPr>
      </w:pPr>
      <w:r>
        <w:rPr>
          <w:rStyle w:val="10"/>
          <w:rFonts w:hint="eastAsia" w:ascii="仿宋" w:hAnsi="仿宋" w:eastAsia="仿宋" w:cs="仿宋"/>
          <w:b w:val="0"/>
          <w:bCs/>
          <w:color w:val="auto"/>
          <w:sz w:val="32"/>
          <w:szCs w:val="32"/>
          <w:highlight w:val="none"/>
          <w:shd w:val="clear" w:color="auto" w:fill="FFFFFF"/>
        </w:rPr>
        <w:t>3.结转结余情况。</w:t>
      </w:r>
      <w:r>
        <w:rPr>
          <w:rFonts w:hint="eastAsia" w:ascii="仿宋" w:hAnsi="仿宋" w:eastAsia="仿宋" w:cs="仿宋"/>
          <w:b w:val="0"/>
          <w:bCs/>
          <w:color w:val="auto"/>
          <w:sz w:val="32"/>
          <w:szCs w:val="32"/>
          <w:highlight w:val="none"/>
          <w:shd w:val="clear" w:color="auto" w:fill="FFFFFF"/>
          <w:lang w:eastAsia="zh-CN"/>
        </w:rPr>
        <w:t>2024年</w:t>
      </w:r>
      <w:r>
        <w:rPr>
          <w:rFonts w:hint="eastAsia" w:ascii="仿宋" w:hAnsi="仿宋" w:eastAsia="仿宋" w:cs="仿宋"/>
          <w:b w:val="0"/>
          <w:bCs/>
          <w:color w:val="auto"/>
          <w:sz w:val="32"/>
          <w:szCs w:val="32"/>
          <w:highlight w:val="none"/>
          <w:shd w:val="clear" w:color="auto" w:fill="FFFFFF"/>
        </w:rPr>
        <w:t>度年末一般公共预算财政拨款结转和结余</w:t>
      </w:r>
      <w:r>
        <w:rPr>
          <w:rFonts w:hint="eastAsia" w:ascii="仿宋" w:hAnsi="仿宋" w:eastAsia="仿宋" w:cs="仿宋"/>
          <w:b w:val="0"/>
          <w:bCs/>
          <w:color w:val="auto"/>
          <w:sz w:val="32"/>
          <w:szCs w:val="32"/>
          <w:highlight w:val="none"/>
        </w:rPr>
        <w:t>0.00</w:t>
      </w:r>
      <w:r>
        <w:rPr>
          <w:rFonts w:hint="eastAsia" w:ascii="仿宋" w:hAnsi="仿宋" w:eastAsia="仿宋" w:cs="仿宋"/>
          <w:b w:val="0"/>
          <w:bCs/>
          <w:color w:val="auto"/>
          <w:sz w:val="32"/>
          <w:szCs w:val="32"/>
          <w:highlight w:val="none"/>
          <w:shd w:val="clear" w:color="auto" w:fill="FFFFFF"/>
        </w:rPr>
        <w:t>万元，与2023年度相比，无增减，主要原因是</w:t>
      </w:r>
      <w:r>
        <w:rPr>
          <w:rFonts w:hint="eastAsia" w:ascii="仿宋" w:hAnsi="仿宋" w:eastAsia="仿宋" w:cs="仿宋"/>
          <w:b w:val="0"/>
          <w:bCs/>
          <w:color w:val="auto"/>
          <w:sz w:val="32"/>
          <w:szCs w:val="32"/>
          <w:highlight w:val="none"/>
          <w:shd w:val="clear" w:color="auto" w:fill="FFFFFF"/>
          <w:lang w:val="en-US" w:eastAsia="zh-CN"/>
        </w:rPr>
        <w:t>2023年和2024年结转和结余皆为0。</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仿宋" w:hAnsi="仿宋" w:eastAsia="仿宋" w:cs="仿宋"/>
          <w:b w:val="0"/>
          <w:bCs/>
          <w:color w:val="auto"/>
          <w:sz w:val="32"/>
          <w:szCs w:val="32"/>
          <w:highlight w:val="none"/>
          <w:shd w:val="clear" w:color="auto" w:fill="FFFFFF"/>
        </w:rPr>
      </w:pPr>
      <w:r>
        <w:rPr>
          <w:rStyle w:val="10"/>
          <w:rFonts w:hint="eastAsia" w:ascii="仿宋" w:hAnsi="仿宋" w:eastAsia="仿宋" w:cs="仿宋"/>
          <w:b w:val="0"/>
          <w:bCs/>
          <w:color w:val="auto"/>
          <w:sz w:val="32"/>
          <w:szCs w:val="32"/>
          <w:highlight w:val="none"/>
          <w:shd w:val="clear" w:color="auto" w:fill="FFFFFF"/>
        </w:rPr>
        <w:t xml:space="preserve"> 4.比较情况。</w:t>
      </w:r>
      <w:r>
        <w:rPr>
          <w:rFonts w:hint="eastAsia" w:ascii="仿宋" w:hAnsi="仿宋" w:eastAsia="仿宋" w:cs="仿宋"/>
          <w:b w:val="0"/>
          <w:bCs/>
          <w:color w:val="auto"/>
          <w:sz w:val="32"/>
          <w:szCs w:val="32"/>
          <w:highlight w:val="none"/>
          <w:shd w:val="clear" w:color="auto" w:fill="FFFFFF"/>
        </w:rPr>
        <w:t>本单位</w:t>
      </w:r>
      <w:r>
        <w:rPr>
          <w:rFonts w:hint="eastAsia" w:ascii="仿宋" w:hAnsi="仿宋" w:eastAsia="仿宋" w:cs="仿宋"/>
          <w:b w:val="0"/>
          <w:bCs/>
          <w:color w:val="auto"/>
          <w:sz w:val="32"/>
          <w:szCs w:val="32"/>
          <w:highlight w:val="none"/>
          <w:shd w:val="clear" w:color="auto" w:fill="FFFFFF"/>
          <w:lang w:eastAsia="zh-CN"/>
        </w:rPr>
        <w:t>2024年</w:t>
      </w:r>
      <w:r>
        <w:rPr>
          <w:rFonts w:hint="eastAsia" w:ascii="仿宋" w:hAnsi="仿宋" w:eastAsia="仿宋" w:cs="仿宋"/>
          <w:b w:val="0"/>
          <w:bCs/>
          <w:color w:val="auto"/>
          <w:sz w:val="32"/>
          <w:szCs w:val="32"/>
          <w:highlight w:val="none"/>
          <w:shd w:val="clear" w:color="auto" w:fill="FFFFFF"/>
        </w:rPr>
        <w:t>度一般公共预算财政拨款支出主要用于以下几个方面：</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仿宋" w:hAnsi="仿宋" w:eastAsia="仿宋" w:cs="仿宋"/>
          <w:b w:val="0"/>
          <w:bCs/>
          <w:i w:val="0"/>
          <w:iCs w:val="0"/>
          <w:color w:val="auto"/>
          <w:sz w:val="32"/>
          <w:szCs w:val="32"/>
          <w:highlight w:val="none"/>
          <w:u w:val="none"/>
          <w:lang w:val="en-US" w:eastAsia="zh-CN"/>
        </w:rPr>
      </w:pPr>
      <w:r>
        <w:rPr>
          <w:rFonts w:hint="eastAsia" w:ascii="仿宋" w:hAnsi="仿宋" w:eastAsia="仿宋" w:cs="仿宋"/>
          <w:b w:val="0"/>
          <w:bCs/>
          <w:color w:val="auto"/>
          <w:sz w:val="32"/>
          <w:szCs w:val="32"/>
          <w:highlight w:val="none"/>
          <w:shd w:val="clear" w:color="auto" w:fill="FFFFFF"/>
        </w:rPr>
        <w:t>（1）一般公共服务支出</w:t>
      </w:r>
      <w:r>
        <w:rPr>
          <w:rFonts w:hint="eastAsia" w:ascii="仿宋" w:hAnsi="仿宋" w:eastAsia="仿宋" w:cs="仿宋"/>
          <w:b w:val="0"/>
          <w:bCs/>
          <w:color w:val="auto"/>
          <w:sz w:val="32"/>
          <w:szCs w:val="32"/>
          <w:highlight w:val="none"/>
        </w:rPr>
        <w:t>175.59</w:t>
      </w:r>
      <w:r>
        <w:rPr>
          <w:rFonts w:hint="eastAsia" w:ascii="仿宋" w:hAnsi="仿宋" w:eastAsia="仿宋" w:cs="仿宋"/>
          <w:b w:val="0"/>
          <w:bCs/>
          <w:color w:val="auto"/>
          <w:sz w:val="32"/>
          <w:szCs w:val="32"/>
          <w:highlight w:val="none"/>
          <w:shd w:val="clear" w:color="auto" w:fill="FFFFFF"/>
        </w:rPr>
        <w:t>万元，占</w:t>
      </w:r>
      <w:r>
        <w:rPr>
          <w:rFonts w:hint="eastAsia" w:ascii="仿宋" w:hAnsi="仿宋" w:eastAsia="仿宋" w:cs="仿宋"/>
          <w:b w:val="0"/>
          <w:bCs/>
          <w:color w:val="auto"/>
          <w:sz w:val="32"/>
          <w:szCs w:val="32"/>
          <w:highlight w:val="none"/>
        </w:rPr>
        <w:t>76.26</w:t>
      </w:r>
      <w:r>
        <w:rPr>
          <w:rFonts w:hint="eastAsia" w:ascii="仿宋" w:hAnsi="仿宋" w:eastAsia="仿宋" w:cs="仿宋"/>
          <w:b w:val="0"/>
          <w:bCs/>
          <w:color w:val="auto"/>
          <w:sz w:val="32"/>
          <w:szCs w:val="32"/>
          <w:highlight w:val="none"/>
          <w:shd w:val="clear" w:color="auto" w:fill="FFFFFF"/>
        </w:rPr>
        <w:t>%，较年初预算数减少10.86万元，下降5.8%，主要原因是</w:t>
      </w:r>
      <w:r>
        <w:rPr>
          <w:rFonts w:hint="eastAsia" w:ascii="仿宋" w:hAnsi="仿宋" w:eastAsia="仿宋" w:cs="仿宋"/>
          <w:b w:val="0"/>
          <w:bCs/>
          <w:i w:val="0"/>
          <w:iCs w:val="0"/>
          <w:color w:val="auto"/>
          <w:sz w:val="32"/>
          <w:szCs w:val="32"/>
          <w:highlight w:val="none"/>
          <w:u w:val="none"/>
          <w:lang w:val="en-US" w:eastAsia="zh-CN"/>
        </w:rPr>
        <w:t>2024年度12月统发工资指标追加，年底根据要求回收了超额绩效和结算支出。</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仿宋" w:hAnsi="仿宋" w:eastAsia="仿宋" w:cs="仿宋"/>
          <w:b w:val="0"/>
          <w:bCs/>
          <w:i w:val="0"/>
          <w:iCs w:val="0"/>
          <w:color w:val="auto"/>
          <w:kern w:val="0"/>
          <w:sz w:val="32"/>
          <w:szCs w:val="32"/>
          <w:highlight w:val="none"/>
          <w:u w:val="none"/>
          <w:lang w:val="en-US" w:eastAsia="zh-CN" w:bidi="ar"/>
        </w:rPr>
      </w:pPr>
      <w:r>
        <w:rPr>
          <w:rFonts w:hint="eastAsia" w:ascii="仿宋" w:hAnsi="仿宋" w:eastAsia="仿宋" w:cs="仿宋"/>
          <w:b w:val="0"/>
          <w:bCs/>
          <w:color w:val="auto"/>
          <w:sz w:val="32"/>
          <w:szCs w:val="32"/>
          <w:highlight w:val="none"/>
          <w:shd w:val="clear" w:color="auto" w:fill="FFFFFF"/>
        </w:rPr>
        <w:t>（</w:t>
      </w:r>
      <w:r>
        <w:rPr>
          <w:rFonts w:hint="eastAsia" w:ascii="仿宋" w:hAnsi="仿宋" w:eastAsia="仿宋" w:cs="仿宋"/>
          <w:b w:val="0"/>
          <w:bCs/>
          <w:color w:val="auto"/>
          <w:sz w:val="32"/>
          <w:szCs w:val="32"/>
          <w:highlight w:val="none"/>
          <w:shd w:val="clear" w:color="auto" w:fill="FFFFFF"/>
          <w:lang w:val="en-US" w:eastAsia="zh-CN"/>
        </w:rPr>
        <w:t>2</w:t>
      </w:r>
      <w:r>
        <w:rPr>
          <w:rFonts w:hint="eastAsia" w:ascii="仿宋" w:hAnsi="仿宋" w:eastAsia="仿宋" w:cs="仿宋"/>
          <w:b w:val="0"/>
          <w:bCs/>
          <w:color w:val="auto"/>
          <w:sz w:val="32"/>
          <w:szCs w:val="32"/>
          <w:highlight w:val="none"/>
          <w:shd w:val="clear" w:color="auto" w:fill="FFFFFF"/>
        </w:rPr>
        <w:t>）社会保障与就业支出</w:t>
      </w:r>
      <w:r>
        <w:rPr>
          <w:rFonts w:hint="eastAsia" w:ascii="仿宋" w:hAnsi="仿宋" w:eastAsia="仿宋" w:cs="仿宋"/>
          <w:b w:val="0"/>
          <w:bCs/>
          <w:color w:val="auto"/>
          <w:sz w:val="32"/>
          <w:szCs w:val="32"/>
          <w:highlight w:val="none"/>
        </w:rPr>
        <w:t>33.15</w:t>
      </w:r>
      <w:r>
        <w:rPr>
          <w:rFonts w:hint="eastAsia" w:ascii="仿宋" w:hAnsi="仿宋" w:eastAsia="仿宋" w:cs="仿宋"/>
          <w:b w:val="0"/>
          <w:bCs/>
          <w:color w:val="auto"/>
          <w:sz w:val="32"/>
          <w:szCs w:val="32"/>
          <w:highlight w:val="none"/>
          <w:shd w:val="clear" w:color="auto" w:fill="FFFFFF"/>
        </w:rPr>
        <w:t>万元，占</w:t>
      </w:r>
      <w:r>
        <w:rPr>
          <w:rFonts w:hint="eastAsia" w:ascii="仿宋" w:hAnsi="仿宋" w:eastAsia="仿宋" w:cs="仿宋"/>
          <w:b w:val="0"/>
          <w:bCs/>
          <w:color w:val="auto"/>
          <w:sz w:val="32"/>
          <w:szCs w:val="32"/>
          <w:highlight w:val="none"/>
        </w:rPr>
        <w:t>14.40</w:t>
      </w:r>
      <w:r>
        <w:rPr>
          <w:rFonts w:hint="eastAsia" w:ascii="仿宋" w:hAnsi="仿宋" w:eastAsia="仿宋" w:cs="仿宋"/>
          <w:b w:val="0"/>
          <w:bCs/>
          <w:color w:val="auto"/>
          <w:sz w:val="32"/>
          <w:szCs w:val="32"/>
          <w:highlight w:val="none"/>
          <w:shd w:val="clear" w:color="auto" w:fill="FFFFFF"/>
        </w:rPr>
        <w:t>%，较年初预算数增加9.67万元，增长41.2%，主要原因是</w:t>
      </w:r>
      <w:r>
        <w:rPr>
          <w:rFonts w:hint="eastAsia" w:ascii="仿宋" w:hAnsi="仿宋" w:eastAsia="仿宋" w:cs="仿宋"/>
          <w:b w:val="0"/>
          <w:bCs/>
          <w:i w:val="0"/>
          <w:iCs w:val="0"/>
          <w:color w:val="auto"/>
          <w:sz w:val="32"/>
          <w:szCs w:val="32"/>
          <w:highlight w:val="none"/>
          <w:u w:val="none"/>
          <w:lang w:val="en-US" w:eastAsia="zh-CN"/>
        </w:rPr>
        <w:t>县级财力2024年结算支出追加</w:t>
      </w:r>
      <w:r>
        <w:rPr>
          <w:rFonts w:hint="eastAsia" w:ascii="仿宋" w:hAnsi="仿宋" w:eastAsia="仿宋" w:cs="仿宋"/>
          <w:b w:val="0"/>
          <w:bCs/>
          <w:i w:val="0"/>
          <w:iCs w:val="0"/>
          <w:color w:val="auto"/>
          <w:kern w:val="0"/>
          <w:sz w:val="32"/>
          <w:szCs w:val="32"/>
          <w:highlight w:val="none"/>
          <w:u w:val="none"/>
          <w:lang w:val="en-US" w:eastAsia="zh-CN" w:bidi="ar"/>
        </w:rPr>
        <w:t>。</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仿宋" w:hAnsi="仿宋" w:eastAsia="仿宋" w:cs="仿宋"/>
          <w:b w:val="0"/>
          <w:bCs/>
          <w:color w:val="auto"/>
          <w:sz w:val="32"/>
          <w:szCs w:val="32"/>
          <w:highlight w:val="none"/>
          <w:lang w:eastAsia="zh-CN"/>
        </w:rPr>
      </w:pPr>
      <w:r>
        <w:rPr>
          <w:rFonts w:hint="eastAsia" w:ascii="仿宋" w:hAnsi="仿宋" w:eastAsia="仿宋" w:cs="仿宋"/>
          <w:b w:val="0"/>
          <w:bCs/>
          <w:color w:val="auto"/>
          <w:sz w:val="32"/>
          <w:szCs w:val="32"/>
          <w:highlight w:val="none"/>
          <w:shd w:val="clear" w:color="auto" w:fill="FFFFFF"/>
        </w:rPr>
        <w:t>（</w:t>
      </w:r>
      <w:r>
        <w:rPr>
          <w:rFonts w:hint="eastAsia" w:ascii="仿宋" w:hAnsi="仿宋" w:eastAsia="仿宋" w:cs="仿宋"/>
          <w:b w:val="0"/>
          <w:bCs/>
          <w:color w:val="auto"/>
          <w:sz w:val="32"/>
          <w:szCs w:val="32"/>
          <w:highlight w:val="none"/>
          <w:shd w:val="clear" w:color="auto" w:fill="FFFFFF"/>
          <w:lang w:val="en-US" w:eastAsia="zh-CN"/>
        </w:rPr>
        <w:t>3</w:t>
      </w:r>
      <w:r>
        <w:rPr>
          <w:rFonts w:hint="eastAsia" w:ascii="仿宋" w:hAnsi="仿宋" w:eastAsia="仿宋" w:cs="仿宋"/>
          <w:b w:val="0"/>
          <w:bCs/>
          <w:color w:val="auto"/>
          <w:sz w:val="32"/>
          <w:szCs w:val="32"/>
          <w:highlight w:val="none"/>
          <w:shd w:val="clear" w:color="auto" w:fill="FFFFFF"/>
        </w:rPr>
        <w:t>）卫生健康支出</w:t>
      </w:r>
      <w:r>
        <w:rPr>
          <w:rFonts w:hint="eastAsia" w:ascii="仿宋" w:hAnsi="仿宋" w:eastAsia="仿宋" w:cs="仿宋"/>
          <w:b w:val="0"/>
          <w:bCs/>
          <w:color w:val="auto"/>
          <w:sz w:val="32"/>
          <w:szCs w:val="32"/>
          <w:highlight w:val="none"/>
        </w:rPr>
        <w:t>9.78</w:t>
      </w:r>
      <w:r>
        <w:rPr>
          <w:rFonts w:hint="eastAsia" w:ascii="仿宋" w:hAnsi="仿宋" w:eastAsia="仿宋" w:cs="仿宋"/>
          <w:b w:val="0"/>
          <w:bCs/>
          <w:color w:val="auto"/>
          <w:sz w:val="32"/>
          <w:szCs w:val="32"/>
          <w:highlight w:val="none"/>
          <w:shd w:val="clear" w:color="auto" w:fill="FFFFFF"/>
        </w:rPr>
        <w:t>万元，占</w:t>
      </w:r>
      <w:r>
        <w:rPr>
          <w:rFonts w:hint="eastAsia" w:ascii="仿宋" w:hAnsi="仿宋" w:eastAsia="仿宋" w:cs="仿宋"/>
          <w:b w:val="0"/>
          <w:bCs/>
          <w:color w:val="auto"/>
          <w:sz w:val="32"/>
          <w:szCs w:val="32"/>
          <w:highlight w:val="none"/>
        </w:rPr>
        <w:t>4.25</w:t>
      </w:r>
      <w:r>
        <w:rPr>
          <w:rFonts w:hint="eastAsia" w:ascii="仿宋" w:hAnsi="仿宋" w:eastAsia="仿宋" w:cs="仿宋"/>
          <w:b w:val="0"/>
          <w:bCs/>
          <w:color w:val="auto"/>
          <w:sz w:val="32"/>
          <w:szCs w:val="32"/>
          <w:highlight w:val="none"/>
          <w:shd w:val="clear" w:color="auto" w:fill="FFFFFF"/>
        </w:rPr>
        <w:t>%，较年初预算数无增减</w:t>
      </w:r>
      <w:r>
        <w:rPr>
          <w:rFonts w:hint="eastAsia" w:ascii="仿宋" w:hAnsi="仿宋" w:eastAsia="仿宋" w:cs="仿宋"/>
          <w:b w:val="0"/>
          <w:bCs/>
          <w:color w:val="auto"/>
          <w:sz w:val="32"/>
          <w:szCs w:val="32"/>
          <w:highlight w:val="none"/>
          <w:shd w:val="clear" w:color="auto" w:fill="FFFFFF"/>
          <w:lang w:eastAsia="zh-CN"/>
        </w:rPr>
        <w:t>。</w:t>
      </w:r>
    </w:p>
    <w:p>
      <w:pPr>
        <w:keepNext w:val="0"/>
        <w:keepLines w:val="0"/>
        <w:pageBreakBefore w:val="0"/>
        <w:widowControl/>
        <w:shd w:val="clear"/>
        <w:kinsoku/>
        <w:wordWrap/>
        <w:overflowPunct/>
        <w:topLinePunct w:val="0"/>
        <w:autoSpaceDN/>
        <w:bidi w:val="0"/>
        <w:adjustRightInd/>
        <w:spacing w:beforeAutospacing="0" w:afterAutospacing="0" w:line="594" w:lineRule="exact"/>
        <w:ind w:firstLine="640" w:firstLineChars="200"/>
        <w:textAlignment w:val="auto"/>
        <w:rPr>
          <w:rFonts w:hint="eastAsia" w:ascii="仿宋" w:hAnsi="仿宋" w:eastAsia="仿宋" w:cs="仿宋"/>
          <w:b w:val="0"/>
          <w:bCs/>
          <w:color w:val="auto"/>
          <w:sz w:val="32"/>
          <w:szCs w:val="32"/>
          <w:highlight w:val="none"/>
          <w:shd w:val="clear" w:color="auto" w:fill="FFFFFF"/>
          <w:lang w:eastAsia="zh-CN"/>
        </w:rPr>
      </w:pPr>
      <w:r>
        <w:rPr>
          <w:rFonts w:hint="eastAsia" w:ascii="仿宋" w:hAnsi="仿宋" w:eastAsia="仿宋" w:cs="仿宋"/>
          <w:b w:val="0"/>
          <w:bCs/>
          <w:color w:val="auto"/>
          <w:sz w:val="32"/>
          <w:szCs w:val="32"/>
          <w:highlight w:val="none"/>
          <w:shd w:val="clear" w:color="auto" w:fill="FFFFFF"/>
        </w:rPr>
        <w:t>（</w:t>
      </w:r>
      <w:r>
        <w:rPr>
          <w:rFonts w:hint="eastAsia" w:ascii="仿宋" w:hAnsi="仿宋" w:eastAsia="仿宋" w:cs="仿宋"/>
          <w:b w:val="0"/>
          <w:bCs/>
          <w:color w:val="auto"/>
          <w:sz w:val="32"/>
          <w:szCs w:val="32"/>
          <w:highlight w:val="none"/>
          <w:shd w:val="clear" w:color="auto" w:fill="FFFFFF"/>
          <w:lang w:val="en-US" w:eastAsia="zh-CN"/>
        </w:rPr>
        <w:t>4</w:t>
      </w:r>
      <w:r>
        <w:rPr>
          <w:rFonts w:hint="eastAsia" w:ascii="仿宋" w:hAnsi="仿宋" w:eastAsia="仿宋" w:cs="仿宋"/>
          <w:b w:val="0"/>
          <w:bCs/>
          <w:color w:val="auto"/>
          <w:sz w:val="32"/>
          <w:szCs w:val="32"/>
          <w:highlight w:val="none"/>
          <w:shd w:val="clear" w:color="auto" w:fill="FFFFFF"/>
        </w:rPr>
        <w:t>）</w:t>
      </w:r>
      <w:r>
        <w:rPr>
          <w:rFonts w:hint="eastAsia" w:ascii="仿宋" w:hAnsi="仿宋" w:eastAsia="仿宋" w:cs="仿宋"/>
          <w:b w:val="0"/>
          <w:bCs/>
          <w:color w:val="auto"/>
          <w:sz w:val="32"/>
          <w:szCs w:val="32"/>
          <w:highlight w:val="none"/>
        </w:rPr>
        <w:t>住房保障支出11.74</w:t>
      </w:r>
      <w:r>
        <w:rPr>
          <w:rFonts w:hint="eastAsia" w:ascii="仿宋" w:hAnsi="仿宋" w:eastAsia="仿宋" w:cs="仿宋"/>
          <w:b w:val="0"/>
          <w:bCs/>
          <w:color w:val="auto"/>
          <w:sz w:val="32"/>
          <w:szCs w:val="32"/>
          <w:highlight w:val="none"/>
          <w:shd w:val="clear" w:color="auto" w:fill="FFFFFF"/>
        </w:rPr>
        <w:t>万元，占</w:t>
      </w:r>
      <w:r>
        <w:rPr>
          <w:rFonts w:hint="eastAsia" w:ascii="仿宋" w:hAnsi="仿宋" w:eastAsia="仿宋" w:cs="仿宋"/>
          <w:b w:val="0"/>
          <w:bCs/>
          <w:color w:val="auto"/>
          <w:sz w:val="32"/>
          <w:szCs w:val="32"/>
          <w:highlight w:val="none"/>
        </w:rPr>
        <w:t>5.10</w:t>
      </w:r>
      <w:r>
        <w:rPr>
          <w:rFonts w:hint="eastAsia" w:ascii="仿宋" w:hAnsi="仿宋" w:eastAsia="仿宋" w:cs="仿宋"/>
          <w:b w:val="0"/>
          <w:bCs/>
          <w:color w:val="auto"/>
          <w:sz w:val="32"/>
          <w:szCs w:val="32"/>
          <w:highlight w:val="none"/>
          <w:shd w:val="clear" w:color="auto" w:fill="FFFFFF"/>
        </w:rPr>
        <w:t>%，较年初预算数无增减</w:t>
      </w:r>
      <w:r>
        <w:rPr>
          <w:rFonts w:hint="eastAsia" w:ascii="仿宋" w:hAnsi="仿宋" w:eastAsia="仿宋" w:cs="仿宋"/>
          <w:b w:val="0"/>
          <w:bCs/>
          <w:color w:val="auto"/>
          <w:sz w:val="32"/>
          <w:szCs w:val="32"/>
          <w:highlight w:val="none"/>
          <w:shd w:val="clear" w:color="auto" w:fill="FFFFFF"/>
          <w:lang w:eastAsia="zh-CN"/>
        </w:rPr>
        <w:t>。</w:t>
      </w:r>
    </w:p>
    <w:p>
      <w:pPr>
        <w:pStyle w:val="11"/>
        <w:keepNext w:val="0"/>
        <w:keepLines w:val="0"/>
        <w:pageBreakBefore w:val="0"/>
        <w:widowControl/>
        <w:shd w:val="clear"/>
        <w:kinsoku/>
        <w:wordWrap/>
        <w:overflowPunct/>
        <w:topLinePunct w:val="0"/>
        <w:autoSpaceDE w:val="0"/>
        <w:autoSpaceDN/>
        <w:bidi w:val="0"/>
        <w:adjustRightInd/>
        <w:spacing w:beforeAutospacing="0" w:afterAutospacing="0" w:line="594" w:lineRule="exact"/>
        <w:ind w:firstLine="643"/>
        <w:textAlignment w:val="auto"/>
        <w:rPr>
          <w:rFonts w:hint="eastAsia" w:ascii="楷体" w:hAnsi="楷体" w:eastAsia="楷体" w:cs="楷体"/>
          <w:b w:val="0"/>
          <w:bCs/>
          <w:color w:val="auto"/>
          <w:sz w:val="32"/>
          <w:szCs w:val="32"/>
          <w:highlight w:val="none"/>
          <w:shd w:val="clear" w:color="auto" w:fill="FFFFFF"/>
        </w:rPr>
      </w:pPr>
      <w:r>
        <w:rPr>
          <w:rFonts w:hint="eastAsia" w:ascii="楷体" w:hAnsi="楷体" w:eastAsia="楷体" w:cs="楷体"/>
          <w:b w:val="0"/>
          <w:bCs/>
          <w:color w:val="auto"/>
          <w:sz w:val="32"/>
          <w:szCs w:val="32"/>
          <w:highlight w:val="none"/>
          <w:shd w:val="clear" w:color="auto" w:fill="FFFFFF"/>
        </w:rPr>
        <w:t>（四）一般公共预算财政拨款基本支出决算情况说明</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仿宋" w:hAnsi="仿宋" w:eastAsia="仿宋" w:cs="仿宋"/>
          <w:b w:val="0"/>
          <w:bCs/>
          <w:color w:val="auto"/>
          <w:sz w:val="32"/>
          <w:szCs w:val="32"/>
          <w:highlight w:val="none"/>
          <w:lang w:eastAsia="zh-CN"/>
        </w:rPr>
      </w:pPr>
      <w:r>
        <w:rPr>
          <w:rFonts w:hint="eastAsia" w:ascii="仿宋" w:hAnsi="仿宋" w:eastAsia="仿宋" w:cs="仿宋"/>
          <w:b w:val="0"/>
          <w:bCs/>
          <w:color w:val="auto"/>
          <w:sz w:val="32"/>
          <w:szCs w:val="32"/>
          <w:highlight w:val="none"/>
          <w:shd w:val="clear" w:color="auto" w:fill="FFFFFF"/>
          <w:lang w:eastAsia="zh-CN"/>
        </w:rPr>
        <w:t>2024年</w:t>
      </w:r>
      <w:r>
        <w:rPr>
          <w:rFonts w:hint="eastAsia" w:ascii="仿宋" w:hAnsi="仿宋" w:eastAsia="仿宋" w:cs="仿宋"/>
          <w:b w:val="0"/>
          <w:bCs/>
          <w:color w:val="auto"/>
          <w:sz w:val="32"/>
          <w:szCs w:val="32"/>
          <w:highlight w:val="none"/>
          <w:shd w:val="clear" w:color="auto" w:fill="FFFFFF"/>
        </w:rPr>
        <w:t>度一般公共财政拨款基本支出</w:t>
      </w:r>
      <w:r>
        <w:rPr>
          <w:rFonts w:hint="eastAsia" w:ascii="仿宋" w:hAnsi="仿宋" w:eastAsia="仿宋" w:cs="仿宋"/>
          <w:b w:val="0"/>
          <w:bCs/>
          <w:color w:val="auto"/>
          <w:sz w:val="32"/>
          <w:szCs w:val="32"/>
          <w:highlight w:val="none"/>
        </w:rPr>
        <w:t>230.27</w:t>
      </w:r>
      <w:r>
        <w:rPr>
          <w:rFonts w:hint="eastAsia" w:ascii="仿宋" w:hAnsi="仿宋" w:eastAsia="仿宋" w:cs="仿宋"/>
          <w:b w:val="0"/>
          <w:bCs/>
          <w:color w:val="auto"/>
          <w:sz w:val="32"/>
          <w:szCs w:val="32"/>
          <w:highlight w:val="none"/>
          <w:shd w:val="clear" w:color="auto" w:fill="FFFFFF"/>
        </w:rPr>
        <w:t>万元。其中：人员经费</w:t>
      </w:r>
      <w:r>
        <w:rPr>
          <w:rFonts w:hint="eastAsia" w:ascii="仿宋" w:hAnsi="仿宋" w:eastAsia="仿宋" w:cs="仿宋"/>
          <w:b w:val="0"/>
          <w:bCs/>
          <w:color w:val="auto"/>
          <w:sz w:val="32"/>
          <w:szCs w:val="32"/>
          <w:highlight w:val="none"/>
        </w:rPr>
        <w:t>205.65</w:t>
      </w:r>
      <w:r>
        <w:rPr>
          <w:rFonts w:hint="eastAsia" w:ascii="仿宋" w:hAnsi="仿宋" w:eastAsia="仿宋" w:cs="仿宋"/>
          <w:b w:val="0"/>
          <w:bCs/>
          <w:color w:val="auto"/>
          <w:sz w:val="32"/>
          <w:szCs w:val="32"/>
          <w:highlight w:val="none"/>
          <w:shd w:val="clear" w:color="auto" w:fill="FFFFFF"/>
        </w:rPr>
        <w:t>万元，与2023年度相比，增加205.65万元，增长100.0%，主要原因是</w:t>
      </w:r>
      <w:r>
        <w:rPr>
          <w:rFonts w:hint="eastAsia" w:ascii="仿宋" w:hAnsi="仿宋" w:eastAsia="仿宋" w:cs="仿宋"/>
          <w:b w:val="0"/>
          <w:bCs/>
          <w:i w:val="0"/>
          <w:iCs w:val="0"/>
          <w:color w:val="auto"/>
          <w:kern w:val="0"/>
          <w:sz w:val="32"/>
          <w:szCs w:val="32"/>
          <w:highlight w:val="none"/>
          <w:u w:val="none"/>
          <w:lang w:val="en-US" w:eastAsia="zh-CN" w:bidi="ar"/>
        </w:rPr>
        <w:t>2024年农业服务中心为新增编报单位，上年数为0，本年数据比上年有所增加。</w:t>
      </w:r>
      <w:r>
        <w:rPr>
          <w:rFonts w:hint="eastAsia" w:ascii="仿宋" w:hAnsi="仿宋" w:eastAsia="仿宋" w:cs="仿宋"/>
          <w:b w:val="0"/>
          <w:bCs/>
          <w:color w:val="auto"/>
          <w:sz w:val="32"/>
          <w:szCs w:val="32"/>
          <w:highlight w:val="none"/>
          <w:shd w:val="clear" w:color="auto" w:fill="FFFFFF"/>
        </w:rPr>
        <w:t>人员经费用途主要包括基本工资、津贴补贴、奖金、其他社会保障缴费、机关事业单位基本养老保险费、职业年金缴费、职工基本医疗保险缴费、绩效工资、住房公积金及其他工资福利支出等</w:t>
      </w:r>
      <w:r>
        <w:rPr>
          <w:rFonts w:hint="eastAsia" w:ascii="仿宋" w:hAnsi="仿宋" w:eastAsia="仿宋" w:cs="仿宋"/>
          <w:b w:val="0"/>
          <w:bCs/>
          <w:color w:val="auto"/>
          <w:sz w:val="32"/>
          <w:szCs w:val="32"/>
          <w:highlight w:val="none"/>
          <w:shd w:val="clear" w:color="auto" w:fill="FFFFFF"/>
          <w:lang w:eastAsia="zh-CN"/>
        </w:rPr>
        <w:t>。</w:t>
      </w:r>
      <w:r>
        <w:rPr>
          <w:rFonts w:hint="eastAsia" w:ascii="仿宋" w:hAnsi="仿宋" w:eastAsia="仿宋" w:cs="仿宋"/>
          <w:b w:val="0"/>
          <w:bCs/>
          <w:color w:val="auto"/>
          <w:sz w:val="32"/>
          <w:szCs w:val="32"/>
          <w:highlight w:val="none"/>
          <w:shd w:val="clear" w:color="auto" w:fill="FFFFFF"/>
        </w:rPr>
        <w:t>公用经费</w:t>
      </w:r>
      <w:r>
        <w:rPr>
          <w:rFonts w:hint="eastAsia" w:ascii="仿宋" w:hAnsi="仿宋" w:eastAsia="仿宋" w:cs="仿宋"/>
          <w:b w:val="0"/>
          <w:bCs/>
          <w:color w:val="auto"/>
          <w:sz w:val="32"/>
          <w:szCs w:val="32"/>
          <w:highlight w:val="none"/>
        </w:rPr>
        <w:t>24.61</w:t>
      </w:r>
      <w:r>
        <w:rPr>
          <w:rFonts w:hint="eastAsia" w:ascii="仿宋" w:hAnsi="仿宋" w:eastAsia="仿宋" w:cs="仿宋"/>
          <w:b w:val="0"/>
          <w:bCs/>
          <w:color w:val="auto"/>
          <w:sz w:val="32"/>
          <w:szCs w:val="32"/>
          <w:highlight w:val="none"/>
          <w:shd w:val="clear" w:color="auto" w:fill="FFFFFF"/>
        </w:rPr>
        <w:t>万元，与2023年度相比，增加24.61万元，增长100.0%，主要原因是</w:t>
      </w:r>
      <w:r>
        <w:rPr>
          <w:rFonts w:hint="eastAsia" w:ascii="仿宋" w:hAnsi="仿宋" w:eastAsia="仿宋" w:cs="仿宋"/>
          <w:b w:val="0"/>
          <w:bCs/>
          <w:i w:val="0"/>
          <w:iCs w:val="0"/>
          <w:color w:val="auto"/>
          <w:kern w:val="0"/>
          <w:sz w:val="32"/>
          <w:szCs w:val="32"/>
          <w:highlight w:val="none"/>
          <w:u w:val="none"/>
          <w:lang w:val="en-US" w:eastAsia="zh-CN" w:bidi="ar"/>
        </w:rPr>
        <w:t>2024年农业服务中心为新增编报单位，上年数为0，本年数据比上年有所增加。</w:t>
      </w:r>
      <w:r>
        <w:rPr>
          <w:rFonts w:hint="eastAsia" w:ascii="仿宋" w:hAnsi="仿宋" w:eastAsia="仿宋" w:cs="仿宋"/>
          <w:b w:val="0"/>
          <w:bCs/>
          <w:color w:val="auto"/>
          <w:sz w:val="32"/>
          <w:szCs w:val="32"/>
          <w:highlight w:val="none"/>
          <w:shd w:val="clear" w:color="auto" w:fill="FFFFFF"/>
        </w:rPr>
        <w:t>公用经费用途主要包括办公费、手续费、水电费、邮电费、差旅费、会议费、三公经费、福利费、工会经费及其他交通费用等</w:t>
      </w:r>
      <w:r>
        <w:rPr>
          <w:rFonts w:hint="eastAsia" w:ascii="仿宋" w:hAnsi="仿宋" w:eastAsia="仿宋" w:cs="仿宋"/>
          <w:b w:val="0"/>
          <w:bCs/>
          <w:color w:val="auto"/>
          <w:sz w:val="32"/>
          <w:szCs w:val="32"/>
          <w:highlight w:val="none"/>
          <w:shd w:val="clear" w:color="auto" w:fill="FFFFFF"/>
          <w:lang w:eastAsia="zh-CN"/>
        </w:rPr>
        <w:t>。</w:t>
      </w:r>
    </w:p>
    <w:p>
      <w:pPr>
        <w:pStyle w:val="11"/>
        <w:keepNext w:val="0"/>
        <w:keepLines w:val="0"/>
        <w:pageBreakBefore w:val="0"/>
        <w:widowControl/>
        <w:shd w:val="clear"/>
        <w:kinsoku/>
        <w:wordWrap/>
        <w:overflowPunct/>
        <w:topLinePunct w:val="0"/>
        <w:autoSpaceDE w:val="0"/>
        <w:autoSpaceDN/>
        <w:bidi w:val="0"/>
        <w:adjustRightInd/>
        <w:spacing w:beforeAutospacing="0" w:afterAutospacing="0" w:line="594" w:lineRule="exact"/>
        <w:ind w:firstLine="643"/>
        <w:textAlignment w:val="auto"/>
        <w:rPr>
          <w:rStyle w:val="10"/>
          <w:rFonts w:hint="eastAsia" w:ascii="楷体" w:hAnsi="楷体" w:eastAsia="楷体" w:cs="楷体"/>
          <w:b w:val="0"/>
          <w:bCs/>
          <w:color w:val="auto"/>
          <w:sz w:val="32"/>
          <w:szCs w:val="32"/>
          <w:highlight w:val="none"/>
          <w:shd w:val="clear" w:color="auto" w:fill="FFFFFF"/>
          <w:lang w:val="en-US" w:eastAsia="zh-CN" w:bidi="ar-SA"/>
        </w:rPr>
      </w:pPr>
      <w:r>
        <w:rPr>
          <w:rStyle w:val="10"/>
          <w:rFonts w:hint="eastAsia" w:ascii="楷体" w:hAnsi="楷体" w:eastAsia="楷体" w:cs="楷体"/>
          <w:b w:val="0"/>
          <w:bCs/>
          <w:color w:val="auto"/>
          <w:sz w:val="32"/>
          <w:szCs w:val="32"/>
          <w:highlight w:val="none"/>
          <w:shd w:val="clear" w:color="auto" w:fill="FFFFFF"/>
          <w:lang w:val="en-US" w:eastAsia="zh-CN" w:bidi="ar-SA"/>
        </w:rPr>
        <w:t>（五）政府性基金预算收支决算情况说明</w:t>
      </w:r>
    </w:p>
    <w:p>
      <w:pPr>
        <w:pStyle w:val="11"/>
        <w:keepNext w:val="0"/>
        <w:keepLines w:val="0"/>
        <w:pageBreakBefore w:val="0"/>
        <w:widowControl/>
        <w:numPr>
          <w:ilvl w:val="0"/>
          <w:numId w:val="0"/>
        </w:numPr>
        <w:shd w:val="clear"/>
        <w:kinsoku/>
        <w:wordWrap/>
        <w:overflowPunct/>
        <w:topLinePunct w:val="0"/>
        <w:autoSpaceDE w:val="0"/>
        <w:autoSpaceDN/>
        <w:bidi w:val="0"/>
        <w:adjustRightInd/>
        <w:spacing w:beforeAutospacing="0" w:afterAutospacing="0" w:line="594" w:lineRule="exact"/>
        <w:ind w:firstLine="640" w:firstLineChars="200"/>
        <w:textAlignment w:val="auto"/>
        <w:rPr>
          <w:rFonts w:hint="eastAsia" w:ascii="仿宋" w:hAnsi="仿宋" w:eastAsia="仿宋" w:cs="仿宋"/>
          <w:b w:val="0"/>
          <w:bCs/>
          <w:color w:val="auto"/>
          <w:sz w:val="32"/>
          <w:szCs w:val="32"/>
          <w:highlight w:val="none"/>
          <w:shd w:val="clear" w:color="auto" w:fill="FFFFFF"/>
          <w:lang w:val="en-US" w:eastAsia="zh-CN" w:bidi="ar-SA"/>
        </w:rPr>
      </w:pPr>
      <w:r>
        <w:rPr>
          <w:rFonts w:hint="eastAsia" w:ascii="仿宋" w:hAnsi="仿宋" w:eastAsia="仿宋" w:cs="仿宋"/>
          <w:b w:val="0"/>
          <w:bCs/>
          <w:color w:val="auto"/>
          <w:sz w:val="32"/>
          <w:szCs w:val="32"/>
          <w:highlight w:val="none"/>
          <w:shd w:val="clear" w:color="auto" w:fill="FFFFFF"/>
          <w:lang w:val="en-US" w:eastAsia="zh-CN" w:bidi="ar-SA"/>
        </w:rPr>
        <w:t>本单位2024年度无政府性基金预算财政拨款收支。</w:t>
      </w:r>
    </w:p>
    <w:p>
      <w:pPr>
        <w:pStyle w:val="11"/>
        <w:keepNext w:val="0"/>
        <w:keepLines w:val="0"/>
        <w:pageBreakBefore w:val="0"/>
        <w:widowControl/>
        <w:shd w:val="clear"/>
        <w:kinsoku/>
        <w:wordWrap/>
        <w:overflowPunct/>
        <w:topLinePunct w:val="0"/>
        <w:autoSpaceDE w:val="0"/>
        <w:autoSpaceDN/>
        <w:bidi w:val="0"/>
        <w:adjustRightInd/>
        <w:spacing w:beforeAutospacing="0" w:afterAutospacing="0" w:line="594" w:lineRule="exact"/>
        <w:ind w:firstLine="643"/>
        <w:textAlignment w:val="auto"/>
        <w:rPr>
          <w:rStyle w:val="10"/>
          <w:rFonts w:hint="eastAsia" w:ascii="楷体" w:hAnsi="楷体" w:eastAsia="楷体" w:cs="楷体"/>
          <w:b w:val="0"/>
          <w:bCs/>
          <w:color w:val="auto"/>
          <w:sz w:val="32"/>
          <w:szCs w:val="32"/>
          <w:highlight w:val="none"/>
          <w:shd w:val="clear" w:color="auto" w:fill="FFFFFF"/>
          <w:lang w:val="en-US" w:eastAsia="zh-CN" w:bidi="ar-SA"/>
        </w:rPr>
      </w:pPr>
      <w:r>
        <w:rPr>
          <w:rStyle w:val="10"/>
          <w:rFonts w:hint="eastAsia" w:ascii="楷体" w:hAnsi="楷体" w:eastAsia="楷体" w:cs="楷体"/>
          <w:b w:val="0"/>
          <w:bCs/>
          <w:color w:val="auto"/>
          <w:sz w:val="32"/>
          <w:szCs w:val="32"/>
          <w:highlight w:val="none"/>
          <w:shd w:val="clear" w:color="auto" w:fill="FFFFFF"/>
          <w:lang w:val="en-US" w:eastAsia="zh-CN" w:bidi="ar-SA"/>
        </w:rPr>
        <w:t>（六）国有资本经营预算财政拨款支出决算情况说明</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4" w:lineRule="exact"/>
        <w:ind w:left="638" w:leftChars="266" w:firstLine="0" w:firstLineChars="0"/>
        <w:textAlignment w:val="auto"/>
        <w:rPr>
          <w:rStyle w:val="10"/>
          <w:rFonts w:hint="eastAsia" w:ascii="仿宋" w:hAnsi="仿宋" w:eastAsia="仿宋" w:cs="仿宋"/>
          <w:b w:val="0"/>
          <w:bCs/>
          <w:color w:val="auto"/>
          <w:sz w:val="32"/>
          <w:szCs w:val="32"/>
          <w:highlight w:val="none"/>
          <w:shd w:val="clear" w:color="auto" w:fill="FFFFFF"/>
        </w:rPr>
      </w:pPr>
      <w:r>
        <w:rPr>
          <w:rFonts w:hint="eastAsia" w:ascii="仿宋" w:hAnsi="仿宋" w:eastAsia="仿宋" w:cs="仿宋"/>
          <w:b w:val="0"/>
          <w:bCs/>
          <w:color w:val="auto"/>
          <w:sz w:val="32"/>
          <w:szCs w:val="32"/>
          <w:highlight w:val="none"/>
          <w:shd w:val="clear" w:color="auto" w:fill="FFFFFF"/>
          <w:lang w:val="en-US" w:eastAsia="zh-CN" w:bidi="ar-SA"/>
        </w:rPr>
        <w:t>本单位2024年度无国有资本经营预算财政拨款支出。</w:t>
      </w:r>
      <w:r>
        <w:rPr>
          <w:rStyle w:val="10"/>
          <w:rFonts w:hint="eastAsia" w:ascii="黑体" w:hAnsi="黑体" w:eastAsia="黑体" w:cs="黑体"/>
          <w:b w:val="0"/>
          <w:bCs/>
          <w:color w:val="auto"/>
          <w:sz w:val="32"/>
          <w:szCs w:val="32"/>
          <w:highlight w:val="none"/>
          <w:shd w:val="clear" w:color="auto" w:fill="FFFFFF"/>
        </w:rPr>
        <w:t>三、</w:t>
      </w:r>
      <w:r>
        <w:rPr>
          <w:rStyle w:val="10"/>
          <w:rFonts w:hint="eastAsia" w:ascii="黑体" w:hAnsi="黑体" w:eastAsia="黑体" w:cs="黑体"/>
          <w:b w:val="0"/>
          <w:bCs/>
          <w:color w:val="auto"/>
          <w:sz w:val="32"/>
          <w:szCs w:val="32"/>
          <w:highlight w:val="none"/>
          <w:shd w:val="clear" w:color="auto" w:fill="FFFFFF"/>
          <w:lang w:eastAsia="zh-CN"/>
        </w:rPr>
        <w:t>财政拨款</w:t>
      </w:r>
      <w:r>
        <w:rPr>
          <w:rStyle w:val="10"/>
          <w:rFonts w:hint="eastAsia" w:ascii="黑体" w:hAnsi="黑体" w:eastAsia="黑体" w:cs="黑体"/>
          <w:b w:val="0"/>
          <w:bCs/>
          <w:color w:val="auto"/>
          <w:sz w:val="32"/>
          <w:szCs w:val="32"/>
          <w:highlight w:val="none"/>
          <w:shd w:val="clear" w:color="auto" w:fill="FFFFFF"/>
        </w:rPr>
        <w:t>“三公”经费情况说明</w:t>
      </w:r>
    </w:p>
    <w:p>
      <w:pPr>
        <w:pStyle w:val="11"/>
        <w:keepNext w:val="0"/>
        <w:keepLines w:val="0"/>
        <w:pageBreakBefore w:val="0"/>
        <w:widowControl/>
        <w:shd w:val="clear"/>
        <w:kinsoku/>
        <w:wordWrap/>
        <w:overflowPunct/>
        <w:topLinePunct w:val="0"/>
        <w:autoSpaceDE w:val="0"/>
        <w:autoSpaceDN/>
        <w:bidi w:val="0"/>
        <w:adjustRightInd/>
        <w:spacing w:beforeAutospacing="0" w:afterAutospacing="0" w:line="594" w:lineRule="exact"/>
        <w:ind w:firstLine="643"/>
        <w:textAlignment w:val="auto"/>
        <w:rPr>
          <w:rFonts w:hint="eastAsia" w:ascii="仿宋" w:hAnsi="仿宋" w:eastAsia="仿宋" w:cs="仿宋"/>
          <w:b w:val="0"/>
          <w:bCs/>
          <w:color w:val="auto"/>
          <w:sz w:val="32"/>
          <w:szCs w:val="32"/>
          <w:highlight w:val="none"/>
          <w:shd w:val="clear" w:color="auto" w:fill="FFFFFF"/>
        </w:rPr>
      </w:pPr>
      <w:r>
        <w:rPr>
          <w:rFonts w:hint="eastAsia" w:ascii="仿宋" w:hAnsi="仿宋" w:eastAsia="仿宋" w:cs="仿宋"/>
          <w:b w:val="0"/>
          <w:bCs/>
          <w:color w:val="auto"/>
          <w:sz w:val="32"/>
          <w:szCs w:val="32"/>
          <w:highlight w:val="none"/>
          <w:shd w:val="clear" w:color="auto" w:fill="FFFFFF"/>
        </w:rPr>
        <w:t xml:space="preserve"> </w:t>
      </w:r>
      <w:r>
        <w:rPr>
          <w:rStyle w:val="10"/>
          <w:rFonts w:hint="eastAsia" w:ascii="楷体" w:hAnsi="楷体" w:eastAsia="楷体" w:cs="楷体"/>
          <w:b w:val="0"/>
          <w:bCs/>
          <w:color w:val="auto"/>
          <w:sz w:val="32"/>
          <w:szCs w:val="32"/>
          <w:highlight w:val="none"/>
          <w:shd w:val="clear" w:color="auto" w:fill="FFFFFF"/>
          <w:lang w:val="en-US" w:eastAsia="zh-CN" w:bidi="ar-SA"/>
        </w:rPr>
        <w:t>（一）“三公”经费支出总体情况说明</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shd w:val="clear" w:color="auto" w:fill="FFFFFF"/>
          <w:lang w:eastAsia="zh-CN"/>
        </w:rPr>
        <w:t>2024年</w:t>
      </w:r>
      <w:r>
        <w:rPr>
          <w:rFonts w:hint="eastAsia" w:ascii="仿宋" w:hAnsi="仿宋" w:eastAsia="仿宋" w:cs="仿宋"/>
          <w:b w:val="0"/>
          <w:bCs/>
          <w:color w:val="auto"/>
          <w:sz w:val="32"/>
          <w:szCs w:val="32"/>
          <w:highlight w:val="none"/>
          <w:shd w:val="clear" w:color="auto" w:fill="FFFFFF"/>
        </w:rPr>
        <w:t>度“三公”经费支出共计</w:t>
      </w:r>
      <w:r>
        <w:rPr>
          <w:rFonts w:hint="eastAsia" w:ascii="仿宋" w:hAnsi="仿宋" w:eastAsia="仿宋" w:cs="仿宋"/>
          <w:b w:val="0"/>
          <w:bCs/>
          <w:color w:val="auto"/>
          <w:sz w:val="32"/>
          <w:szCs w:val="32"/>
          <w:highlight w:val="none"/>
        </w:rPr>
        <w:t>3.40</w:t>
      </w:r>
      <w:r>
        <w:rPr>
          <w:rFonts w:hint="eastAsia" w:ascii="仿宋" w:hAnsi="仿宋" w:eastAsia="仿宋" w:cs="仿宋"/>
          <w:b w:val="0"/>
          <w:bCs/>
          <w:color w:val="auto"/>
          <w:sz w:val="32"/>
          <w:szCs w:val="32"/>
          <w:highlight w:val="none"/>
          <w:shd w:val="clear" w:color="auto" w:fill="FFFFFF"/>
        </w:rPr>
        <w:t>万元，较年初预算数无增减，主要原因是全年实际支出</w:t>
      </w:r>
      <w:r>
        <w:rPr>
          <w:rFonts w:hint="eastAsia" w:ascii="仿宋" w:hAnsi="仿宋" w:eastAsia="仿宋" w:cs="仿宋"/>
          <w:b w:val="0"/>
          <w:bCs/>
          <w:color w:val="auto"/>
          <w:sz w:val="32"/>
          <w:szCs w:val="32"/>
          <w:highlight w:val="none"/>
          <w:shd w:val="clear" w:color="auto" w:fill="FFFFFF"/>
          <w:lang w:val="en-US" w:eastAsia="zh-CN"/>
        </w:rPr>
        <w:t>严格按照</w:t>
      </w:r>
      <w:r>
        <w:rPr>
          <w:rFonts w:hint="eastAsia" w:ascii="仿宋" w:hAnsi="仿宋" w:eastAsia="仿宋" w:cs="仿宋"/>
          <w:b w:val="0"/>
          <w:bCs/>
          <w:color w:val="auto"/>
          <w:sz w:val="32"/>
          <w:szCs w:val="32"/>
          <w:highlight w:val="none"/>
          <w:shd w:val="clear" w:color="auto" w:fill="FFFFFF"/>
        </w:rPr>
        <w:t>预算</w:t>
      </w:r>
      <w:r>
        <w:rPr>
          <w:rFonts w:hint="eastAsia" w:ascii="仿宋" w:hAnsi="仿宋" w:eastAsia="仿宋" w:cs="仿宋"/>
          <w:b w:val="0"/>
          <w:bCs/>
          <w:color w:val="auto"/>
          <w:sz w:val="32"/>
          <w:szCs w:val="32"/>
          <w:highlight w:val="none"/>
          <w:shd w:val="clear" w:color="auto" w:fill="FFFFFF"/>
          <w:lang w:val="en-US" w:eastAsia="zh-CN"/>
        </w:rPr>
        <w:t>执行</w:t>
      </w:r>
      <w:r>
        <w:rPr>
          <w:rFonts w:hint="eastAsia" w:ascii="仿宋" w:hAnsi="仿宋" w:eastAsia="仿宋" w:cs="仿宋"/>
          <w:b w:val="0"/>
          <w:bCs/>
          <w:color w:val="auto"/>
          <w:sz w:val="32"/>
          <w:szCs w:val="32"/>
          <w:highlight w:val="none"/>
          <w:shd w:val="clear" w:color="auto" w:fill="FFFFFF"/>
        </w:rPr>
        <w:t>。较上年支出数增加3.40万元，增长100.0%，主要原因是</w:t>
      </w:r>
      <w:r>
        <w:rPr>
          <w:rFonts w:hint="eastAsia" w:ascii="仿宋" w:hAnsi="仿宋" w:eastAsia="仿宋" w:cs="仿宋"/>
          <w:b w:val="0"/>
          <w:bCs/>
          <w:color w:val="auto"/>
          <w:sz w:val="32"/>
          <w:szCs w:val="32"/>
          <w:highlight w:val="none"/>
          <w:lang w:val="en-US" w:eastAsia="zh-CN"/>
        </w:rPr>
        <w:t>2024年农业服务中心为新增编报单位，上年数为0，本年数据比上年有所增加。本年新增12次公务接待，主要是工作餐。</w:t>
      </w:r>
      <w:r>
        <w:rPr>
          <w:rFonts w:hint="eastAsia" w:ascii="仿宋" w:hAnsi="仿宋" w:eastAsia="仿宋" w:cs="仿宋"/>
          <w:b w:val="0"/>
          <w:bCs/>
          <w:color w:val="auto"/>
          <w:sz w:val="32"/>
          <w:szCs w:val="32"/>
          <w:highlight w:val="none"/>
          <w:shd w:val="clear" w:color="auto" w:fill="FFFFFF"/>
        </w:rPr>
        <w:t>。</w:t>
      </w:r>
    </w:p>
    <w:p>
      <w:pPr>
        <w:pStyle w:val="11"/>
        <w:keepNext w:val="0"/>
        <w:keepLines w:val="0"/>
        <w:pageBreakBefore w:val="0"/>
        <w:widowControl/>
        <w:shd w:val="clear"/>
        <w:kinsoku/>
        <w:wordWrap/>
        <w:overflowPunct/>
        <w:topLinePunct w:val="0"/>
        <w:autoSpaceDE w:val="0"/>
        <w:autoSpaceDN/>
        <w:bidi w:val="0"/>
        <w:adjustRightInd/>
        <w:spacing w:beforeAutospacing="0" w:afterAutospacing="0" w:line="594" w:lineRule="exact"/>
        <w:ind w:firstLine="643"/>
        <w:textAlignment w:val="auto"/>
        <w:rPr>
          <w:rStyle w:val="10"/>
          <w:rFonts w:hint="eastAsia" w:ascii="楷体" w:hAnsi="楷体" w:eastAsia="楷体" w:cs="楷体"/>
          <w:b w:val="0"/>
          <w:bCs/>
          <w:color w:val="auto"/>
          <w:sz w:val="32"/>
          <w:szCs w:val="32"/>
          <w:highlight w:val="none"/>
          <w:shd w:val="clear" w:color="auto" w:fill="FFFFFF"/>
          <w:lang w:val="en-US" w:eastAsia="zh-CN" w:bidi="ar-SA"/>
        </w:rPr>
      </w:pPr>
      <w:r>
        <w:rPr>
          <w:rStyle w:val="10"/>
          <w:rFonts w:hint="eastAsia" w:ascii="楷体" w:hAnsi="楷体" w:eastAsia="楷体" w:cs="楷体"/>
          <w:b w:val="0"/>
          <w:bCs/>
          <w:color w:val="auto"/>
          <w:sz w:val="32"/>
          <w:szCs w:val="32"/>
          <w:highlight w:val="none"/>
          <w:shd w:val="clear" w:color="auto" w:fill="FFFFFF"/>
          <w:lang w:val="en-US" w:eastAsia="zh-CN" w:bidi="ar-SA"/>
        </w:rPr>
        <w:t>（二）“三公”经费分项支出情况</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仿宋" w:hAnsi="仿宋" w:eastAsia="仿宋" w:cs="仿宋"/>
          <w:b w:val="0"/>
          <w:bCs/>
          <w:color w:val="auto"/>
          <w:sz w:val="32"/>
          <w:szCs w:val="32"/>
          <w:highlight w:val="none"/>
          <w:shd w:val="clear" w:color="auto" w:fill="FFFFFF"/>
        </w:rPr>
      </w:pPr>
      <w:r>
        <w:rPr>
          <w:rFonts w:hint="eastAsia" w:ascii="仿宋" w:hAnsi="仿宋" w:eastAsia="仿宋" w:cs="仿宋"/>
          <w:b w:val="0"/>
          <w:bCs/>
          <w:color w:val="auto"/>
          <w:sz w:val="32"/>
          <w:szCs w:val="32"/>
          <w:highlight w:val="none"/>
          <w:shd w:val="clear" w:color="auto" w:fill="FFFFFF"/>
          <w:lang w:eastAsia="zh-CN"/>
        </w:rPr>
        <w:t>2024年</w:t>
      </w:r>
      <w:r>
        <w:rPr>
          <w:rFonts w:hint="eastAsia" w:ascii="仿宋" w:hAnsi="仿宋" w:eastAsia="仿宋" w:cs="仿宋"/>
          <w:b w:val="0"/>
          <w:bCs/>
          <w:color w:val="auto"/>
          <w:sz w:val="32"/>
          <w:szCs w:val="32"/>
          <w:highlight w:val="none"/>
          <w:shd w:val="clear" w:color="auto" w:fill="FFFFFF"/>
        </w:rPr>
        <w:t>度本单位因公出国（境）费用</w:t>
      </w:r>
      <w:r>
        <w:rPr>
          <w:rFonts w:hint="eastAsia" w:ascii="仿宋" w:hAnsi="仿宋" w:eastAsia="仿宋" w:cs="仿宋"/>
          <w:b w:val="0"/>
          <w:bCs/>
          <w:color w:val="auto"/>
          <w:sz w:val="32"/>
          <w:szCs w:val="32"/>
          <w:highlight w:val="none"/>
        </w:rPr>
        <w:t>0.00</w:t>
      </w:r>
      <w:r>
        <w:rPr>
          <w:rFonts w:hint="eastAsia" w:ascii="仿宋" w:hAnsi="仿宋" w:eastAsia="仿宋" w:cs="仿宋"/>
          <w:b w:val="0"/>
          <w:bCs/>
          <w:color w:val="auto"/>
          <w:sz w:val="32"/>
          <w:szCs w:val="32"/>
          <w:highlight w:val="none"/>
          <w:shd w:val="clear" w:color="auto" w:fill="FFFFFF"/>
        </w:rPr>
        <w:t>万元。费用支出较年初预算数无增减，主要原因是主要原因是</w:t>
      </w:r>
      <w:r>
        <w:rPr>
          <w:rFonts w:hint="eastAsia" w:ascii="仿宋" w:hAnsi="仿宋" w:eastAsia="仿宋" w:cs="仿宋"/>
          <w:b w:val="0"/>
          <w:bCs/>
          <w:color w:val="auto"/>
          <w:sz w:val="32"/>
          <w:szCs w:val="32"/>
          <w:highlight w:val="none"/>
          <w:shd w:val="clear" w:color="auto" w:fill="FFFFFF"/>
          <w:lang w:val="en-US" w:eastAsia="zh-CN"/>
        </w:rPr>
        <w:t>2023年和2024年都没有</w:t>
      </w:r>
      <w:r>
        <w:rPr>
          <w:rFonts w:hint="eastAsia" w:ascii="仿宋" w:hAnsi="仿宋" w:eastAsia="仿宋" w:cs="仿宋"/>
          <w:b w:val="0"/>
          <w:bCs/>
          <w:color w:val="auto"/>
          <w:sz w:val="32"/>
          <w:szCs w:val="32"/>
          <w:highlight w:val="none"/>
          <w:shd w:val="clear" w:color="auto" w:fill="FFFFFF"/>
        </w:rPr>
        <w:t>因公出国（境）</w:t>
      </w:r>
      <w:r>
        <w:rPr>
          <w:rFonts w:hint="eastAsia" w:ascii="仿宋" w:hAnsi="仿宋" w:eastAsia="仿宋" w:cs="仿宋"/>
          <w:b w:val="0"/>
          <w:bCs/>
          <w:color w:val="auto"/>
          <w:sz w:val="32"/>
          <w:szCs w:val="32"/>
          <w:highlight w:val="none"/>
          <w:shd w:val="clear" w:color="auto" w:fill="FFFFFF"/>
          <w:lang w:val="en-US" w:eastAsia="zh-CN"/>
        </w:rPr>
        <w:t>费用开支。</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shd w:val="clear" w:color="auto" w:fill="FFFFFF"/>
        </w:rPr>
        <w:t>公务车购置费</w:t>
      </w:r>
      <w:r>
        <w:rPr>
          <w:rFonts w:hint="eastAsia" w:ascii="仿宋" w:hAnsi="仿宋" w:eastAsia="仿宋" w:cs="仿宋"/>
          <w:b w:val="0"/>
          <w:bCs/>
          <w:color w:val="auto"/>
          <w:sz w:val="32"/>
          <w:szCs w:val="32"/>
          <w:highlight w:val="none"/>
        </w:rPr>
        <w:t>0.00</w:t>
      </w:r>
      <w:r>
        <w:rPr>
          <w:rFonts w:hint="eastAsia" w:ascii="仿宋" w:hAnsi="仿宋" w:eastAsia="仿宋" w:cs="仿宋"/>
          <w:b w:val="0"/>
          <w:bCs/>
          <w:color w:val="auto"/>
          <w:sz w:val="32"/>
          <w:szCs w:val="32"/>
          <w:highlight w:val="none"/>
          <w:shd w:val="clear" w:color="auto" w:fill="FFFFFF"/>
        </w:rPr>
        <w:t>万元，费用支出较年初预算数无增减，较上年支出数无增减，主要原因是</w:t>
      </w:r>
      <w:r>
        <w:rPr>
          <w:rFonts w:hint="eastAsia" w:ascii="仿宋" w:hAnsi="仿宋" w:eastAsia="仿宋" w:cs="仿宋"/>
          <w:b w:val="0"/>
          <w:bCs/>
          <w:color w:val="auto"/>
          <w:sz w:val="32"/>
          <w:szCs w:val="32"/>
          <w:highlight w:val="none"/>
          <w:shd w:val="clear" w:color="auto" w:fill="FFFFFF"/>
          <w:lang w:val="en-US" w:eastAsia="zh-CN"/>
        </w:rPr>
        <w:t>2023年和2024年都没有公务车购置费用开支。</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shd w:val="clear" w:color="auto" w:fill="FFFFFF"/>
        </w:rPr>
        <w:t>公务车运行维护费</w:t>
      </w:r>
      <w:r>
        <w:rPr>
          <w:rFonts w:hint="eastAsia" w:ascii="仿宋" w:hAnsi="仿宋" w:eastAsia="仿宋" w:cs="仿宋"/>
          <w:b w:val="0"/>
          <w:bCs/>
          <w:color w:val="auto"/>
          <w:sz w:val="32"/>
          <w:szCs w:val="32"/>
          <w:highlight w:val="none"/>
        </w:rPr>
        <w:t>0.00</w:t>
      </w:r>
      <w:r>
        <w:rPr>
          <w:rFonts w:hint="eastAsia" w:ascii="仿宋" w:hAnsi="仿宋" w:eastAsia="仿宋" w:cs="仿宋"/>
          <w:b w:val="0"/>
          <w:bCs/>
          <w:color w:val="auto"/>
          <w:sz w:val="32"/>
          <w:szCs w:val="32"/>
          <w:highlight w:val="none"/>
          <w:shd w:val="clear" w:color="auto" w:fill="FFFFFF"/>
        </w:rPr>
        <w:t>万元，费用支出较年初预算数无增减，与2023年度相比，无增减，主要原因是</w:t>
      </w:r>
      <w:r>
        <w:rPr>
          <w:rFonts w:hint="eastAsia" w:ascii="仿宋" w:hAnsi="仿宋" w:eastAsia="仿宋" w:cs="仿宋"/>
          <w:b w:val="0"/>
          <w:bCs/>
          <w:color w:val="auto"/>
          <w:sz w:val="32"/>
          <w:szCs w:val="32"/>
          <w:highlight w:val="none"/>
          <w:shd w:val="clear" w:color="auto" w:fill="FFFFFF"/>
          <w:lang w:val="en-US" w:eastAsia="zh-CN"/>
        </w:rPr>
        <w:t>本单位未配置公务用车，故公务车运行维护费为0。</w:t>
      </w:r>
    </w:p>
    <w:p>
      <w:pPr>
        <w:pStyle w:val="7"/>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shd w:val="clear" w:color="auto" w:fill="FFFFFF"/>
        </w:rPr>
        <w:t>公务接待费</w:t>
      </w:r>
      <w:r>
        <w:rPr>
          <w:rFonts w:hint="eastAsia" w:ascii="仿宋" w:hAnsi="仿宋" w:eastAsia="仿宋" w:cs="仿宋"/>
          <w:b w:val="0"/>
          <w:bCs/>
          <w:color w:val="auto"/>
          <w:sz w:val="32"/>
          <w:szCs w:val="32"/>
          <w:highlight w:val="none"/>
        </w:rPr>
        <w:t>3.40</w:t>
      </w:r>
      <w:r>
        <w:rPr>
          <w:rFonts w:hint="eastAsia" w:ascii="仿宋" w:hAnsi="仿宋" w:eastAsia="仿宋" w:cs="仿宋"/>
          <w:b w:val="0"/>
          <w:bCs/>
          <w:color w:val="auto"/>
          <w:sz w:val="32"/>
          <w:szCs w:val="32"/>
          <w:highlight w:val="none"/>
          <w:shd w:val="clear" w:color="auto" w:fill="FFFFFF"/>
        </w:rPr>
        <w:t>万元，主要用于接待县内其它部门到我乡学习调研政府相关业务工作，接受相关部门检查指导工作发生的接待支出。费用支出较年初预算数无增减，主要原因是全年实际支出</w:t>
      </w:r>
      <w:r>
        <w:rPr>
          <w:rFonts w:hint="eastAsia" w:ascii="仿宋" w:hAnsi="仿宋" w:eastAsia="仿宋" w:cs="仿宋"/>
          <w:b w:val="0"/>
          <w:bCs/>
          <w:color w:val="auto"/>
          <w:sz w:val="32"/>
          <w:szCs w:val="32"/>
          <w:highlight w:val="none"/>
          <w:shd w:val="clear" w:color="auto" w:fill="FFFFFF"/>
          <w:lang w:val="en-US" w:eastAsia="zh-CN"/>
        </w:rPr>
        <w:t>严格按照</w:t>
      </w:r>
      <w:r>
        <w:rPr>
          <w:rFonts w:hint="eastAsia" w:ascii="仿宋" w:hAnsi="仿宋" w:eastAsia="仿宋" w:cs="仿宋"/>
          <w:b w:val="0"/>
          <w:bCs/>
          <w:color w:val="auto"/>
          <w:sz w:val="32"/>
          <w:szCs w:val="32"/>
          <w:highlight w:val="none"/>
          <w:shd w:val="clear" w:color="auto" w:fill="FFFFFF"/>
        </w:rPr>
        <w:t>预算</w:t>
      </w:r>
      <w:r>
        <w:rPr>
          <w:rFonts w:hint="eastAsia" w:ascii="仿宋" w:hAnsi="仿宋" w:eastAsia="仿宋" w:cs="仿宋"/>
          <w:b w:val="0"/>
          <w:bCs/>
          <w:color w:val="auto"/>
          <w:sz w:val="32"/>
          <w:szCs w:val="32"/>
          <w:highlight w:val="none"/>
          <w:shd w:val="clear" w:color="auto" w:fill="FFFFFF"/>
          <w:lang w:val="en-US" w:eastAsia="zh-CN"/>
        </w:rPr>
        <w:t>执行</w:t>
      </w:r>
      <w:r>
        <w:rPr>
          <w:rFonts w:hint="eastAsia" w:ascii="仿宋" w:hAnsi="仿宋" w:eastAsia="仿宋" w:cs="仿宋"/>
          <w:b w:val="0"/>
          <w:bCs/>
          <w:color w:val="auto"/>
          <w:sz w:val="32"/>
          <w:szCs w:val="32"/>
          <w:highlight w:val="none"/>
          <w:shd w:val="clear" w:color="auto" w:fill="FFFFFF"/>
        </w:rPr>
        <w:t>。较上年支出数增加3.40万元，增长100.0%，主要原因是</w:t>
      </w:r>
      <w:r>
        <w:rPr>
          <w:rFonts w:hint="eastAsia" w:ascii="仿宋" w:hAnsi="仿宋" w:eastAsia="仿宋" w:cs="仿宋"/>
          <w:b w:val="0"/>
          <w:bCs/>
          <w:color w:val="auto"/>
          <w:sz w:val="32"/>
          <w:szCs w:val="32"/>
          <w:highlight w:val="none"/>
          <w:shd w:val="clear" w:color="auto" w:fill="FFFFFF"/>
          <w:lang w:val="en-US" w:eastAsia="zh-CN"/>
        </w:rPr>
        <w:t>2024年农业服务中心为新增编报单位，上年数为0，故今年有所增加。</w:t>
      </w:r>
    </w:p>
    <w:p>
      <w:pPr>
        <w:pStyle w:val="11"/>
        <w:keepNext w:val="0"/>
        <w:keepLines w:val="0"/>
        <w:pageBreakBefore w:val="0"/>
        <w:widowControl/>
        <w:shd w:val="clear"/>
        <w:kinsoku/>
        <w:wordWrap/>
        <w:overflowPunct/>
        <w:topLinePunct w:val="0"/>
        <w:autoSpaceDE w:val="0"/>
        <w:autoSpaceDN/>
        <w:bidi w:val="0"/>
        <w:adjustRightInd/>
        <w:spacing w:beforeAutospacing="0" w:afterAutospacing="0" w:line="594" w:lineRule="exact"/>
        <w:ind w:firstLine="643"/>
        <w:textAlignment w:val="auto"/>
        <w:rPr>
          <w:rStyle w:val="10"/>
          <w:rFonts w:hint="eastAsia" w:ascii="楷体" w:hAnsi="楷体" w:eastAsia="楷体" w:cs="楷体"/>
          <w:b w:val="0"/>
          <w:bCs/>
          <w:color w:val="auto"/>
          <w:sz w:val="32"/>
          <w:szCs w:val="32"/>
          <w:highlight w:val="none"/>
          <w:shd w:val="clear" w:color="auto" w:fill="FFFFFF"/>
          <w:lang w:val="en-US" w:eastAsia="zh-CN" w:bidi="ar-SA"/>
        </w:rPr>
      </w:pPr>
      <w:r>
        <w:rPr>
          <w:rStyle w:val="10"/>
          <w:rFonts w:hint="eastAsia" w:ascii="楷体" w:hAnsi="楷体" w:eastAsia="楷体" w:cs="楷体"/>
          <w:b w:val="0"/>
          <w:bCs/>
          <w:color w:val="auto"/>
          <w:sz w:val="32"/>
          <w:szCs w:val="32"/>
          <w:highlight w:val="none"/>
          <w:shd w:val="clear" w:color="auto" w:fill="FFFFFF"/>
          <w:lang w:val="en-US" w:eastAsia="zh-CN" w:bidi="ar-SA"/>
        </w:rPr>
        <w:t>（三）“三公”经费实物量情况</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shd w:val="clear" w:color="auto" w:fill="FFFFFF"/>
          <w:lang w:eastAsia="zh-CN"/>
        </w:rPr>
        <w:t>2024年</w:t>
      </w:r>
      <w:r>
        <w:rPr>
          <w:rFonts w:hint="eastAsia" w:ascii="仿宋" w:hAnsi="仿宋" w:eastAsia="仿宋" w:cs="仿宋"/>
          <w:b w:val="0"/>
          <w:bCs/>
          <w:color w:val="auto"/>
          <w:sz w:val="32"/>
          <w:szCs w:val="32"/>
          <w:highlight w:val="none"/>
          <w:shd w:val="clear" w:color="auto" w:fill="FFFFFF"/>
        </w:rPr>
        <w:t>度本单位因公出国（境）共计</w:t>
      </w:r>
      <w:r>
        <w:rPr>
          <w:rFonts w:hint="eastAsia" w:ascii="仿宋" w:hAnsi="仿宋" w:eastAsia="仿宋" w:cs="仿宋"/>
          <w:b w:val="0"/>
          <w:bCs/>
          <w:color w:val="auto"/>
          <w:sz w:val="32"/>
          <w:szCs w:val="32"/>
          <w:highlight w:val="none"/>
        </w:rPr>
        <w:t>0</w:t>
      </w:r>
      <w:r>
        <w:rPr>
          <w:rFonts w:hint="eastAsia" w:ascii="仿宋" w:hAnsi="仿宋" w:eastAsia="仿宋" w:cs="仿宋"/>
          <w:b w:val="0"/>
          <w:bCs/>
          <w:color w:val="auto"/>
          <w:sz w:val="32"/>
          <w:szCs w:val="32"/>
          <w:highlight w:val="none"/>
          <w:shd w:val="clear" w:color="auto" w:fill="FFFFFF"/>
        </w:rPr>
        <w:t>个团组，</w:t>
      </w:r>
      <w:r>
        <w:rPr>
          <w:rFonts w:hint="eastAsia" w:ascii="仿宋" w:hAnsi="仿宋" w:eastAsia="仿宋" w:cs="仿宋"/>
          <w:b w:val="0"/>
          <w:bCs/>
          <w:color w:val="auto"/>
          <w:sz w:val="32"/>
          <w:szCs w:val="32"/>
          <w:highlight w:val="none"/>
        </w:rPr>
        <w:t>0</w:t>
      </w:r>
      <w:r>
        <w:rPr>
          <w:rFonts w:hint="eastAsia" w:ascii="仿宋" w:hAnsi="仿宋" w:eastAsia="仿宋" w:cs="仿宋"/>
          <w:b w:val="0"/>
          <w:bCs/>
          <w:color w:val="auto"/>
          <w:sz w:val="32"/>
          <w:szCs w:val="32"/>
          <w:highlight w:val="none"/>
          <w:shd w:val="clear" w:color="auto" w:fill="FFFFFF"/>
        </w:rPr>
        <w:t>人；公务用车购置</w:t>
      </w:r>
      <w:r>
        <w:rPr>
          <w:rFonts w:hint="eastAsia" w:ascii="仿宋" w:hAnsi="仿宋" w:eastAsia="仿宋" w:cs="仿宋"/>
          <w:b w:val="0"/>
          <w:bCs/>
          <w:color w:val="auto"/>
          <w:sz w:val="32"/>
          <w:szCs w:val="32"/>
          <w:highlight w:val="none"/>
        </w:rPr>
        <w:t>0</w:t>
      </w:r>
      <w:r>
        <w:rPr>
          <w:rFonts w:hint="eastAsia" w:ascii="仿宋" w:hAnsi="仿宋" w:eastAsia="仿宋" w:cs="仿宋"/>
          <w:b w:val="0"/>
          <w:bCs/>
          <w:color w:val="auto"/>
          <w:sz w:val="32"/>
          <w:szCs w:val="32"/>
          <w:highlight w:val="none"/>
          <w:shd w:val="clear" w:color="auto" w:fill="FFFFFF"/>
        </w:rPr>
        <w:t>辆，公务车保有量为</w:t>
      </w:r>
      <w:r>
        <w:rPr>
          <w:rFonts w:hint="eastAsia" w:ascii="仿宋" w:hAnsi="仿宋" w:eastAsia="仿宋" w:cs="仿宋"/>
          <w:b w:val="0"/>
          <w:bCs/>
          <w:color w:val="auto"/>
          <w:sz w:val="32"/>
          <w:szCs w:val="32"/>
          <w:highlight w:val="none"/>
        </w:rPr>
        <w:t>0</w:t>
      </w:r>
      <w:r>
        <w:rPr>
          <w:rFonts w:hint="eastAsia" w:ascii="仿宋" w:hAnsi="仿宋" w:eastAsia="仿宋" w:cs="仿宋"/>
          <w:b w:val="0"/>
          <w:bCs/>
          <w:color w:val="auto"/>
          <w:sz w:val="32"/>
          <w:szCs w:val="32"/>
          <w:highlight w:val="none"/>
          <w:shd w:val="clear" w:color="auto" w:fill="FFFFFF"/>
        </w:rPr>
        <w:t>辆；国内公务接待</w:t>
      </w:r>
      <w:r>
        <w:rPr>
          <w:rFonts w:hint="eastAsia" w:ascii="仿宋" w:hAnsi="仿宋" w:eastAsia="仿宋" w:cs="仿宋"/>
          <w:b w:val="0"/>
          <w:bCs/>
          <w:color w:val="auto"/>
          <w:sz w:val="32"/>
          <w:szCs w:val="32"/>
          <w:highlight w:val="none"/>
        </w:rPr>
        <w:t>12</w:t>
      </w:r>
      <w:r>
        <w:rPr>
          <w:rFonts w:hint="eastAsia" w:ascii="仿宋" w:hAnsi="仿宋" w:eastAsia="仿宋" w:cs="仿宋"/>
          <w:b w:val="0"/>
          <w:bCs/>
          <w:color w:val="auto"/>
          <w:sz w:val="32"/>
          <w:szCs w:val="32"/>
          <w:highlight w:val="none"/>
          <w:shd w:val="clear" w:color="auto" w:fill="FFFFFF"/>
        </w:rPr>
        <w:t>批次</w:t>
      </w:r>
      <w:r>
        <w:rPr>
          <w:rFonts w:hint="eastAsia" w:ascii="仿宋" w:hAnsi="仿宋" w:eastAsia="仿宋" w:cs="仿宋"/>
          <w:b w:val="0"/>
          <w:bCs/>
          <w:color w:val="auto"/>
          <w:sz w:val="32"/>
          <w:szCs w:val="32"/>
          <w:highlight w:val="none"/>
        </w:rPr>
        <w:t>179</w:t>
      </w:r>
      <w:r>
        <w:rPr>
          <w:rFonts w:hint="eastAsia" w:ascii="仿宋" w:hAnsi="仿宋" w:eastAsia="仿宋" w:cs="仿宋"/>
          <w:b w:val="0"/>
          <w:bCs/>
          <w:color w:val="auto"/>
          <w:sz w:val="32"/>
          <w:szCs w:val="32"/>
          <w:highlight w:val="none"/>
          <w:shd w:val="clear" w:color="auto" w:fill="FFFFFF"/>
        </w:rPr>
        <w:t>人，其中：国内外事接待</w:t>
      </w:r>
      <w:r>
        <w:rPr>
          <w:rFonts w:hint="eastAsia" w:ascii="仿宋" w:hAnsi="仿宋" w:eastAsia="仿宋" w:cs="仿宋"/>
          <w:b w:val="0"/>
          <w:bCs/>
          <w:color w:val="auto"/>
          <w:sz w:val="32"/>
          <w:szCs w:val="32"/>
          <w:highlight w:val="none"/>
        </w:rPr>
        <w:t>0</w:t>
      </w:r>
      <w:r>
        <w:rPr>
          <w:rFonts w:hint="eastAsia" w:ascii="仿宋" w:hAnsi="仿宋" w:eastAsia="仿宋" w:cs="仿宋"/>
          <w:b w:val="0"/>
          <w:bCs/>
          <w:color w:val="auto"/>
          <w:sz w:val="32"/>
          <w:szCs w:val="32"/>
          <w:highlight w:val="none"/>
          <w:shd w:val="clear" w:color="auto" w:fill="FFFFFF"/>
        </w:rPr>
        <w:t>批次，</w:t>
      </w:r>
      <w:r>
        <w:rPr>
          <w:rFonts w:hint="eastAsia" w:ascii="仿宋" w:hAnsi="仿宋" w:eastAsia="仿宋" w:cs="仿宋"/>
          <w:b w:val="0"/>
          <w:bCs/>
          <w:color w:val="auto"/>
          <w:sz w:val="32"/>
          <w:szCs w:val="32"/>
          <w:highlight w:val="none"/>
        </w:rPr>
        <w:t>0</w:t>
      </w:r>
      <w:r>
        <w:rPr>
          <w:rFonts w:hint="eastAsia" w:ascii="仿宋" w:hAnsi="仿宋" w:eastAsia="仿宋" w:cs="仿宋"/>
          <w:b w:val="0"/>
          <w:bCs/>
          <w:color w:val="auto"/>
          <w:sz w:val="32"/>
          <w:szCs w:val="32"/>
          <w:highlight w:val="none"/>
          <w:shd w:val="clear" w:color="auto" w:fill="FFFFFF"/>
        </w:rPr>
        <w:t>人；国（境）外公务接待</w:t>
      </w:r>
      <w:r>
        <w:rPr>
          <w:rFonts w:hint="eastAsia" w:ascii="仿宋" w:hAnsi="仿宋" w:eastAsia="仿宋" w:cs="仿宋"/>
          <w:b w:val="0"/>
          <w:bCs/>
          <w:color w:val="auto"/>
          <w:sz w:val="32"/>
          <w:szCs w:val="32"/>
          <w:highlight w:val="none"/>
        </w:rPr>
        <w:t>0</w:t>
      </w:r>
      <w:r>
        <w:rPr>
          <w:rFonts w:hint="eastAsia" w:ascii="仿宋" w:hAnsi="仿宋" w:eastAsia="仿宋" w:cs="仿宋"/>
          <w:b w:val="0"/>
          <w:bCs/>
          <w:color w:val="auto"/>
          <w:sz w:val="32"/>
          <w:szCs w:val="32"/>
          <w:highlight w:val="none"/>
          <w:shd w:val="clear" w:color="auto" w:fill="FFFFFF"/>
        </w:rPr>
        <w:t>批次，</w:t>
      </w:r>
      <w:r>
        <w:rPr>
          <w:rFonts w:hint="eastAsia" w:ascii="仿宋" w:hAnsi="仿宋" w:eastAsia="仿宋" w:cs="仿宋"/>
          <w:b w:val="0"/>
          <w:bCs/>
          <w:color w:val="auto"/>
          <w:sz w:val="32"/>
          <w:szCs w:val="32"/>
          <w:highlight w:val="none"/>
        </w:rPr>
        <w:t>0</w:t>
      </w:r>
      <w:r>
        <w:rPr>
          <w:rFonts w:hint="eastAsia" w:ascii="仿宋" w:hAnsi="仿宋" w:eastAsia="仿宋" w:cs="仿宋"/>
          <w:b w:val="0"/>
          <w:bCs/>
          <w:color w:val="auto"/>
          <w:sz w:val="32"/>
          <w:szCs w:val="32"/>
          <w:highlight w:val="none"/>
          <w:shd w:val="clear" w:color="auto" w:fill="FFFFFF"/>
        </w:rPr>
        <w:t>人。</w:t>
      </w:r>
      <w:r>
        <w:rPr>
          <w:rFonts w:hint="eastAsia" w:ascii="仿宋" w:hAnsi="仿宋" w:eastAsia="仿宋" w:cs="仿宋"/>
          <w:b w:val="0"/>
          <w:bCs/>
          <w:color w:val="auto"/>
          <w:sz w:val="32"/>
          <w:szCs w:val="32"/>
          <w:highlight w:val="none"/>
          <w:shd w:val="clear" w:color="auto" w:fill="FFFFFF"/>
          <w:lang w:eastAsia="zh-CN"/>
        </w:rPr>
        <w:t>2024年</w:t>
      </w:r>
      <w:r>
        <w:rPr>
          <w:rFonts w:hint="eastAsia" w:ascii="仿宋" w:hAnsi="仿宋" w:eastAsia="仿宋" w:cs="仿宋"/>
          <w:b w:val="0"/>
          <w:bCs/>
          <w:color w:val="auto"/>
          <w:sz w:val="32"/>
          <w:szCs w:val="32"/>
          <w:highlight w:val="none"/>
          <w:shd w:val="clear" w:color="auto" w:fill="FFFFFF"/>
        </w:rPr>
        <w:t>本单位人均接待费</w:t>
      </w:r>
      <w:r>
        <w:rPr>
          <w:rFonts w:hint="eastAsia" w:ascii="仿宋" w:hAnsi="仿宋" w:eastAsia="仿宋" w:cs="仿宋"/>
          <w:b w:val="0"/>
          <w:bCs/>
          <w:color w:val="auto"/>
          <w:sz w:val="32"/>
          <w:szCs w:val="32"/>
          <w:highlight w:val="none"/>
        </w:rPr>
        <w:t>189.94</w:t>
      </w:r>
      <w:r>
        <w:rPr>
          <w:rFonts w:hint="eastAsia" w:ascii="仿宋" w:hAnsi="仿宋" w:eastAsia="仿宋" w:cs="仿宋"/>
          <w:b w:val="0"/>
          <w:bCs/>
          <w:color w:val="auto"/>
          <w:sz w:val="32"/>
          <w:szCs w:val="32"/>
          <w:highlight w:val="none"/>
          <w:shd w:val="clear" w:color="auto" w:fill="FFFFFF"/>
        </w:rPr>
        <w:t>元，车均购置费</w:t>
      </w:r>
      <w:r>
        <w:rPr>
          <w:rFonts w:hint="eastAsia" w:ascii="仿宋" w:hAnsi="仿宋" w:eastAsia="仿宋" w:cs="仿宋"/>
          <w:b w:val="0"/>
          <w:bCs/>
          <w:color w:val="auto"/>
          <w:sz w:val="32"/>
          <w:szCs w:val="32"/>
          <w:highlight w:val="none"/>
        </w:rPr>
        <w:t>0</w:t>
      </w:r>
      <w:r>
        <w:rPr>
          <w:rFonts w:hint="eastAsia" w:ascii="仿宋" w:hAnsi="仿宋" w:eastAsia="仿宋" w:cs="仿宋"/>
          <w:b w:val="0"/>
          <w:bCs/>
          <w:color w:val="auto"/>
          <w:sz w:val="32"/>
          <w:szCs w:val="32"/>
          <w:highlight w:val="none"/>
          <w:shd w:val="clear" w:color="auto" w:fill="FFFFFF"/>
        </w:rPr>
        <w:t>万元，车均维护费</w:t>
      </w:r>
      <w:r>
        <w:rPr>
          <w:rFonts w:hint="eastAsia" w:ascii="仿宋" w:hAnsi="仿宋" w:eastAsia="仿宋" w:cs="仿宋"/>
          <w:b w:val="0"/>
          <w:bCs/>
          <w:color w:val="auto"/>
          <w:sz w:val="32"/>
          <w:szCs w:val="32"/>
          <w:highlight w:val="none"/>
        </w:rPr>
        <w:t>0</w:t>
      </w:r>
      <w:r>
        <w:rPr>
          <w:rFonts w:hint="eastAsia" w:ascii="仿宋" w:hAnsi="仿宋" w:eastAsia="仿宋" w:cs="仿宋"/>
          <w:b w:val="0"/>
          <w:bCs/>
          <w:color w:val="auto"/>
          <w:sz w:val="32"/>
          <w:szCs w:val="32"/>
          <w:highlight w:val="none"/>
          <w:shd w:val="clear" w:color="auto" w:fill="FFFFFF"/>
        </w:rPr>
        <w:t>万元。</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4" w:lineRule="exact"/>
        <w:ind w:left="638" w:leftChars="266" w:firstLine="0" w:firstLineChars="0"/>
        <w:textAlignment w:val="auto"/>
        <w:rPr>
          <w:rStyle w:val="10"/>
          <w:rFonts w:hint="eastAsia" w:ascii="黑体" w:hAnsi="黑体" w:eastAsia="黑体" w:cs="黑体"/>
          <w:b w:val="0"/>
          <w:bCs/>
          <w:color w:val="auto"/>
          <w:sz w:val="32"/>
          <w:szCs w:val="32"/>
          <w:highlight w:val="none"/>
          <w:shd w:val="clear" w:color="auto" w:fill="FFFFFF"/>
        </w:rPr>
      </w:pPr>
      <w:r>
        <w:rPr>
          <w:rStyle w:val="10"/>
          <w:rFonts w:hint="eastAsia" w:ascii="黑体" w:hAnsi="黑体" w:eastAsia="黑体" w:cs="黑体"/>
          <w:b w:val="0"/>
          <w:bCs/>
          <w:color w:val="auto"/>
          <w:sz w:val="32"/>
          <w:szCs w:val="32"/>
          <w:highlight w:val="none"/>
          <w:shd w:val="clear" w:color="auto" w:fill="FFFFFF"/>
        </w:rPr>
        <w:t>四、其他需要说明的事项</w:t>
      </w:r>
    </w:p>
    <w:p>
      <w:pPr>
        <w:pStyle w:val="11"/>
        <w:keepNext w:val="0"/>
        <w:keepLines w:val="0"/>
        <w:pageBreakBefore w:val="0"/>
        <w:widowControl/>
        <w:shd w:val="clear"/>
        <w:kinsoku/>
        <w:wordWrap/>
        <w:overflowPunct/>
        <w:topLinePunct w:val="0"/>
        <w:autoSpaceDE w:val="0"/>
        <w:autoSpaceDN/>
        <w:bidi w:val="0"/>
        <w:adjustRightInd/>
        <w:spacing w:beforeAutospacing="0" w:afterAutospacing="0" w:line="594" w:lineRule="exact"/>
        <w:ind w:firstLine="643"/>
        <w:textAlignment w:val="auto"/>
        <w:rPr>
          <w:rFonts w:hint="eastAsia" w:ascii="仿宋" w:hAnsi="仿宋" w:eastAsia="仿宋" w:cs="仿宋"/>
          <w:b w:val="0"/>
          <w:bCs/>
          <w:color w:val="auto"/>
          <w:sz w:val="32"/>
          <w:szCs w:val="32"/>
          <w:highlight w:val="none"/>
          <w:shd w:val="clear" w:color="auto" w:fill="FFFFFF"/>
        </w:rPr>
      </w:pPr>
      <w:r>
        <w:rPr>
          <w:rFonts w:hint="eastAsia" w:ascii="仿宋" w:hAnsi="仿宋" w:eastAsia="仿宋" w:cs="仿宋"/>
          <w:b w:val="0"/>
          <w:bCs/>
          <w:color w:val="auto"/>
          <w:sz w:val="32"/>
          <w:szCs w:val="32"/>
          <w:highlight w:val="none"/>
          <w:shd w:val="clear" w:color="auto" w:fill="FFFFFF"/>
        </w:rPr>
        <w:t xml:space="preserve"> </w:t>
      </w:r>
      <w:r>
        <w:rPr>
          <w:rStyle w:val="10"/>
          <w:rFonts w:hint="eastAsia" w:ascii="楷体" w:hAnsi="楷体" w:eastAsia="楷体" w:cs="楷体"/>
          <w:b w:val="0"/>
          <w:bCs/>
          <w:color w:val="auto"/>
          <w:sz w:val="32"/>
          <w:szCs w:val="32"/>
          <w:highlight w:val="none"/>
          <w:shd w:val="clear" w:color="auto" w:fill="FFFFFF"/>
          <w:lang w:val="en-US" w:eastAsia="zh-CN" w:bidi="ar-SA"/>
        </w:rPr>
        <w:t>（一）财政拨款会议费和培训费情况说明</w:t>
      </w:r>
    </w:p>
    <w:p>
      <w:pPr>
        <w:pStyle w:val="7"/>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shd w:val="clear" w:color="auto" w:fill="FFFFFF"/>
        </w:rPr>
        <w:t>本年度会议费支出</w:t>
      </w:r>
      <w:r>
        <w:rPr>
          <w:rFonts w:hint="eastAsia" w:ascii="仿宋" w:hAnsi="仿宋" w:eastAsia="仿宋" w:cs="仿宋"/>
          <w:b w:val="0"/>
          <w:bCs/>
          <w:color w:val="auto"/>
          <w:sz w:val="32"/>
          <w:szCs w:val="32"/>
          <w:highlight w:val="none"/>
        </w:rPr>
        <w:t>0.50</w:t>
      </w:r>
      <w:r>
        <w:rPr>
          <w:rFonts w:hint="eastAsia" w:ascii="仿宋" w:hAnsi="仿宋" w:eastAsia="仿宋" w:cs="仿宋"/>
          <w:b w:val="0"/>
          <w:bCs/>
          <w:color w:val="auto"/>
          <w:sz w:val="32"/>
          <w:szCs w:val="32"/>
          <w:highlight w:val="none"/>
          <w:shd w:val="clear" w:color="auto" w:fill="FFFFFF"/>
        </w:rPr>
        <w:t>万元，与2023年度相比，增加0.50万元，增长100.0%，主要原因是</w:t>
      </w:r>
      <w:r>
        <w:rPr>
          <w:rFonts w:hint="eastAsia" w:ascii="仿宋" w:hAnsi="仿宋" w:eastAsia="仿宋" w:cs="仿宋"/>
          <w:b w:val="0"/>
          <w:bCs/>
          <w:color w:val="auto"/>
          <w:sz w:val="32"/>
          <w:szCs w:val="32"/>
          <w:highlight w:val="none"/>
          <w:lang w:val="en-US" w:eastAsia="zh-CN"/>
        </w:rPr>
        <w:t>2024年农业服务中心为新增编报单位，上年数为0，本年数据比上年有所增加。</w:t>
      </w:r>
      <w:r>
        <w:rPr>
          <w:rFonts w:hint="eastAsia" w:ascii="仿宋" w:hAnsi="仿宋" w:eastAsia="仿宋" w:cs="仿宋"/>
          <w:b w:val="0"/>
          <w:bCs/>
          <w:color w:val="auto"/>
          <w:sz w:val="32"/>
          <w:szCs w:val="32"/>
          <w:highlight w:val="none"/>
          <w:shd w:val="clear" w:color="auto" w:fill="FFFFFF"/>
        </w:rPr>
        <w:t>本年度培训费支出</w:t>
      </w:r>
      <w:r>
        <w:rPr>
          <w:rFonts w:hint="eastAsia" w:ascii="仿宋" w:hAnsi="仿宋" w:eastAsia="仿宋" w:cs="仿宋"/>
          <w:b w:val="0"/>
          <w:bCs/>
          <w:color w:val="auto"/>
          <w:sz w:val="32"/>
          <w:szCs w:val="32"/>
          <w:highlight w:val="none"/>
        </w:rPr>
        <w:t>0.50</w:t>
      </w:r>
      <w:r>
        <w:rPr>
          <w:rFonts w:hint="eastAsia" w:ascii="仿宋" w:hAnsi="仿宋" w:eastAsia="仿宋" w:cs="仿宋"/>
          <w:b w:val="0"/>
          <w:bCs/>
          <w:color w:val="auto"/>
          <w:sz w:val="32"/>
          <w:szCs w:val="32"/>
          <w:highlight w:val="none"/>
          <w:shd w:val="clear" w:color="auto" w:fill="FFFFFF"/>
        </w:rPr>
        <w:t>万元，与2023年度相比，增加0.50万元，增长100.0%，主要原因是</w:t>
      </w:r>
      <w:r>
        <w:rPr>
          <w:rFonts w:hint="eastAsia" w:ascii="仿宋" w:hAnsi="仿宋" w:eastAsia="仿宋" w:cs="仿宋"/>
          <w:b w:val="0"/>
          <w:bCs/>
          <w:color w:val="auto"/>
          <w:sz w:val="32"/>
          <w:szCs w:val="32"/>
          <w:highlight w:val="none"/>
          <w:lang w:val="en-US" w:eastAsia="zh-CN"/>
        </w:rPr>
        <w:t>2024年农业服务中心为新增编报单位，上年数为0，本年数据比上年有所增加。</w:t>
      </w:r>
    </w:p>
    <w:p>
      <w:pPr>
        <w:pStyle w:val="11"/>
        <w:keepNext w:val="0"/>
        <w:keepLines w:val="0"/>
        <w:pageBreakBefore w:val="0"/>
        <w:widowControl/>
        <w:shd w:val="clear"/>
        <w:kinsoku/>
        <w:wordWrap/>
        <w:overflowPunct/>
        <w:topLinePunct w:val="0"/>
        <w:autoSpaceDE w:val="0"/>
        <w:autoSpaceDN/>
        <w:bidi w:val="0"/>
        <w:adjustRightInd/>
        <w:spacing w:beforeAutospacing="0" w:afterAutospacing="0" w:line="594" w:lineRule="exact"/>
        <w:ind w:firstLine="643"/>
        <w:textAlignment w:val="auto"/>
        <w:rPr>
          <w:rStyle w:val="10"/>
          <w:rFonts w:hint="eastAsia" w:ascii="楷体" w:hAnsi="楷体" w:eastAsia="楷体" w:cs="楷体"/>
          <w:b w:val="0"/>
          <w:bCs/>
          <w:color w:val="auto"/>
          <w:sz w:val="32"/>
          <w:szCs w:val="32"/>
          <w:highlight w:val="none"/>
          <w:shd w:val="clear" w:color="auto" w:fill="FFFFFF"/>
          <w:lang w:val="en-US" w:eastAsia="zh-CN" w:bidi="ar-SA"/>
        </w:rPr>
      </w:pPr>
      <w:r>
        <w:rPr>
          <w:rStyle w:val="10"/>
          <w:rFonts w:hint="eastAsia" w:ascii="楷体" w:hAnsi="楷体" w:eastAsia="楷体" w:cs="楷体"/>
          <w:b w:val="0"/>
          <w:bCs/>
          <w:color w:val="auto"/>
          <w:sz w:val="32"/>
          <w:szCs w:val="32"/>
          <w:highlight w:val="none"/>
          <w:shd w:val="clear" w:color="auto" w:fill="FFFFFF"/>
          <w:lang w:val="en-US" w:eastAsia="zh-CN" w:bidi="ar-SA"/>
        </w:rPr>
        <w:t>（二）机关运行经费情况说明</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shd w:val="clear" w:color="auto" w:fill="FFFFFF"/>
          <w:lang w:eastAsia="zh-CN"/>
        </w:rPr>
        <w:t>2024年</w:t>
      </w:r>
      <w:r>
        <w:rPr>
          <w:rFonts w:hint="eastAsia" w:ascii="仿宋" w:hAnsi="仿宋" w:eastAsia="仿宋" w:cs="仿宋"/>
          <w:b w:val="0"/>
          <w:bCs/>
          <w:color w:val="auto"/>
          <w:sz w:val="32"/>
          <w:szCs w:val="32"/>
          <w:highlight w:val="none"/>
          <w:shd w:val="clear" w:color="auto" w:fill="FFFFFF"/>
        </w:rPr>
        <w:t>度本单位机关运行经费支出</w:t>
      </w:r>
      <w:r>
        <w:rPr>
          <w:rFonts w:hint="eastAsia" w:ascii="仿宋" w:hAnsi="仿宋" w:eastAsia="仿宋" w:cs="仿宋"/>
          <w:b w:val="0"/>
          <w:bCs/>
          <w:color w:val="auto"/>
          <w:sz w:val="32"/>
          <w:szCs w:val="32"/>
          <w:highlight w:val="none"/>
        </w:rPr>
        <w:t>0.00</w:t>
      </w:r>
      <w:r>
        <w:rPr>
          <w:rFonts w:hint="eastAsia" w:ascii="仿宋" w:hAnsi="仿宋" w:eastAsia="仿宋" w:cs="仿宋"/>
          <w:b w:val="0"/>
          <w:bCs/>
          <w:color w:val="auto"/>
          <w:sz w:val="32"/>
          <w:szCs w:val="32"/>
          <w:highlight w:val="none"/>
          <w:shd w:val="clear" w:color="auto" w:fill="FFFFFF"/>
        </w:rPr>
        <w:t>万元，机关运行经费主要用于开支办公费、公务车运行维护费、信息网络购置更新费等方面。机关运行经费较上年支出数无增减，主要原因是</w:t>
      </w:r>
      <w:r>
        <w:rPr>
          <w:rFonts w:hint="eastAsia" w:ascii="仿宋" w:hAnsi="仿宋" w:eastAsia="仿宋" w:cs="仿宋"/>
          <w:b w:val="0"/>
          <w:bCs/>
          <w:color w:val="auto"/>
          <w:sz w:val="32"/>
          <w:szCs w:val="32"/>
          <w:highlight w:val="none"/>
          <w:lang w:val="en-US" w:eastAsia="zh-CN"/>
        </w:rPr>
        <w:t>2024年农业服务中心为新增编报单位，上年数为0，本年数也为0，故机关运行经费支出数无增减。</w:t>
      </w:r>
    </w:p>
    <w:p>
      <w:pPr>
        <w:pStyle w:val="11"/>
        <w:keepNext w:val="0"/>
        <w:keepLines w:val="0"/>
        <w:pageBreakBefore w:val="0"/>
        <w:widowControl/>
        <w:shd w:val="clear"/>
        <w:kinsoku/>
        <w:wordWrap/>
        <w:overflowPunct/>
        <w:topLinePunct w:val="0"/>
        <w:autoSpaceDE w:val="0"/>
        <w:autoSpaceDN/>
        <w:bidi w:val="0"/>
        <w:adjustRightInd/>
        <w:spacing w:beforeAutospacing="0" w:afterAutospacing="0" w:line="594" w:lineRule="exact"/>
        <w:ind w:firstLine="643"/>
        <w:textAlignment w:val="auto"/>
        <w:rPr>
          <w:rStyle w:val="10"/>
          <w:rFonts w:hint="eastAsia" w:ascii="楷体" w:hAnsi="楷体" w:eastAsia="楷体" w:cs="楷体"/>
          <w:b w:val="0"/>
          <w:bCs/>
          <w:color w:val="auto"/>
          <w:sz w:val="32"/>
          <w:szCs w:val="32"/>
          <w:highlight w:val="none"/>
          <w:shd w:val="clear" w:color="auto" w:fill="FFFFFF"/>
          <w:lang w:val="en-US" w:eastAsia="zh-CN" w:bidi="ar-SA"/>
        </w:rPr>
      </w:pPr>
      <w:r>
        <w:rPr>
          <w:rStyle w:val="10"/>
          <w:rFonts w:hint="eastAsia" w:ascii="楷体" w:hAnsi="楷体" w:eastAsia="楷体" w:cs="楷体"/>
          <w:b w:val="0"/>
          <w:bCs/>
          <w:color w:val="auto"/>
          <w:sz w:val="32"/>
          <w:szCs w:val="32"/>
          <w:highlight w:val="none"/>
          <w:shd w:val="clear" w:color="auto" w:fill="FFFFFF"/>
          <w:lang w:val="en-US" w:eastAsia="zh-CN" w:bidi="ar-SA"/>
        </w:rPr>
        <w:t>（三）国有资产占用情况说明</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shd w:val="clear" w:color="auto" w:fill="FFFFFF"/>
        </w:rPr>
        <w:t>截至</w:t>
      </w:r>
      <w:r>
        <w:rPr>
          <w:rFonts w:hint="eastAsia" w:ascii="仿宋" w:hAnsi="仿宋" w:eastAsia="仿宋" w:cs="仿宋"/>
          <w:b w:val="0"/>
          <w:bCs/>
          <w:color w:val="auto"/>
          <w:sz w:val="32"/>
          <w:szCs w:val="32"/>
          <w:highlight w:val="none"/>
          <w:shd w:val="clear" w:color="auto" w:fill="FFFFFF"/>
          <w:lang w:eastAsia="zh-CN"/>
        </w:rPr>
        <w:t>2024年</w:t>
      </w:r>
      <w:r>
        <w:rPr>
          <w:rFonts w:hint="eastAsia" w:ascii="仿宋" w:hAnsi="仿宋" w:eastAsia="仿宋" w:cs="仿宋"/>
          <w:b w:val="0"/>
          <w:bCs/>
          <w:color w:val="auto"/>
          <w:sz w:val="32"/>
          <w:szCs w:val="32"/>
          <w:highlight w:val="none"/>
          <w:shd w:val="clear" w:color="auto" w:fill="FFFFFF"/>
        </w:rPr>
        <w:t>12月31日，本单位共有车辆</w:t>
      </w:r>
      <w:r>
        <w:rPr>
          <w:rFonts w:hint="eastAsia" w:ascii="仿宋" w:hAnsi="仿宋" w:eastAsia="仿宋" w:cs="仿宋"/>
          <w:b w:val="0"/>
          <w:bCs/>
          <w:color w:val="auto"/>
          <w:sz w:val="32"/>
          <w:szCs w:val="32"/>
          <w:highlight w:val="none"/>
        </w:rPr>
        <w:t>0</w:t>
      </w:r>
      <w:r>
        <w:rPr>
          <w:rFonts w:hint="eastAsia" w:ascii="仿宋" w:hAnsi="仿宋" w:eastAsia="仿宋" w:cs="仿宋"/>
          <w:b w:val="0"/>
          <w:bCs/>
          <w:color w:val="auto"/>
          <w:sz w:val="32"/>
          <w:szCs w:val="32"/>
          <w:highlight w:val="none"/>
          <w:shd w:val="clear" w:color="auto" w:fill="FFFFFF"/>
        </w:rPr>
        <w:t>辆，其中，副部（省）级及以上领导用车</w:t>
      </w:r>
      <w:r>
        <w:rPr>
          <w:rFonts w:hint="eastAsia" w:ascii="仿宋" w:hAnsi="仿宋" w:eastAsia="仿宋" w:cs="仿宋"/>
          <w:b w:val="0"/>
          <w:bCs/>
          <w:color w:val="auto"/>
          <w:sz w:val="32"/>
          <w:szCs w:val="32"/>
          <w:highlight w:val="none"/>
        </w:rPr>
        <w:t>0</w:t>
      </w:r>
      <w:r>
        <w:rPr>
          <w:rFonts w:hint="eastAsia" w:ascii="仿宋" w:hAnsi="仿宋" w:eastAsia="仿宋" w:cs="仿宋"/>
          <w:b w:val="0"/>
          <w:bCs/>
          <w:color w:val="auto"/>
          <w:sz w:val="32"/>
          <w:szCs w:val="32"/>
          <w:highlight w:val="none"/>
          <w:shd w:val="clear" w:color="auto" w:fill="FFFFFF"/>
        </w:rPr>
        <w:t>辆、主要负责人用车</w:t>
      </w:r>
      <w:r>
        <w:rPr>
          <w:rFonts w:hint="eastAsia" w:ascii="仿宋" w:hAnsi="仿宋" w:eastAsia="仿宋" w:cs="仿宋"/>
          <w:b w:val="0"/>
          <w:bCs/>
          <w:color w:val="auto"/>
          <w:sz w:val="32"/>
          <w:szCs w:val="32"/>
          <w:highlight w:val="none"/>
        </w:rPr>
        <w:t>0</w:t>
      </w:r>
      <w:r>
        <w:rPr>
          <w:rFonts w:hint="eastAsia" w:ascii="仿宋" w:hAnsi="仿宋" w:eastAsia="仿宋" w:cs="仿宋"/>
          <w:b w:val="0"/>
          <w:bCs/>
          <w:color w:val="auto"/>
          <w:sz w:val="32"/>
          <w:szCs w:val="32"/>
          <w:highlight w:val="none"/>
          <w:shd w:val="clear" w:color="auto" w:fill="FFFFFF"/>
        </w:rPr>
        <w:t>辆、机要通信用车</w:t>
      </w:r>
      <w:r>
        <w:rPr>
          <w:rFonts w:hint="eastAsia" w:ascii="仿宋" w:hAnsi="仿宋" w:eastAsia="仿宋" w:cs="仿宋"/>
          <w:b w:val="0"/>
          <w:bCs/>
          <w:color w:val="auto"/>
          <w:sz w:val="32"/>
          <w:szCs w:val="32"/>
          <w:highlight w:val="none"/>
        </w:rPr>
        <w:t>0</w:t>
      </w:r>
      <w:r>
        <w:rPr>
          <w:rFonts w:hint="eastAsia" w:ascii="仿宋" w:hAnsi="仿宋" w:eastAsia="仿宋" w:cs="仿宋"/>
          <w:b w:val="0"/>
          <w:bCs/>
          <w:color w:val="auto"/>
          <w:sz w:val="32"/>
          <w:szCs w:val="32"/>
          <w:highlight w:val="none"/>
          <w:shd w:val="clear" w:color="auto" w:fill="FFFFFF"/>
        </w:rPr>
        <w:t>辆、应急保障用车</w:t>
      </w:r>
      <w:r>
        <w:rPr>
          <w:rFonts w:hint="eastAsia" w:ascii="仿宋" w:hAnsi="仿宋" w:eastAsia="仿宋" w:cs="仿宋"/>
          <w:b w:val="0"/>
          <w:bCs/>
          <w:color w:val="auto"/>
          <w:sz w:val="32"/>
          <w:szCs w:val="32"/>
          <w:highlight w:val="none"/>
        </w:rPr>
        <w:t>0</w:t>
      </w:r>
      <w:r>
        <w:rPr>
          <w:rFonts w:hint="eastAsia" w:ascii="仿宋" w:hAnsi="仿宋" w:eastAsia="仿宋" w:cs="仿宋"/>
          <w:b w:val="0"/>
          <w:bCs/>
          <w:color w:val="auto"/>
          <w:sz w:val="32"/>
          <w:szCs w:val="32"/>
          <w:highlight w:val="none"/>
          <w:shd w:val="clear" w:color="auto" w:fill="FFFFFF"/>
        </w:rPr>
        <w:t>辆、执法执勤用车</w:t>
      </w:r>
      <w:r>
        <w:rPr>
          <w:rFonts w:hint="eastAsia" w:ascii="仿宋" w:hAnsi="仿宋" w:eastAsia="仿宋" w:cs="仿宋"/>
          <w:b w:val="0"/>
          <w:bCs/>
          <w:color w:val="auto"/>
          <w:sz w:val="32"/>
          <w:szCs w:val="32"/>
          <w:highlight w:val="none"/>
        </w:rPr>
        <w:t>0</w:t>
      </w:r>
      <w:r>
        <w:rPr>
          <w:rFonts w:hint="eastAsia" w:ascii="仿宋" w:hAnsi="仿宋" w:eastAsia="仿宋" w:cs="仿宋"/>
          <w:b w:val="0"/>
          <w:bCs/>
          <w:color w:val="auto"/>
          <w:sz w:val="32"/>
          <w:szCs w:val="32"/>
          <w:highlight w:val="none"/>
          <w:shd w:val="clear" w:color="auto" w:fill="FFFFFF"/>
        </w:rPr>
        <w:t>辆，特种专业技术用车</w:t>
      </w:r>
      <w:r>
        <w:rPr>
          <w:rFonts w:hint="eastAsia" w:ascii="仿宋" w:hAnsi="仿宋" w:eastAsia="仿宋" w:cs="仿宋"/>
          <w:b w:val="0"/>
          <w:bCs/>
          <w:color w:val="auto"/>
          <w:sz w:val="32"/>
          <w:szCs w:val="32"/>
          <w:highlight w:val="none"/>
        </w:rPr>
        <w:t>0</w:t>
      </w:r>
      <w:r>
        <w:rPr>
          <w:rFonts w:hint="eastAsia" w:ascii="仿宋" w:hAnsi="仿宋" w:eastAsia="仿宋" w:cs="仿宋"/>
          <w:b w:val="0"/>
          <w:bCs/>
          <w:color w:val="auto"/>
          <w:sz w:val="32"/>
          <w:szCs w:val="32"/>
          <w:highlight w:val="none"/>
          <w:shd w:val="clear" w:color="auto" w:fill="FFFFFF"/>
        </w:rPr>
        <w:t>辆，离退休干部用车</w:t>
      </w:r>
      <w:r>
        <w:rPr>
          <w:rFonts w:hint="eastAsia" w:ascii="仿宋" w:hAnsi="仿宋" w:eastAsia="仿宋" w:cs="仿宋"/>
          <w:b w:val="0"/>
          <w:bCs/>
          <w:color w:val="auto"/>
          <w:sz w:val="32"/>
          <w:szCs w:val="32"/>
          <w:highlight w:val="none"/>
        </w:rPr>
        <w:t>0</w:t>
      </w:r>
      <w:r>
        <w:rPr>
          <w:rFonts w:hint="eastAsia" w:ascii="仿宋" w:hAnsi="仿宋" w:eastAsia="仿宋" w:cs="仿宋"/>
          <w:b w:val="0"/>
          <w:bCs/>
          <w:color w:val="auto"/>
          <w:sz w:val="32"/>
          <w:szCs w:val="32"/>
          <w:highlight w:val="none"/>
          <w:shd w:val="clear" w:color="auto" w:fill="FFFFFF"/>
        </w:rPr>
        <w:t>辆。单价100万元（含）以上专用设备</w:t>
      </w:r>
      <w:r>
        <w:rPr>
          <w:rFonts w:hint="eastAsia" w:ascii="仿宋" w:hAnsi="仿宋" w:eastAsia="仿宋" w:cs="仿宋"/>
          <w:b w:val="0"/>
          <w:bCs/>
          <w:color w:val="auto"/>
          <w:sz w:val="32"/>
          <w:szCs w:val="32"/>
          <w:highlight w:val="none"/>
        </w:rPr>
        <w:t>0</w:t>
      </w:r>
      <w:r>
        <w:rPr>
          <w:rFonts w:hint="eastAsia" w:ascii="仿宋" w:hAnsi="仿宋" w:eastAsia="仿宋" w:cs="仿宋"/>
          <w:b w:val="0"/>
          <w:bCs/>
          <w:color w:val="auto"/>
          <w:sz w:val="32"/>
          <w:szCs w:val="32"/>
          <w:highlight w:val="none"/>
          <w:shd w:val="clear" w:color="auto" w:fill="FFFFFF"/>
        </w:rPr>
        <w:t>台（套）。</w:t>
      </w:r>
    </w:p>
    <w:p>
      <w:pPr>
        <w:pStyle w:val="11"/>
        <w:keepNext w:val="0"/>
        <w:keepLines w:val="0"/>
        <w:pageBreakBefore w:val="0"/>
        <w:widowControl/>
        <w:shd w:val="clear"/>
        <w:kinsoku/>
        <w:wordWrap/>
        <w:overflowPunct/>
        <w:topLinePunct w:val="0"/>
        <w:autoSpaceDE w:val="0"/>
        <w:autoSpaceDN/>
        <w:bidi w:val="0"/>
        <w:adjustRightInd/>
        <w:spacing w:beforeAutospacing="0" w:afterAutospacing="0" w:line="594" w:lineRule="exact"/>
        <w:ind w:firstLine="643"/>
        <w:textAlignment w:val="auto"/>
        <w:rPr>
          <w:rStyle w:val="10"/>
          <w:rFonts w:hint="eastAsia" w:ascii="楷体" w:hAnsi="楷体" w:eastAsia="楷体" w:cs="楷体"/>
          <w:b w:val="0"/>
          <w:bCs/>
          <w:color w:val="auto"/>
          <w:sz w:val="32"/>
          <w:szCs w:val="32"/>
          <w:highlight w:val="none"/>
          <w:shd w:val="clear" w:color="auto" w:fill="FFFFFF"/>
          <w:lang w:val="en-US" w:eastAsia="zh-CN" w:bidi="ar-SA"/>
        </w:rPr>
      </w:pPr>
      <w:r>
        <w:rPr>
          <w:rStyle w:val="10"/>
          <w:rFonts w:hint="eastAsia" w:ascii="楷体" w:hAnsi="楷体" w:eastAsia="楷体" w:cs="楷体"/>
          <w:b w:val="0"/>
          <w:bCs/>
          <w:color w:val="auto"/>
          <w:sz w:val="32"/>
          <w:szCs w:val="32"/>
          <w:highlight w:val="none"/>
          <w:shd w:val="clear" w:color="auto" w:fill="FFFFFF"/>
          <w:lang w:val="en-US" w:eastAsia="zh-CN" w:bidi="ar-SA"/>
        </w:rPr>
        <w:t>（四）政府采购支出情况说明</w:t>
      </w:r>
    </w:p>
    <w:p>
      <w:pPr>
        <w:pStyle w:val="7"/>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仿宋" w:hAnsi="仿宋" w:eastAsia="仿宋" w:cs="仿宋"/>
          <w:b w:val="0"/>
          <w:bCs/>
          <w:color w:val="auto"/>
          <w:sz w:val="32"/>
          <w:szCs w:val="32"/>
          <w:highlight w:val="none"/>
          <w:shd w:val="clear" w:color="auto" w:fill="FFFFFF"/>
        </w:rPr>
      </w:pPr>
      <w:r>
        <w:rPr>
          <w:rFonts w:hint="eastAsia" w:ascii="仿宋" w:hAnsi="仿宋" w:eastAsia="仿宋" w:cs="仿宋"/>
          <w:b w:val="0"/>
          <w:bCs/>
          <w:color w:val="auto"/>
          <w:sz w:val="32"/>
          <w:szCs w:val="32"/>
          <w:highlight w:val="none"/>
          <w:shd w:val="clear" w:color="auto" w:fill="FFFFFF"/>
          <w:lang w:eastAsia="zh-CN"/>
        </w:rPr>
        <w:t>2024年</w:t>
      </w:r>
      <w:r>
        <w:rPr>
          <w:rFonts w:hint="eastAsia" w:ascii="仿宋" w:hAnsi="仿宋" w:eastAsia="仿宋" w:cs="仿宋"/>
          <w:b w:val="0"/>
          <w:bCs/>
          <w:color w:val="auto"/>
          <w:sz w:val="32"/>
          <w:szCs w:val="32"/>
          <w:highlight w:val="none"/>
          <w:shd w:val="clear" w:color="auto" w:fill="FFFFFF"/>
        </w:rPr>
        <w:t>度我单位未发生政府采购事项，无相关经费支出。</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4" w:lineRule="exact"/>
        <w:ind w:left="638" w:leftChars="266" w:firstLine="0" w:firstLineChars="0"/>
        <w:textAlignment w:val="auto"/>
        <w:rPr>
          <w:rStyle w:val="10"/>
          <w:rFonts w:hint="eastAsia" w:ascii="黑体" w:hAnsi="黑体" w:eastAsia="黑体" w:cs="黑体"/>
          <w:b w:val="0"/>
          <w:bCs/>
          <w:color w:val="auto"/>
          <w:sz w:val="32"/>
          <w:szCs w:val="32"/>
          <w:highlight w:val="none"/>
          <w:shd w:val="clear" w:color="auto" w:fill="FFFFFF"/>
          <w:lang w:val="en-US" w:eastAsia="zh-CN" w:bidi="ar-SA"/>
        </w:rPr>
      </w:pPr>
      <w:r>
        <w:rPr>
          <w:rStyle w:val="10"/>
          <w:rFonts w:hint="eastAsia" w:ascii="黑体" w:hAnsi="黑体" w:eastAsia="黑体" w:cs="黑体"/>
          <w:b w:val="0"/>
          <w:bCs/>
          <w:color w:val="auto"/>
          <w:sz w:val="32"/>
          <w:szCs w:val="32"/>
          <w:highlight w:val="none"/>
          <w:shd w:val="clear" w:color="auto" w:fill="FFFFFF"/>
          <w:lang w:val="en-US" w:eastAsia="zh-CN" w:bidi="ar-SA"/>
        </w:rPr>
        <w:t>五、2024年度预算绩效管理情况说明</w:t>
      </w:r>
    </w:p>
    <w:p>
      <w:pPr>
        <w:pStyle w:val="11"/>
        <w:keepNext w:val="0"/>
        <w:keepLines w:val="0"/>
        <w:pageBreakBefore w:val="0"/>
        <w:widowControl/>
        <w:shd w:val="clear"/>
        <w:kinsoku/>
        <w:wordWrap/>
        <w:overflowPunct/>
        <w:topLinePunct w:val="0"/>
        <w:autoSpaceDE w:val="0"/>
        <w:autoSpaceDN/>
        <w:bidi w:val="0"/>
        <w:adjustRightInd/>
        <w:spacing w:beforeAutospacing="0" w:afterAutospacing="0" w:line="594" w:lineRule="exact"/>
        <w:ind w:firstLine="643"/>
        <w:textAlignment w:val="auto"/>
        <w:rPr>
          <w:rStyle w:val="10"/>
          <w:rFonts w:hint="eastAsia" w:ascii="楷体" w:hAnsi="楷体" w:eastAsia="楷体" w:cs="楷体"/>
          <w:b w:val="0"/>
          <w:bCs/>
          <w:color w:val="auto"/>
          <w:sz w:val="32"/>
          <w:szCs w:val="32"/>
          <w:highlight w:val="none"/>
          <w:shd w:val="clear" w:color="auto" w:fill="FFFFFF"/>
          <w:lang w:val="en-US" w:eastAsia="zh-CN" w:bidi="ar-SA"/>
        </w:rPr>
      </w:pPr>
      <w:r>
        <w:rPr>
          <w:rStyle w:val="10"/>
          <w:rFonts w:hint="eastAsia" w:ascii="楷体" w:hAnsi="楷体" w:eastAsia="楷体" w:cs="楷体"/>
          <w:b w:val="0"/>
          <w:bCs/>
          <w:color w:val="auto"/>
          <w:sz w:val="32"/>
          <w:szCs w:val="32"/>
          <w:highlight w:val="none"/>
          <w:shd w:val="clear" w:color="auto" w:fill="FFFFFF"/>
          <w:lang w:val="en-US" w:eastAsia="zh-CN" w:bidi="ar-SA"/>
        </w:rPr>
        <w:t>（一）单位自评情况</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jc w:val="both"/>
        <w:textAlignment w:val="auto"/>
        <w:rPr>
          <w:rFonts w:hint="eastAsia" w:ascii="仿宋" w:hAnsi="仿宋" w:eastAsia="仿宋" w:cs="仿宋"/>
          <w:b w:val="0"/>
          <w:bCs/>
          <w:color w:val="auto"/>
          <w:kern w:val="0"/>
          <w:sz w:val="32"/>
          <w:szCs w:val="32"/>
          <w:highlight w:val="none"/>
          <w:shd w:val="clear" w:fill="FFFFFF"/>
          <w:lang w:val="en-US" w:eastAsia="zh-CN"/>
        </w:rPr>
      </w:pPr>
      <w:r>
        <w:rPr>
          <w:rFonts w:hint="eastAsia" w:ascii="仿宋" w:hAnsi="仿宋" w:eastAsia="仿宋" w:cs="仿宋"/>
          <w:b w:val="0"/>
          <w:bCs/>
          <w:color w:val="auto"/>
          <w:kern w:val="0"/>
          <w:sz w:val="32"/>
          <w:szCs w:val="32"/>
          <w:highlight w:val="none"/>
          <w:shd w:val="clear" w:fill="FFFFFF"/>
        </w:rPr>
        <w:t>根据预算绩效管理要求，</w:t>
      </w:r>
      <w:r>
        <w:rPr>
          <w:rFonts w:hint="eastAsia" w:ascii="仿宋" w:hAnsi="仿宋" w:eastAsia="仿宋" w:cs="仿宋"/>
          <w:b w:val="0"/>
          <w:bCs/>
          <w:color w:val="auto"/>
          <w:kern w:val="0"/>
          <w:sz w:val="32"/>
          <w:szCs w:val="32"/>
          <w:highlight w:val="none"/>
          <w:shd w:val="clear" w:fill="FFFFFF"/>
          <w:lang w:val="en-US" w:eastAsia="zh-CN"/>
        </w:rPr>
        <w:t>我单位</w:t>
      </w:r>
      <w:r>
        <w:rPr>
          <w:rFonts w:hint="eastAsia" w:ascii="仿宋" w:hAnsi="仿宋" w:eastAsia="仿宋" w:cs="仿宋"/>
          <w:b w:val="0"/>
          <w:bCs/>
          <w:color w:val="auto"/>
          <w:kern w:val="0"/>
          <w:sz w:val="32"/>
          <w:szCs w:val="32"/>
          <w:highlight w:val="none"/>
          <w:shd w:val="clear" w:fill="FFFFFF"/>
        </w:rPr>
        <w:t>财政拨款项目支出资金</w:t>
      </w:r>
      <w:r>
        <w:rPr>
          <w:rFonts w:hint="eastAsia" w:ascii="仿宋" w:hAnsi="仿宋" w:eastAsia="仿宋" w:cs="仿宋"/>
          <w:b w:val="0"/>
          <w:bCs/>
          <w:color w:val="auto"/>
          <w:kern w:val="0"/>
          <w:sz w:val="32"/>
          <w:szCs w:val="32"/>
          <w:highlight w:val="none"/>
          <w:shd w:val="clear" w:fill="FFFFFF"/>
          <w:lang w:val="en-US" w:eastAsia="zh-CN"/>
        </w:rPr>
        <w:t>0</w:t>
      </w:r>
      <w:r>
        <w:rPr>
          <w:rFonts w:hint="eastAsia" w:ascii="仿宋" w:hAnsi="仿宋" w:eastAsia="仿宋" w:cs="仿宋"/>
          <w:b w:val="0"/>
          <w:bCs/>
          <w:color w:val="auto"/>
          <w:kern w:val="0"/>
          <w:sz w:val="32"/>
          <w:szCs w:val="32"/>
          <w:highlight w:val="none"/>
          <w:shd w:val="clear" w:fill="FFFFFF"/>
        </w:rPr>
        <w:t>万元</w:t>
      </w:r>
      <w:r>
        <w:rPr>
          <w:rFonts w:hint="eastAsia" w:ascii="仿宋" w:hAnsi="仿宋" w:eastAsia="仿宋" w:cs="仿宋"/>
          <w:b w:val="0"/>
          <w:bCs/>
          <w:color w:val="auto"/>
          <w:kern w:val="0"/>
          <w:sz w:val="32"/>
          <w:szCs w:val="32"/>
          <w:highlight w:val="none"/>
          <w:shd w:val="clear" w:fill="FFFFFF"/>
          <w:lang w:eastAsia="zh-CN"/>
        </w:rPr>
        <w:t>，</w:t>
      </w:r>
      <w:r>
        <w:rPr>
          <w:rFonts w:hint="eastAsia" w:ascii="仿宋" w:hAnsi="仿宋" w:eastAsia="仿宋" w:cs="仿宋"/>
          <w:b w:val="0"/>
          <w:bCs/>
          <w:color w:val="auto"/>
          <w:kern w:val="0"/>
          <w:sz w:val="32"/>
          <w:szCs w:val="32"/>
          <w:highlight w:val="none"/>
          <w:shd w:val="clear" w:fill="FFFFFF"/>
        </w:rPr>
        <w:t>部门整体绩效自评</w:t>
      </w:r>
      <w:r>
        <w:rPr>
          <w:rFonts w:hint="eastAsia" w:ascii="仿宋" w:hAnsi="仿宋" w:eastAsia="仿宋" w:cs="仿宋"/>
          <w:b w:val="0"/>
          <w:bCs/>
          <w:color w:val="auto"/>
          <w:kern w:val="0"/>
          <w:sz w:val="32"/>
          <w:szCs w:val="32"/>
          <w:highlight w:val="none"/>
          <w:shd w:val="clear" w:fill="FFFFFF"/>
          <w:lang w:eastAsia="zh-CN"/>
        </w:rPr>
        <w:t>表、</w:t>
      </w:r>
      <w:r>
        <w:rPr>
          <w:rFonts w:hint="eastAsia" w:ascii="仿宋" w:hAnsi="仿宋" w:eastAsia="仿宋" w:cs="仿宋"/>
          <w:b w:val="0"/>
          <w:bCs/>
          <w:color w:val="auto"/>
          <w:kern w:val="0"/>
          <w:sz w:val="32"/>
          <w:szCs w:val="32"/>
          <w:highlight w:val="none"/>
          <w:shd w:val="clear" w:fill="FFFFFF"/>
        </w:rPr>
        <w:t>项目支出绩效自评表</w:t>
      </w:r>
      <w:r>
        <w:rPr>
          <w:rFonts w:hint="eastAsia" w:ascii="仿宋" w:hAnsi="仿宋" w:eastAsia="仿宋" w:cs="仿宋"/>
          <w:b w:val="0"/>
          <w:bCs/>
          <w:color w:val="auto"/>
          <w:kern w:val="0"/>
          <w:sz w:val="32"/>
          <w:szCs w:val="32"/>
          <w:highlight w:val="none"/>
          <w:shd w:val="clear" w:fill="FFFFFF"/>
          <w:lang w:val="en-US" w:eastAsia="zh-CN"/>
        </w:rPr>
        <w:t>为空。</w:t>
      </w:r>
    </w:p>
    <w:p>
      <w:pPr>
        <w:pStyle w:val="11"/>
        <w:keepNext w:val="0"/>
        <w:keepLines w:val="0"/>
        <w:pageBreakBefore w:val="0"/>
        <w:widowControl/>
        <w:shd w:val="clear"/>
        <w:kinsoku/>
        <w:wordWrap/>
        <w:overflowPunct/>
        <w:topLinePunct w:val="0"/>
        <w:autoSpaceDE w:val="0"/>
        <w:autoSpaceDN/>
        <w:bidi w:val="0"/>
        <w:adjustRightInd/>
        <w:spacing w:beforeAutospacing="0" w:afterAutospacing="0" w:line="594" w:lineRule="exact"/>
        <w:ind w:firstLine="643"/>
        <w:textAlignment w:val="auto"/>
        <w:rPr>
          <w:rStyle w:val="10"/>
          <w:rFonts w:hint="eastAsia" w:ascii="楷体" w:hAnsi="楷体" w:eastAsia="楷体" w:cs="楷体"/>
          <w:b w:val="0"/>
          <w:bCs/>
          <w:color w:val="auto"/>
          <w:sz w:val="32"/>
          <w:szCs w:val="32"/>
          <w:highlight w:val="none"/>
          <w:shd w:val="clear" w:color="auto" w:fill="FFFFFF"/>
          <w:lang w:val="en-US" w:eastAsia="zh-CN" w:bidi="ar-SA"/>
        </w:rPr>
      </w:pPr>
      <w:r>
        <w:rPr>
          <w:rStyle w:val="10"/>
          <w:rFonts w:hint="eastAsia" w:ascii="楷体" w:hAnsi="楷体" w:eastAsia="楷体" w:cs="楷体"/>
          <w:b w:val="0"/>
          <w:bCs/>
          <w:color w:val="auto"/>
          <w:sz w:val="32"/>
          <w:szCs w:val="32"/>
          <w:highlight w:val="none"/>
          <w:shd w:val="clear" w:color="auto" w:fill="FFFFFF"/>
          <w:lang w:val="en-US" w:eastAsia="zh-CN" w:bidi="ar-SA"/>
        </w:rPr>
        <w:t>（二）部门绩效评价情况</w:t>
      </w:r>
    </w:p>
    <w:p>
      <w:pPr>
        <w:pStyle w:val="11"/>
        <w:keepNext w:val="0"/>
        <w:keepLines w:val="0"/>
        <w:pageBreakBefore w:val="0"/>
        <w:widowControl/>
        <w:shd w:val="clear"/>
        <w:kinsoku/>
        <w:wordWrap/>
        <w:overflowPunct/>
        <w:topLinePunct w:val="0"/>
        <w:autoSpaceDE w:val="0"/>
        <w:autoSpaceDN/>
        <w:bidi w:val="0"/>
        <w:adjustRightInd/>
        <w:spacing w:beforeAutospacing="0" w:afterAutospacing="0" w:line="594" w:lineRule="exact"/>
        <w:ind w:firstLine="643"/>
        <w:textAlignment w:val="auto"/>
        <w:rPr>
          <w:rFonts w:hint="eastAsia" w:ascii="仿宋" w:hAnsi="仿宋" w:eastAsia="仿宋" w:cs="仿宋"/>
          <w:b w:val="0"/>
          <w:bCs/>
          <w:color w:val="auto"/>
          <w:sz w:val="32"/>
          <w:szCs w:val="32"/>
          <w:highlight w:val="none"/>
          <w:shd w:val="clear" w:color="auto" w:fill="auto"/>
          <w:lang w:val="en-US" w:eastAsia="zh-CN"/>
        </w:rPr>
      </w:pPr>
      <w:r>
        <w:rPr>
          <w:rFonts w:hint="eastAsia" w:ascii="仿宋" w:hAnsi="仿宋" w:eastAsia="仿宋" w:cs="仿宋"/>
          <w:b w:val="0"/>
          <w:bCs/>
          <w:color w:val="auto"/>
          <w:sz w:val="32"/>
          <w:szCs w:val="32"/>
          <w:highlight w:val="none"/>
          <w:shd w:val="clear" w:color="auto" w:fill="auto"/>
          <w:lang w:val="en-US" w:eastAsia="zh-CN"/>
        </w:rPr>
        <w:t>无</w:t>
      </w:r>
    </w:p>
    <w:p>
      <w:pPr>
        <w:pStyle w:val="11"/>
        <w:keepNext w:val="0"/>
        <w:keepLines w:val="0"/>
        <w:pageBreakBefore w:val="0"/>
        <w:widowControl/>
        <w:shd w:val="clear"/>
        <w:kinsoku/>
        <w:wordWrap/>
        <w:overflowPunct/>
        <w:topLinePunct w:val="0"/>
        <w:autoSpaceDE w:val="0"/>
        <w:autoSpaceDN/>
        <w:bidi w:val="0"/>
        <w:adjustRightInd/>
        <w:spacing w:beforeAutospacing="0" w:afterAutospacing="0" w:line="594" w:lineRule="exact"/>
        <w:ind w:firstLine="643"/>
        <w:textAlignment w:val="auto"/>
        <w:rPr>
          <w:rStyle w:val="10"/>
          <w:rFonts w:hint="eastAsia" w:ascii="楷体" w:hAnsi="楷体" w:eastAsia="楷体" w:cs="楷体"/>
          <w:b w:val="0"/>
          <w:bCs/>
          <w:color w:val="auto"/>
          <w:sz w:val="32"/>
          <w:szCs w:val="32"/>
          <w:highlight w:val="none"/>
          <w:shd w:val="clear" w:color="auto" w:fill="FFFFFF"/>
          <w:lang w:val="en-US" w:eastAsia="zh-CN" w:bidi="ar-SA"/>
        </w:rPr>
      </w:pPr>
      <w:r>
        <w:rPr>
          <w:rStyle w:val="10"/>
          <w:rFonts w:hint="eastAsia" w:ascii="楷体" w:hAnsi="楷体" w:eastAsia="楷体" w:cs="楷体"/>
          <w:b w:val="0"/>
          <w:bCs/>
          <w:color w:val="auto"/>
          <w:sz w:val="32"/>
          <w:szCs w:val="32"/>
          <w:highlight w:val="none"/>
          <w:shd w:val="clear" w:color="auto" w:fill="FFFFFF"/>
          <w:lang w:val="en-US" w:eastAsia="zh-CN" w:bidi="ar-SA"/>
        </w:rPr>
        <w:t>（三）财政绩效评价情况</w:t>
      </w:r>
    </w:p>
    <w:p>
      <w:pPr>
        <w:pStyle w:val="12"/>
        <w:keepNext w:val="0"/>
        <w:keepLines w:val="0"/>
        <w:pageBreakBefore w:val="0"/>
        <w:widowControl/>
        <w:shd w:val="clear"/>
        <w:kinsoku/>
        <w:wordWrap/>
        <w:overflowPunct/>
        <w:topLinePunct w:val="0"/>
        <w:autoSpaceDE w:val="0"/>
        <w:autoSpaceDN/>
        <w:bidi w:val="0"/>
        <w:adjustRightInd/>
        <w:snapToGrid/>
        <w:spacing w:before="0" w:beforeAutospacing="0" w:after="0" w:afterAutospacing="0" w:line="594" w:lineRule="exact"/>
        <w:ind w:left="638" w:leftChars="266" w:firstLine="0" w:firstLineChars="0"/>
        <w:textAlignment w:val="auto"/>
        <w:rPr>
          <w:rFonts w:hint="eastAsia" w:ascii="仿宋" w:hAnsi="仿宋" w:eastAsia="仿宋" w:cs="仿宋"/>
          <w:b w:val="0"/>
          <w:bCs/>
          <w:color w:val="auto"/>
          <w:sz w:val="32"/>
          <w:szCs w:val="32"/>
          <w:highlight w:val="none"/>
          <w:shd w:val="clear" w:color="auto" w:fill="auto"/>
          <w:lang w:val="en-US" w:eastAsia="zh-CN"/>
        </w:rPr>
      </w:pPr>
      <w:r>
        <w:rPr>
          <w:rFonts w:hint="eastAsia" w:ascii="仿宋" w:hAnsi="仿宋" w:eastAsia="仿宋" w:cs="仿宋"/>
          <w:b w:val="0"/>
          <w:bCs/>
          <w:color w:val="auto"/>
          <w:sz w:val="32"/>
          <w:szCs w:val="32"/>
          <w:highlight w:val="none"/>
          <w:shd w:val="clear" w:color="auto" w:fill="auto"/>
          <w:lang w:val="en-US" w:eastAsia="zh-CN"/>
        </w:rPr>
        <w:t>无</w:t>
      </w:r>
      <w:bookmarkStart w:id="0" w:name="_GoBack"/>
      <w:bookmarkEnd w:id="0"/>
    </w:p>
    <w:p>
      <w:pPr>
        <w:pStyle w:val="12"/>
        <w:keepNext w:val="0"/>
        <w:keepLines w:val="0"/>
        <w:pageBreakBefore w:val="0"/>
        <w:widowControl/>
        <w:shd w:val="clear"/>
        <w:kinsoku/>
        <w:wordWrap/>
        <w:overflowPunct/>
        <w:topLinePunct w:val="0"/>
        <w:autoSpaceDE w:val="0"/>
        <w:autoSpaceDN/>
        <w:bidi w:val="0"/>
        <w:adjustRightInd/>
        <w:snapToGrid/>
        <w:spacing w:before="0" w:beforeAutospacing="0" w:after="0" w:afterAutospacing="0" w:line="594" w:lineRule="exact"/>
        <w:ind w:left="638" w:leftChars="266" w:firstLine="0" w:firstLineChars="0"/>
        <w:textAlignment w:val="auto"/>
        <w:rPr>
          <w:rFonts w:hint="eastAsia" w:ascii="仿宋" w:hAnsi="仿宋" w:eastAsia="仿宋" w:cs="仿宋"/>
          <w:b w:val="0"/>
          <w:bCs/>
          <w:color w:val="auto"/>
          <w:kern w:val="0"/>
          <w:sz w:val="32"/>
          <w:szCs w:val="32"/>
          <w:highlight w:val="none"/>
        </w:rPr>
      </w:pPr>
      <w:r>
        <w:rPr>
          <w:rStyle w:val="10"/>
          <w:rFonts w:hint="eastAsia" w:ascii="黑体" w:hAnsi="黑体" w:eastAsia="黑体" w:cs="黑体"/>
          <w:b w:val="0"/>
          <w:bCs/>
          <w:color w:val="auto"/>
          <w:sz w:val="32"/>
          <w:szCs w:val="32"/>
          <w:highlight w:val="none"/>
          <w:shd w:val="clear" w:color="auto" w:fill="FFFFFF"/>
          <w:lang w:val="en-US" w:eastAsia="zh-CN" w:bidi="ar-SA"/>
        </w:rPr>
        <w:t>六、专业名词解释</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b w:val="0"/>
          <w:bCs/>
          <w:color w:val="auto"/>
          <w:kern w:val="0"/>
          <w:sz w:val="32"/>
          <w:szCs w:val="32"/>
          <w:highlight w:val="none"/>
        </w:rPr>
      </w:pPr>
      <w:r>
        <w:rPr>
          <w:rStyle w:val="10"/>
          <w:rFonts w:hint="eastAsia" w:ascii="楷体" w:hAnsi="楷体" w:eastAsia="楷体" w:cs="楷体"/>
          <w:b w:val="0"/>
          <w:bCs/>
          <w:color w:val="auto"/>
          <w:sz w:val="32"/>
          <w:szCs w:val="32"/>
          <w:highlight w:val="none"/>
          <w:shd w:val="clear" w:color="auto" w:fill="FFFFFF"/>
          <w:lang w:val="en-US" w:eastAsia="zh-CN" w:bidi="ar-SA"/>
        </w:rPr>
        <w:t>（一）财政拨款收入：</w:t>
      </w:r>
      <w:r>
        <w:rPr>
          <w:rFonts w:hint="eastAsia" w:ascii="仿宋" w:hAnsi="仿宋" w:eastAsia="仿宋" w:cs="仿宋"/>
          <w:b w:val="0"/>
          <w:bCs/>
          <w:color w:val="auto"/>
          <w:kern w:val="0"/>
          <w:sz w:val="32"/>
          <w:szCs w:val="32"/>
          <w:highlight w:val="none"/>
          <w:shd w:val="clear" w:fill="FFFFFF"/>
        </w:rPr>
        <w:t>指本年度从本级财政部门取得的财政拨款，包括一般公共预算财政拨款和政府性基金预算财政拨款。</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b w:val="0"/>
          <w:bCs/>
          <w:color w:val="auto"/>
          <w:kern w:val="0"/>
          <w:sz w:val="32"/>
          <w:szCs w:val="32"/>
          <w:highlight w:val="none"/>
        </w:rPr>
      </w:pPr>
      <w:r>
        <w:rPr>
          <w:rStyle w:val="10"/>
          <w:rFonts w:hint="eastAsia" w:ascii="楷体" w:hAnsi="楷体" w:eastAsia="楷体" w:cs="楷体"/>
          <w:b w:val="0"/>
          <w:bCs/>
          <w:color w:val="auto"/>
          <w:sz w:val="32"/>
          <w:szCs w:val="32"/>
          <w:highlight w:val="none"/>
          <w:shd w:val="clear" w:color="auto" w:fill="FFFFFF"/>
          <w:lang w:val="en-US" w:eastAsia="zh-CN" w:bidi="ar-SA"/>
        </w:rPr>
        <w:t>（二）事业收入：</w:t>
      </w:r>
      <w:r>
        <w:rPr>
          <w:rFonts w:hint="eastAsia" w:ascii="仿宋" w:hAnsi="仿宋" w:eastAsia="仿宋" w:cs="仿宋"/>
          <w:b w:val="0"/>
          <w:bCs/>
          <w:color w:val="auto"/>
          <w:kern w:val="0"/>
          <w:sz w:val="32"/>
          <w:szCs w:val="32"/>
          <w:highlight w:val="none"/>
          <w:shd w:val="clear" w:fill="FFFFFF"/>
        </w:rPr>
        <w:t>指事业单位开展专业业务活动及其辅助活动取得的现金流入；事业单位收到的财政专户实际核拨的教育收费等资金在此反映。</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b w:val="0"/>
          <w:bCs/>
          <w:color w:val="auto"/>
          <w:kern w:val="0"/>
          <w:sz w:val="32"/>
          <w:szCs w:val="32"/>
          <w:highlight w:val="none"/>
        </w:rPr>
      </w:pPr>
      <w:r>
        <w:rPr>
          <w:rStyle w:val="10"/>
          <w:rFonts w:hint="eastAsia" w:ascii="楷体" w:hAnsi="楷体" w:eastAsia="楷体" w:cs="楷体"/>
          <w:b w:val="0"/>
          <w:bCs/>
          <w:color w:val="auto"/>
          <w:sz w:val="32"/>
          <w:szCs w:val="32"/>
          <w:highlight w:val="none"/>
          <w:shd w:val="clear" w:color="auto" w:fill="FFFFFF"/>
          <w:lang w:val="en-US" w:eastAsia="zh-CN" w:bidi="ar-SA"/>
        </w:rPr>
        <w:t>（三）经营收入：</w:t>
      </w:r>
      <w:r>
        <w:rPr>
          <w:rFonts w:hint="eastAsia" w:ascii="仿宋" w:hAnsi="仿宋" w:eastAsia="仿宋" w:cs="仿宋"/>
          <w:b w:val="0"/>
          <w:bCs/>
          <w:color w:val="auto"/>
          <w:kern w:val="0"/>
          <w:sz w:val="32"/>
          <w:szCs w:val="32"/>
          <w:highlight w:val="none"/>
          <w:shd w:val="clear" w:fill="FFFFFF"/>
        </w:rPr>
        <w:t>指事业单位在专业业务活动及其辅助活动之外开展非独立核算经营活动取得的现金流入。</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b w:val="0"/>
          <w:bCs/>
          <w:color w:val="auto"/>
          <w:kern w:val="0"/>
          <w:sz w:val="32"/>
          <w:szCs w:val="32"/>
          <w:highlight w:val="none"/>
        </w:rPr>
      </w:pPr>
      <w:r>
        <w:rPr>
          <w:rStyle w:val="10"/>
          <w:rFonts w:hint="eastAsia" w:ascii="楷体" w:hAnsi="楷体" w:eastAsia="楷体" w:cs="楷体"/>
          <w:b w:val="0"/>
          <w:bCs/>
          <w:color w:val="auto"/>
          <w:sz w:val="32"/>
          <w:szCs w:val="32"/>
          <w:highlight w:val="none"/>
          <w:shd w:val="clear" w:color="auto" w:fill="FFFFFF"/>
          <w:lang w:val="en-US" w:eastAsia="zh-CN" w:bidi="ar-SA"/>
        </w:rPr>
        <w:t>（四）其他收入：</w:t>
      </w:r>
      <w:r>
        <w:rPr>
          <w:rFonts w:hint="eastAsia" w:ascii="仿宋" w:hAnsi="仿宋" w:eastAsia="仿宋" w:cs="仿宋"/>
          <w:b w:val="0"/>
          <w:bCs/>
          <w:color w:val="auto"/>
          <w:kern w:val="0"/>
          <w:sz w:val="32"/>
          <w:szCs w:val="32"/>
          <w:highlight w:val="none"/>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b w:val="0"/>
          <w:bCs/>
          <w:color w:val="auto"/>
          <w:kern w:val="0"/>
          <w:sz w:val="32"/>
          <w:szCs w:val="32"/>
          <w:highlight w:val="none"/>
        </w:rPr>
      </w:pPr>
      <w:r>
        <w:rPr>
          <w:rStyle w:val="10"/>
          <w:rFonts w:hint="eastAsia" w:ascii="楷体" w:hAnsi="楷体" w:eastAsia="楷体" w:cs="楷体"/>
          <w:b w:val="0"/>
          <w:bCs/>
          <w:color w:val="auto"/>
          <w:sz w:val="32"/>
          <w:szCs w:val="32"/>
          <w:highlight w:val="none"/>
          <w:shd w:val="clear" w:color="auto" w:fill="FFFFFF"/>
          <w:lang w:val="en-US" w:eastAsia="zh-CN" w:bidi="ar-SA"/>
        </w:rPr>
        <w:t>（五）使用非财政拨款结余：</w:t>
      </w:r>
      <w:r>
        <w:rPr>
          <w:rFonts w:hint="eastAsia" w:ascii="仿宋" w:hAnsi="仿宋" w:eastAsia="仿宋" w:cs="仿宋"/>
          <w:b w:val="0"/>
          <w:bCs/>
          <w:color w:val="auto"/>
          <w:kern w:val="0"/>
          <w:sz w:val="32"/>
          <w:szCs w:val="32"/>
          <w:highlight w:val="none"/>
          <w:shd w:val="clear" w:fill="FFFFFF"/>
        </w:rPr>
        <w:t>指单位在当年的“财政拨款收入”、“事业收入”、“经营收入”、“其他收入”等不足以安排当年支出的情况下，使用以前年度积累的非财政拨款结余弥补本年度收支缺口的资金。</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b w:val="0"/>
          <w:bCs/>
          <w:color w:val="auto"/>
          <w:kern w:val="0"/>
          <w:sz w:val="32"/>
          <w:szCs w:val="32"/>
          <w:highlight w:val="none"/>
        </w:rPr>
      </w:pPr>
      <w:r>
        <w:rPr>
          <w:rStyle w:val="10"/>
          <w:rFonts w:hint="eastAsia" w:ascii="楷体" w:hAnsi="楷体" w:eastAsia="楷体" w:cs="楷体"/>
          <w:b w:val="0"/>
          <w:bCs/>
          <w:color w:val="auto"/>
          <w:sz w:val="32"/>
          <w:szCs w:val="32"/>
          <w:highlight w:val="none"/>
          <w:shd w:val="clear" w:color="auto" w:fill="FFFFFF"/>
          <w:lang w:val="en-US" w:eastAsia="zh-CN" w:bidi="ar-SA"/>
        </w:rPr>
        <w:t>（六）年初结转和结余：</w:t>
      </w:r>
      <w:r>
        <w:rPr>
          <w:rFonts w:hint="eastAsia" w:ascii="仿宋" w:hAnsi="仿宋" w:eastAsia="仿宋" w:cs="仿宋"/>
          <w:b w:val="0"/>
          <w:bCs/>
          <w:color w:val="auto"/>
          <w:kern w:val="0"/>
          <w:sz w:val="32"/>
          <w:szCs w:val="32"/>
          <w:highlight w:val="none"/>
          <w:shd w:val="clear" w:fill="FFFFFF"/>
        </w:rPr>
        <w:t>指单位上年结转本年使用的基本支出结转、项目支出结转和结余、经营结余。</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b w:val="0"/>
          <w:bCs/>
          <w:color w:val="auto"/>
          <w:kern w:val="0"/>
          <w:sz w:val="32"/>
          <w:szCs w:val="32"/>
          <w:highlight w:val="none"/>
        </w:rPr>
      </w:pPr>
      <w:r>
        <w:rPr>
          <w:rStyle w:val="10"/>
          <w:rFonts w:hint="eastAsia" w:ascii="楷体" w:hAnsi="楷体" w:eastAsia="楷体" w:cs="楷体"/>
          <w:b w:val="0"/>
          <w:bCs/>
          <w:color w:val="auto"/>
          <w:sz w:val="32"/>
          <w:szCs w:val="32"/>
          <w:highlight w:val="none"/>
          <w:shd w:val="clear" w:color="auto" w:fill="FFFFFF"/>
          <w:lang w:val="en-US" w:eastAsia="zh-CN" w:bidi="ar-SA"/>
        </w:rPr>
        <w:t>（七）结余分配：</w:t>
      </w:r>
      <w:r>
        <w:rPr>
          <w:rFonts w:hint="eastAsia" w:ascii="仿宋" w:hAnsi="仿宋" w:eastAsia="仿宋" w:cs="仿宋"/>
          <w:b w:val="0"/>
          <w:bCs/>
          <w:color w:val="auto"/>
          <w:kern w:val="0"/>
          <w:sz w:val="32"/>
          <w:szCs w:val="32"/>
          <w:highlight w:val="none"/>
          <w:shd w:val="clear" w:fill="FFFFFF"/>
        </w:rPr>
        <w:t>指单位按照国家有关规定，缴纳所得税、提取专用基金、转入非财政拨款结余等当年结余的分配情况。</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b w:val="0"/>
          <w:bCs/>
          <w:color w:val="auto"/>
          <w:kern w:val="0"/>
          <w:sz w:val="32"/>
          <w:szCs w:val="32"/>
          <w:highlight w:val="none"/>
        </w:rPr>
      </w:pPr>
      <w:r>
        <w:rPr>
          <w:rStyle w:val="10"/>
          <w:rFonts w:hint="eastAsia" w:ascii="楷体" w:hAnsi="楷体" w:eastAsia="楷体" w:cs="楷体"/>
          <w:b w:val="0"/>
          <w:bCs/>
          <w:color w:val="auto"/>
          <w:sz w:val="32"/>
          <w:szCs w:val="32"/>
          <w:highlight w:val="none"/>
          <w:shd w:val="clear" w:color="auto" w:fill="FFFFFF"/>
          <w:lang w:val="en-US" w:eastAsia="zh-CN" w:bidi="ar-SA"/>
        </w:rPr>
        <w:t>（八）年末结转和结余：</w:t>
      </w:r>
      <w:r>
        <w:rPr>
          <w:rFonts w:hint="eastAsia" w:ascii="仿宋" w:hAnsi="仿宋" w:eastAsia="仿宋" w:cs="仿宋"/>
          <w:b w:val="0"/>
          <w:bCs/>
          <w:color w:val="auto"/>
          <w:kern w:val="0"/>
          <w:sz w:val="32"/>
          <w:szCs w:val="32"/>
          <w:highlight w:val="none"/>
          <w:shd w:val="clear" w:fill="FFFFFF"/>
        </w:rPr>
        <w:t>指单位结转下年的基本支出结转、项目支出结转和结余、经营结余。</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b w:val="0"/>
          <w:bCs/>
          <w:color w:val="auto"/>
          <w:kern w:val="0"/>
          <w:sz w:val="32"/>
          <w:szCs w:val="32"/>
          <w:highlight w:val="none"/>
        </w:rPr>
      </w:pPr>
      <w:r>
        <w:rPr>
          <w:rStyle w:val="10"/>
          <w:rFonts w:hint="eastAsia" w:ascii="楷体" w:hAnsi="楷体" w:eastAsia="楷体" w:cs="楷体"/>
          <w:b w:val="0"/>
          <w:bCs/>
          <w:color w:val="auto"/>
          <w:sz w:val="32"/>
          <w:szCs w:val="32"/>
          <w:highlight w:val="none"/>
          <w:shd w:val="clear" w:color="auto" w:fill="FFFFFF"/>
          <w:lang w:val="en-US" w:eastAsia="zh-CN" w:bidi="ar-SA"/>
        </w:rPr>
        <w:t>（九）基本支出：</w:t>
      </w:r>
      <w:r>
        <w:rPr>
          <w:rFonts w:hint="eastAsia" w:ascii="仿宋" w:hAnsi="仿宋" w:eastAsia="仿宋" w:cs="仿宋"/>
          <w:b w:val="0"/>
          <w:bCs/>
          <w:color w:val="auto"/>
          <w:kern w:val="0"/>
          <w:sz w:val="32"/>
          <w:szCs w:val="32"/>
          <w:highlight w:val="none"/>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b w:val="0"/>
          <w:bCs/>
          <w:color w:val="auto"/>
          <w:kern w:val="0"/>
          <w:sz w:val="32"/>
          <w:szCs w:val="32"/>
          <w:highlight w:val="none"/>
        </w:rPr>
      </w:pPr>
      <w:r>
        <w:rPr>
          <w:rStyle w:val="10"/>
          <w:rFonts w:hint="eastAsia" w:ascii="楷体" w:hAnsi="楷体" w:eastAsia="楷体" w:cs="楷体"/>
          <w:b w:val="0"/>
          <w:bCs/>
          <w:color w:val="auto"/>
          <w:sz w:val="32"/>
          <w:szCs w:val="32"/>
          <w:highlight w:val="none"/>
          <w:shd w:val="clear" w:color="auto" w:fill="FFFFFF"/>
          <w:lang w:val="en-US" w:eastAsia="zh-CN" w:bidi="ar-SA"/>
        </w:rPr>
        <w:t>（十）项目支出：</w:t>
      </w:r>
      <w:r>
        <w:rPr>
          <w:rFonts w:hint="eastAsia" w:ascii="仿宋" w:hAnsi="仿宋" w:eastAsia="仿宋" w:cs="仿宋"/>
          <w:b w:val="0"/>
          <w:bCs/>
          <w:color w:val="auto"/>
          <w:kern w:val="0"/>
          <w:sz w:val="32"/>
          <w:szCs w:val="32"/>
          <w:highlight w:val="none"/>
          <w:shd w:val="clear" w:fill="FFFFFF"/>
        </w:rPr>
        <w:t>指在基本支出之外为完成特定行政任务和事业发展目标所发生的支出。</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b w:val="0"/>
          <w:bCs/>
          <w:color w:val="auto"/>
          <w:kern w:val="0"/>
          <w:sz w:val="32"/>
          <w:szCs w:val="32"/>
          <w:highlight w:val="none"/>
        </w:rPr>
      </w:pPr>
      <w:r>
        <w:rPr>
          <w:rStyle w:val="10"/>
          <w:rFonts w:hint="eastAsia" w:ascii="楷体" w:hAnsi="楷体" w:eastAsia="楷体" w:cs="楷体"/>
          <w:b w:val="0"/>
          <w:bCs/>
          <w:color w:val="auto"/>
          <w:sz w:val="32"/>
          <w:szCs w:val="32"/>
          <w:highlight w:val="none"/>
          <w:shd w:val="clear" w:color="auto" w:fill="FFFFFF"/>
          <w:lang w:val="en-US" w:eastAsia="zh-CN" w:bidi="ar-SA"/>
        </w:rPr>
        <w:t>（十一）经营支出：</w:t>
      </w:r>
      <w:r>
        <w:rPr>
          <w:rFonts w:hint="eastAsia" w:ascii="仿宋" w:hAnsi="仿宋" w:eastAsia="仿宋" w:cs="仿宋"/>
          <w:b w:val="0"/>
          <w:bCs/>
          <w:color w:val="auto"/>
          <w:kern w:val="0"/>
          <w:sz w:val="32"/>
          <w:szCs w:val="32"/>
          <w:highlight w:val="none"/>
          <w:shd w:val="clear" w:fill="FFFFFF"/>
        </w:rPr>
        <w:t>指事业单位在专业业务活动及其辅助活动之外开展非独立核算经营活动发生的支出。</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b w:val="0"/>
          <w:bCs/>
          <w:color w:val="auto"/>
          <w:kern w:val="0"/>
          <w:sz w:val="32"/>
          <w:szCs w:val="32"/>
          <w:highlight w:val="none"/>
        </w:rPr>
      </w:pPr>
      <w:r>
        <w:rPr>
          <w:rStyle w:val="10"/>
          <w:rFonts w:hint="eastAsia" w:ascii="楷体" w:hAnsi="楷体" w:eastAsia="楷体" w:cs="楷体"/>
          <w:b w:val="0"/>
          <w:bCs/>
          <w:color w:val="auto"/>
          <w:sz w:val="32"/>
          <w:szCs w:val="32"/>
          <w:highlight w:val="none"/>
          <w:shd w:val="clear" w:color="auto" w:fill="FFFFFF"/>
          <w:lang w:val="en-US" w:eastAsia="zh-CN" w:bidi="ar-SA"/>
        </w:rPr>
        <w:t>（十二）“三公”经费：</w:t>
      </w:r>
      <w:r>
        <w:rPr>
          <w:rFonts w:hint="eastAsia" w:ascii="仿宋" w:hAnsi="仿宋" w:eastAsia="仿宋" w:cs="仿宋"/>
          <w:b w:val="0"/>
          <w:bCs/>
          <w:color w:val="auto"/>
          <w:kern w:val="0"/>
          <w:sz w:val="32"/>
          <w:szCs w:val="32"/>
          <w:highlight w:val="none"/>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b w:val="0"/>
          <w:bCs/>
          <w:color w:val="auto"/>
          <w:kern w:val="0"/>
          <w:sz w:val="32"/>
          <w:szCs w:val="32"/>
          <w:highlight w:val="none"/>
        </w:rPr>
      </w:pPr>
      <w:r>
        <w:rPr>
          <w:rStyle w:val="10"/>
          <w:rFonts w:hint="eastAsia" w:ascii="楷体" w:hAnsi="楷体" w:eastAsia="楷体" w:cs="楷体"/>
          <w:b w:val="0"/>
          <w:bCs/>
          <w:color w:val="auto"/>
          <w:sz w:val="32"/>
          <w:szCs w:val="32"/>
          <w:highlight w:val="none"/>
          <w:shd w:val="clear" w:color="auto" w:fill="FFFFFF"/>
          <w:lang w:val="en-US" w:eastAsia="zh-CN" w:bidi="ar-SA"/>
        </w:rPr>
        <w:t>（十三）机关运行经费：</w:t>
      </w:r>
      <w:r>
        <w:rPr>
          <w:rFonts w:hint="eastAsia" w:ascii="仿宋" w:hAnsi="仿宋" w:eastAsia="仿宋" w:cs="仿宋"/>
          <w:b w:val="0"/>
          <w:bCs/>
          <w:color w:val="auto"/>
          <w:kern w:val="0"/>
          <w:sz w:val="32"/>
          <w:szCs w:val="32"/>
          <w:highlight w:val="none"/>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b w:val="0"/>
          <w:bCs/>
          <w:color w:val="auto"/>
          <w:kern w:val="0"/>
          <w:sz w:val="32"/>
          <w:szCs w:val="32"/>
          <w:highlight w:val="none"/>
        </w:rPr>
      </w:pPr>
      <w:r>
        <w:rPr>
          <w:rStyle w:val="10"/>
          <w:rFonts w:hint="eastAsia" w:ascii="楷体" w:hAnsi="楷体" w:eastAsia="楷体" w:cs="楷体"/>
          <w:b w:val="0"/>
          <w:bCs/>
          <w:color w:val="auto"/>
          <w:sz w:val="32"/>
          <w:szCs w:val="32"/>
          <w:highlight w:val="none"/>
          <w:shd w:val="clear" w:color="auto" w:fill="FFFFFF"/>
          <w:lang w:val="en-US" w:eastAsia="zh-CN" w:bidi="ar-SA"/>
        </w:rPr>
        <w:t>（十四）工资福利支出（支出经济分类科目类级）：</w:t>
      </w:r>
      <w:r>
        <w:rPr>
          <w:rFonts w:hint="eastAsia" w:ascii="仿宋" w:hAnsi="仿宋" w:eastAsia="仿宋" w:cs="仿宋"/>
          <w:b w:val="0"/>
          <w:bCs/>
          <w:color w:val="auto"/>
          <w:kern w:val="0"/>
          <w:sz w:val="32"/>
          <w:szCs w:val="32"/>
          <w:highlight w:val="none"/>
          <w:shd w:val="clear" w:fill="FFFFFF"/>
        </w:rPr>
        <w:t>反映单位开支的在职职工和编制外长期聘用人员的各类劳动报酬，以及为上述人员缴纳的各项社会保险费等。</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b w:val="0"/>
          <w:bCs/>
          <w:color w:val="auto"/>
          <w:kern w:val="0"/>
          <w:sz w:val="32"/>
          <w:szCs w:val="32"/>
          <w:highlight w:val="none"/>
        </w:rPr>
      </w:pPr>
      <w:r>
        <w:rPr>
          <w:rStyle w:val="10"/>
          <w:rFonts w:hint="eastAsia" w:ascii="楷体" w:hAnsi="楷体" w:eastAsia="楷体" w:cs="楷体"/>
          <w:b w:val="0"/>
          <w:bCs/>
          <w:color w:val="auto"/>
          <w:sz w:val="32"/>
          <w:szCs w:val="32"/>
          <w:highlight w:val="none"/>
          <w:shd w:val="clear" w:color="auto" w:fill="FFFFFF"/>
          <w:lang w:val="en-US" w:eastAsia="zh-CN" w:bidi="ar-SA"/>
        </w:rPr>
        <w:t>（十五）商品和服务支出（支出经济分类科目类级）</w:t>
      </w:r>
      <w:r>
        <w:rPr>
          <w:rStyle w:val="10"/>
          <w:rFonts w:hint="eastAsia" w:ascii="仿宋" w:hAnsi="仿宋" w:eastAsia="仿宋" w:cs="仿宋"/>
          <w:b w:val="0"/>
          <w:bCs/>
          <w:color w:val="auto"/>
          <w:sz w:val="32"/>
          <w:szCs w:val="32"/>
          <w:highlight w:val="none"/>
          <w:shd w:val="clear" w:color="auto" w:fill="FFFFFF"/>
          <w:lang w:val="en-US" w:eastAsia="zh-CN" w:bidi="ar-SA"/>
        </w:rPr>
        <w:t>：</w:t>
      </w:r>
      <w:r>
        <w:rPr>
          <w:rFonts w:hint="eastAsia" w:ascii="仿宋" w:hAnsi="仿宋" w:eastAsia="仿宋" w:cs="仿宋"/>
          <w:b w:val="0"/>
          <w:bCs/>
          <w:color w:val="auto"/>
          <w:kern w:val="0"/>
          <w:sz w:val="32"/>
          <w:szCs w:val="32"/>
          <w:highlight w:val="none"/>
          <w:shd w:val="clear" w:fill="FFFFFF"/>
        </w:rPr>
        <w:t>反映单位购买商品和服务的支出（不包括用于购置固定资产的支出、战略性和应急储备支出）。</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b w:val="0"/>
          <w:bCs/>
          <w:color w:val="auto"/>
          <w:kern w:val="0"/>
          <w:sz w:val="32"/>
          <w:szCs w:val="32"/>
          <w:highlight w:val="none"/>
        </w:rPr>
      </w:pPr>
      <w:r>
        <w:rPr>
          <w:rStyle w:val="10"/>
          <w:rFonts w:hint="eastAsia" w:ascii="楷体" w:hAnsi="楷体" w:eastAsia="楷体" w:cs="楷体"/>
          <w:b w:val="0"/>
          <w:bCs/>
          <w:color w:val="auto"/>
          <w:sz w:val="32"/>
          <w:szCs w:val="32"/>
          <w:highlight w:val="none"/>
          <w:shd w:val="clear" w:color="auto" w:fill="FFFFFF"/>
          <w:lang w:val="en-US" w:eastAsia="zh-CN" w:bidi="ar-SA"/>
        </w:rPr>
        <w:t>（十六）对个人和家庭的补助（支出经济分类科目类级）：</w:t>
      </w:r>
      <w:r>
        <w:rPr>
          <w:rFonts w:hint="eastAsia" w:ascii="仿宋" w:hAnsi="仿宋" w:eastAsia="仿宋" w:cs="仿宋"/>
          <w:b w:val="0"/>
          <w:bCs/>
          <w:color w:val="auto"/>
          <w:kern w:val="0"/>
          <w:sz w:val="32"/>
          <w:szCs w:val="32"/>
          <w:highlight w:val="none"/>
          <w:shd w:val="clear" w:fill="FFFFFF"/>
        </w:rPr>
        <w:t>反映用于对个人和家庭的补助支出。</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b w:val="0"/>
          <w:bCs/>
          <w:color w:val="auto"/>
          <w:kern w:val="0"/>
          <w:sz w:val="32"/>
          <w:szCs w:val="32"/>
          <w:highlight w:val="none"/>
        </w:rPr>
      </w:pPr>
      <w:r>
        <w:rPr>
          <w:rStyle w:val="10"/>
          <w:rFonts w:hint="eastAsia" w:ascii="楷体" w:hAnsi="楷体" w:eastAsia="楷体" w:cs="楷体"/>
          <w:b w:val="0"/>
          <w:bCs/>
          <w:color w:val="auto"/>
          <w:sz w:val="32"/>
          <w:szCs w:val="32"/>
          <w:highlight w:val="none"/>
          <w:shd w:val="clear" w:color="auto" w:fill="FFFFFF"/>
          <w:lang w:val="en-US" w:eastAsia="zh-CN" w:bidi="ar-SA"/>
        </w:rPr>
        <w:t>（十七）其他资本性支出（支出经济分类科目类级）：</w:t>
      </w:r>
      <w:r>
        <w:rPr>
          <w:rFonts w:hint="eastAsia" w:ascii="仿宋" w:hAnsi="仿宋" w:eastAsia="仿宋" w:cs="仿宋"/>
          <w:b w:val="0"/>
          <w:bCs/>
          <w:color w:val="auto"/>
          <w:kern w:val="0"/>
          <w:sz w:val="32"/>
          <w:szCs w:val="32"/>
          <w:highlight w:val="none"/>
          <w:shd w:val="clear"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4" w:lineRule="exact"/>
        <w:ind w:left="638" w:leftChars="266" w:firstLine="0" w:firstLineChars="0"/>
        <w:textAlignment w:val="auto"/>
        <w:rPr>
          <w:rStyle w:val="10"/>
          <w:rFonts w:hint="eastAsia" w:ascii="黑体" w:hAnsi="黑体" w:eastAsia="黑体" w:cs="黑体"/>
          <w:b w:val="0"/>
          <w:bCs/>
          <w:color w:val="auto"/>
          <w:sz w:val="32"/>
          <w:szCs w:val="32"/>
          <w:highlight w:val="none"/>
          <w:shd w:val="clear" w:color="auto" w:fill="FFFFFF"/>
          <w:lang w:val="en-US" w:eastAsia="zh-CN"/>
        </w:rPr>
      </w:pPr>
      <w:r>
        <w:rPr>
          <w:rStyle w:val="10"/>
          <w:rFonts w:hint="eastAsia" w:ascii="黑体" w:hAnsi="黑体" w:eastAsia="黑体" w:cs="黑体"/>
          <w:b w:val="0"/>
          <w:bCs/>
          <w:color w:val="auto"/>
          <w:sz w:val="32"/>
          <w:szCs w:val="32"/>
          <w:highlight w:val="none"/>
          <w:shd w:val="clear" w:color="auto" w:fill="FFFFFF"/>
          <w:lang w:val="en-US" w:eastAsia="zh-CN"/>
        </w:rPr>
        <w:t>七、决算公开联系方式及信息反馈渠道</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b w:val="0"/>
          <w:bCs/>
          <w:color w:val="auto"/>
          <w:kern w:val="0"/>
          <w:sz w:val="32"/>
          <w:szCs w:val="32"/>
          <w:highlight w:val="none"/>
        </w:rPr>
      </w:pPr>
      <w:r>
        <w:rPr>
          <w:rFonts w:hint="eastAsia" w:ascii="仿宋" w:hAnsi="仿宋" w:eastAsia="仿宋" w:cs="仿宋"/>
          <w:b w:val="0"/>
          <w:bCs/>
          <w:color w:val="auto"/>
          <w:kern w:val="0"/>
          <w:sz w:val="32"/>
          <w:szCs w:val="32"/>
          <w:highlight w:val="none"/>
          <w:shd w:val="clear" w:fill="FFFFFF"/>
        </w:rPr>
        <w:t>本单位决算公开信息反馈和联系方式：</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仿宋" w:hAnsi="仿宋" w:eastAsia="仿宋" w:cs="仿宋"/>
          <w:b w:val="0"/>
          <w:bCs/>
          <w:color w:val="auto"/>
          <w:kern w:val="0"/>
          <w:sz w:val="32"/>
          <w:szCs w:val="32"/>
          <w:highlight w:val="none"/>
          <w:lang w:val="en-US" w:eastAsia="zh-CN"/>
        </w:rPr>
      </w:pPr>
      <w:r>
        <w:rPr>
          <w:rFonts w:hint="eastAsia" w:ascii="仿宋" w:hAnsi="仿宋" w:eastAsia="仿宋" w:cs="仿宋"/>
          <w:b w:val="0"/>
          <w:bCs/>
          <w:color w:val="auto"/>
          <w:kern w:val="0"/>
          <w:sz w:val="32"/>
          <w:szCs w:val="32"/>
          <w:highlight w:val="none"/>
          <w:shd w:val="clear" w:fill="FFFFFF"/>
        </w:rPr>
        <w:t xml:space="preserve"> 023-</w:t>
      </w:r>
      <w:r>
        <w:rPr>
          <w:rFonts w:hint="eastAsia" w:ascii="仿宋" w:hAnsi="仿宋" w:eastAsia="仿宋" w:cs="仿宋"/>
          <w:b w:val="0"/>
          <w:bCs/>
          <w:color w:val="auto"/>
          <w:kern w:val="0"/>
          <w:sz w:val="32"/>
          <w:szCs w:val="32"/>
          <w:highlight w:val="none"/>
          <w:shd w:val="clear" w:fill="FFFFFF"/>
          <w:lang w:val="en-US" w:eastAsia="zh-CN"/>
        </w:rPr>
        <w:t>51638005</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8"/>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巫溪县胜利乡农业服务中心</w:t>
            </w: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230.27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175.59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33.15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230.27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230.27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230.27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230.27</w:t>
            </w:r>
          </w:p>
        </w:tc>
      </w:tr>
    </w:tbl>
    <w:p>
      <w:pPr>
        <w:pStyle w:val="11"/>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11"/>
        <w:numPr>
          <w:ilvl w:val="0"/>
          <w:numId w:val="0"/>
        </w:numPr>
        <w:autoSpaceDE w:val="0"/>
        <w:rPr>
          <w:rFonts w:hint="eastAsia" w:ascii="宋体" w:hAnsi="宋体" w:eastAsia="宋体" w:cs="宋体"/>
          <w:sz w:val="21"/>
          <w:szCs w:val="21"/>
          <w:lang w:val="en-US" w:eastAsia="zh-CN"/>
        </w:rPr>
      </w:pPr>
    </w:p>
    <w:tbl>
      <w:tblPr>
        <w:tblStyle w:val="8"/>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巫溪县胜利乡农业服务中心</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230.27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230.27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175.59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175.59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175.59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175.59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175.59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175.59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33.15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33.15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33.15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33.15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巫溪县胜利乡农业服务中心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230.27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230.27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175.59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175.59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175.59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175.59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175.59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175.59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33.15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33.15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33.15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33.15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巫溪县胜利乡农业服务中心</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230.27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175.59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175.59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33.15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33.15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9.78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9.78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11.74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11.74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230.27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230.27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230.27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230.27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230.27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230.27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巫溪县胜利乡农业服务中心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230.27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230.27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230.27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230.27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175.59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175.59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175.59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175.59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政府办公厅（室）及相关机构事务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175.59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175.59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175.59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175.59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2010350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175.59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175.59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175.59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175.59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33.15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33.15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33.15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33.15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33.15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33.15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33.15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33.15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21.80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21.80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21.80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21.80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11.35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11.35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11.35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11.35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9.78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9.78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9.78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9.78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9.78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9.78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9.78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9.78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9.78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9.78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9.78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9.78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11.74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11.74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11.74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11.74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11.74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11.74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11.74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11.74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11.74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11.74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11.74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11.74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巫溪县胜利乡农业服务中心</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205.65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24.61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50.37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14.66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85.21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0.50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21.80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11.35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0.50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9.78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0.73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3.40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11.74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0.50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0.50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3.40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0.59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1.23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205.65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24.61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巫溪县胜利乡农业服务中心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巫溪县胜利乡农业服务中心</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巫溪县胜利乡农业服务中心</w:t>
            </w: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3.40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3.40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3.40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12</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179</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0.50</w:t>
            </w:r>
          </w:p>
        </w:tc>
        <w:tc>
          <w:tcPr>
            <w:tcW w:w="5317"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0.50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3.40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11"/>
        <w:autoSpaceDE w:val="0"/>
        <w:ind w:firstLine="0" w:firstLineChars="0"/>
        <w:rPr>
          <w:rFonts w:hint="default" w:ascii="宋体" w:hAnsi="宋体" w:eastAsia="宋体"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4MzZhY2Q5NDMzNzI0OTBiNmYxNGY1MWMzMDA0NjcifQ=="/>
  </w:docVars>
  <w:rsids>
    <w:rsidRoot w:val="00B03CCD"/>
    <w:rsid w:val="00550ABE"/>
    <w:rsid w:val="007B419D"/>
    <w:rsid w:val="009B67B8"/>
    <w:rsid w:val="00B03CCD"/>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643C6"/>
    <w:rsid w:val="13CE1647"/>
    <w:rsid w:val="141A11EA"/>
    <w:rsid w:val="14200702"/>
    <w:rsid w:val="148E377E"/>
    <w:rsid w:val="1580711B"/>
    <w:rsid w:val="189B0D0B"/>
    <w:rsid w:val="194A1770"/>
    <w:rsid w:val="19917D9C"/>
    <w:rsid w:val="19B906A4"/>
    <w:rsid w:val="1A1F744B"/>
    <w:rsid w:val="1A4854EC"/>
    <w:rsid w:val="1B6F15B6"/>
    <w:rsid w:val="1BAA2EDC"/>
    <w:rsid w:val="1CE157EE"/>
    <w:rsid w:val="1D014A01"/>
    <w:rsid w:val="1D022362"/>
    <w:rsid w:val="1DD26311"/>
    <w:rsid w:val="1EF67CA4"/>
    <w:rsid w:val="1FCD26AF"/>
    <w:rsid w:val="20642787"/>
    <w:rsid w:val="21556F04"/>
    <w:rsid w:val="22403BD3"/>
    <w:rsid w:val="24B92327"/>
    <w:rsid w:val="24CC29C2"/>
    <w:rsid w:val="2533755C"/>
    <w:rsid w:val="26396DF4"/>
    <w:rsid w:val="270642A6"/>
    <w:rsid w:val="27167136"/>
    <w:rsid w:val="27B23302"/>
    <w:rsid w:val="29310A5F"/>
    <w:rsid w:val="299947CC"/>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DAC4ACA"/>
    <w:rsid w:val="4F186D58"/>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4E4D38"/>
    <w:rsid w:val="656152C6"/>
    <w:rsid w:val="6587477F"/>
    <w:rsid w:val="658C3A08"/>
    <w:rsid w:val="65C031CA"/>
    <w:rsid w:val="65CE6852"/>
    <w:rsid w:val="66267C04"/>
    <w:rsid w:val="663F505A"/>
    <w:rsid w:val="665C1999"/>
    <w:rsid w:val="667F2393"/>
    <w:rsid w:val="66EE5541"/>
    <w:rsid w:val="692172FD"/>
    <w:rsid w:val="6A3829EE"/>
    <w:rsid w:val="6B474EF5"/>
    <w:rsid w:val="6C560CAE"/>
    <w:rsid w:val="6D0615E4"/>
    <w:rsid w:val="6D903FF5"/>
    <w:rsid w:val="6DA955B8"/>
    <w:rsid w:val="6DE346AB"/>
    <w:rsid w:val="6F7F6A2D"/>
    <w:rsid w:val="6FB442D1"/>
    <w:rsid w:val="6FFB2E76"/>
    <w:rsid w:val="7113387B"/>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B260559"/>
    <w:rsid w:val="7B420052"/>
    <w:rsid w:val="7BD06A28"/>
    <w:rsid w:val="7C1E4CD7"/>
    <w:rsid w:val="7C3A7C0B"/>
    <w:rsid w:val="7C5248E4"/>
    <w:rsid w:val="7C566698"/>
    <w:rsid w:val="7F0D1B65"/>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8203</Words>
  <Characters>10946</Characters>
  <Lines>161</Lines>
  <Paragraphs>45</Paragraphs>
  <TotalTime>10</TotalTime>
  <ScaleCrop>false</ScaleCrop>
  <LinksUpToDate>false</LinksUpToDate>
  <CharactersWithSpaces>12028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华为</cp:lastModifiedBy>
  <dcterms:modified xsi:type="dcterms:W3CDTF">2025-09-18T01:26:39Z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CF359173BC504813AC6CA81726598284_13</vt:lpwstr>
  </property>
</Properties>
</file>