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default" w:ascii="Times New Roman" w:hAnsi="Times New Roman" w:cs="Times New Roman" w:eastAsiaTheme="majorEastAsia"/>
          <w:color w:val="auto"/>
          <w:sz w:val="44"/>
          <w:szCs w:val="44"/>
          <w:highlight w:val="none"/>
        </w:rPr>
      </w:pPr>
      <w:bookmarkStart w:id="0" w:name="_GoBack"/>
      <w:bookmarkEnd w:id="0"/>
      <w:r>
        <w:rPr>
          <w:rFonts w:hint="default" w:ascii="Times New Roman" w:hAnsi="Times New Roman" w:cs="Times New Roman" w:eastAsiaTheme="majorEastAsia"/>
          <w:color w:val="auto"/>
          <w:sz w:val="44"/>
          <w:szCs w:val="44"/>
          <w:highlight w:val="none"/>
        </w:rPr>
        <w:t>巫溪县胜利乡人民政府（本级）</w:t>
      </w:r>
    </w:p>
    <w:p>
      <w:pPr>
        <w:pStyle w:val="5"/>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default" w:ascii="Times New Roman" w:hAnsi="Times New Roman" w:cs="Times New Roman" w:eastAsiaTheme="majorEastAsia"/>
          <w:color w:val="auto"/>
          <w:sz w:val="44"/>
          <w:szCs w:val="44"/>
          <w:highlight w:val="none"/>
          <w:shd w:val="clear" w:color="auto" w:fill="FFFFFF"/>
        </w:rPr>
      </w:pPr>
      <w:r>
        <w:rPr>
          <w:rFonts w:hint="default" w:ascii="Times New Roman" w:hAnsi="Times New Roman" w:cs="Times New Roman" w:eastAsiaTheme="majorEastAsia"/>
          <w:color w:val="auto"/>
          <w:sz w:val="44"/>
          <w:szCs w:val="44"/>
          <w:highlight w:val="none"/>
          <w:shd w:val="clear" w:color="auto" w:fill="FFFFFF"/>
        </w:rPr>
        <w:t>2024年度决算公开说明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2" w:firstLineChars="200"/>
        <w:textAlignment w:val="auto"/>
        <w:rPr>
          <w:rStyle w:val="8"/>
          <w:rFonts w:hint="default" w:ascii="Times New Roman" w:hAnsi="Times New Roman" w:eastAsia="黑体" w:cs="Times New Roman"/>
          <w:color w:val="auto"/>
          <w:sz w:val="32"/>
          <w:szCs w:val="32"/>
          <w:highlight w:val="none"/>
          <w:shd w:val="clear" w:color="auto" w:fill="FFFFFF"/>
        </w:rPr>
      </w:pPr>
      <w:r>
        <w:rPr>
          <w:rStyle w:val="8"/>
          <w:rFonts w:hint="default" w:ascii="Times New Roman" w:hAnsi="Times New Roman" w:eastAsia="黑体" w:cs="Times New Roman"/>
          <w:color w:val="auto"/>
          <w:sz w:val="32"/>
          <w:szCs w:val="32"/>
          <w:highlight w:val="none"/>
          <w:shd w:val="clear" w:color="auto" w:fill="FFFFFF"/>
        </w:rPr>
        <w:t>一、</w:t>
      </w:r>
      <w:r>
        <w:rPr>
          <w:rStyle w:val="8"/>
          <w:rFonts w:hint="default" w:ascii="Times New Roman" w:hAnsi="Times New Roman" w:eastAsia="黑体" w:cs="Times New Roman"/>
          <w:color w:val="auto"/>
          <w:sz w:val="32"/>
          <w:szCs w:val="32"/>
          <w:highlight w:val="none"/>
          <w:shd w:val="clear" w:color="auto" w:fill="FFFFFF"/>
          <w:lang w:eastAsia="zh-CN"/>
        </w:rPr>
        <w:t>单位</w:t>
      </w:r>
      <w:r>
        <w:rPr>
          <w:rStyle w:val="8"/>
          <w:rFonts w:hint="default" w:ascii="Times New Roman" w:hAnsi="Times New Roman" w:eastAsia="黑体" w:cs="Times New Roman"/>
          <w:color w:val="auto"/>
          <w:sz w:val="32"/>
          <w:szCs w:val="32"/>
          <w:highlight w:val="none"/>
          <w:shd w:val="clear" w:color="auto" w:fill="FFFFFF"/>
        </w:rPr>
        <w:t>基本情况</w:t>
      </w:r>
    </w:p>
    <w:p>
      <w:pPr>
        <w:pStyle w:val="5"/>
        <w:keepNext w:val="0"/>
        <w:keepLines w:val="0"/>
        <w:pageBreakBefore w:val="0"/>
        <w:shd w:val="clear" w:color="auto" w:fill="FFFFFF"/>
        <w:kinsoku/>
        <w:overflowPunct/>
        <w:topLinePunct w:val="0"/>
        <w:autoSpaceDN/>
        <w:bidi w:val="0"/>
        <w:adjustRightInd/>
        <w:spacing w:beforeAutospacing="0" w:afterAutospacing="0" w:line="594" w:lineRule="exact"/>
        <w:ind w:firstLine="420"/>
        <w:rPr>
          <w:rFonts w:hint="default" w:ascii="Times New Roman" w:hAnsi="Times New Roman" w:eastAsia="楷体" w:cs="Times New Roman"/>
          <w:b w:val="0"/>
          <w:bCs/>
          <w:color w:val="auto"/>
          <w:sz w:val="32"/>
          <w:szCs w:val="32"/>
          <w:highlight w:val="none"/>
        </w:rPr>
      </w:pPr>
      <w:r>
        <w:rPr>
          <w:rStyle w:val="8"/>
          <w:rFonts w:hint="default" w:ascii="Times New Roman" w:hAnsi="Times New Roman" w:eastAsia="楷体" w:cs="Times New Roman"/>
          <w:b w:val="0"/>
          <w:bCs/>
          <w:color w:val="auto"/>
          <w:sz w:val="32"/>
          <w:szCs w:val="32"/>
          <w:highlight w:val="none"/>
          <w:shd w:val="clear" w:color="auto" w:fill="FFFFFF"/>
        </w:rPr>
        <w:t>（一）职能职责</w:t>
      </w:r>
    </w:p>
    <w:p>
      <w:pPr>
        <w:pStyle w:val="5"/>
        <w:keepNext w:val="0"/>
        <w:keepLines w:val="0"/>
        <w:pageBreakBefore w:val="0"/>
        <w:shd w:val="clear" w:color="auto" w:fill="FFFFFF"/>
        <w:kinsoku/>
        <w:overflowPunct/>
        <w:topLinePunct w:val="0"/>
        <w:autoSpaceDN/>
        <w:bidi w:val="0"/>
        <w:adjustRightInd/>
        <w:spacing w:beforeAutospacing="0" w:afterAutospacing="0" w:line="594" w:lineRule="exact"/>
        <w:ind w:firstLine="640" w:firstLineChars="200"/>
        <w:rPr>
          <w:rFonts w:hint="default" w:ascii="Times New Roman" w:hAnsi="Times New Roman" w:eastAsia="仿宋" w:cs="Times New Roman"/>
          <w:b w:val="0"/>
          <w:bCs w:val="0"/>
          <w:color w:val="auto"/>
          <w:kern w:val="2"/>
          <w:sz w:val="32"/>
          <w:szCs w:val="32"/>
          <w:highlight w:val="none"/>
          <w:lang w:val="en-US" w:eastAsia="zh-CN" w:bidi="ar"/>
        </w:rPr>
      </w:pPr>
      <w:r>
        <w:rPr>
          <w:rFonts w:hint="default" w:ascii="Times New Roman" w:hAnsi="Times New Roman" w:eastAsia="仿宋" w:cs="Times New Roman"/>
          <w:b w:val="0"/>
          <w:bCs w:val="0"/>
          <w:color w:val="auto"/>
          <w:kern w:val="2"/>
          <w:sz w:val="32"/>
          <w:szCs w:val="32"/>
          <w:highlight w:val="none"/>
          <w:lang w:val="en-US" w:eastAsia="zh-CN" w:bidi="ar"/>
        </w:rPr>
        <w:t>巫溪县胜利乡人民政府属行政单位，履行法律规定的行政职能，包括乡党政机构具有党委和政府两种职能，党委领导政府工作。主要是政府思想和方针政策的领导、干部的选拔、考核和监督、经济和行政工作中重大问题的决策。乡政府是基层国家行政机关，行使本行政区的行政职能。</w:t>
      </w:r>
    </w:p>
    <w:p>
      <w:pPr>
        <w:pStyle w:val="5"/>
        <w:keepNext w:val="0"/>
        <w:keepLines w:val="0"/>
        <w:pageBreakBefore w:val="0"/>
        <w:shd w:val="clear" w:color="auto" w:fill="FFFFFF"/>
        <w:kinsoku/>
        <w:overflowPunct/>
        <w:topLinePunct w:val="0"/>
        <w:autoSpaceDN/>
        <w:bidi w:val="0"/>
        <w:adjustRightInd/>
        <w:spacing w:beforeAutospacing="0" w:afterAutospacing="0" w:line="594" w:lineRule="exact"/>
        <w:ind w:firstLine="420"/>
        <w:rPr>
          <w:rStyle w:val="8"/>
          <w:rFonts w:hint="default" w:ascii="Times New Roman" w:hAnsi="Times New Roman" w:eastAsia="楷体" w:cs="Times New Roman"/>
          <w:b w:val="0"/>
          <w:bCs/>
          <w:color w:val="auto"/>
          <w:sz w:val="32"/>
          <w:szCs w:val="32"/>
          <w:highlight w:val="none"/>
          <w:shd w:val="clear" w:color="auto" w:fill="FFFFFF"/>
        </w:rPr>
      </w:pPr>
      <w:r>
        <w:rPr>
          <w:rStyle w:val="8"/>
          <w:rFonts w:hint="default" w:ascii="Times New Roman" w:hAnsi="Times New Roman" w:eastAsia="楷体" w:cs="Times New Roman"/>
          <w:b w:val="0"/>
          <w:bCs/>
          <w:color w:val="auto"/>
          <w:sz w:val="32"/>
          <w:szCs w:val="32"/>
          <w:highlight w:val="none"/>
          <w:shd w:val="clear" w:color="auto" w:fill="FFFFFF"/>
        </w:rPr>
        <w:t>（二）机构设置</w:t>
      </w:r>
    </w:p>
    <w:p>
      <w:pPr>
        <w:pStyle w:val="5"/>
        <w:keepNext w:val="0"/>
        <w:keepLines w:val="0"/>
        <w:pageBreakBefore w:val="0"/>
        <w:widowControl w:val="0"/>
        <w:shd w:val="clear" w:color="auto" w:fill="FFFFFF"/>
        <w:kinsoku/>
        <w:wordWrap w:val="0"/>
        <w:overflowPunct/>
        <w:topLinePunct w:val="0"/>
        <w:autoSpaceDE/>
        <w:autoSpaceDN/>
        <w:bidi w:val="0"/>
        <w:adjustRightInd/>
        <w:snapToGrid/>
        <w:spacing w:beforeAutospacing="0" w:after="0" w:afterAutospacing="0" w:line="594" w:lineRule="exact"/>
        <w:ind w:left="0" w:firstLine="640" w:firstLineChars="200"/>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 w:cs="Times New Roman"/>
          <w:b w:val="0"/>
          <w:bCs w:val="0"/>
          <w:color w:val="auto"/>
          <w:sz w:val="32"/>
          <w:szCs w:val="32"/>
          <w:highlight w:val="none"/>
          <w:shd w:val="clear" w:color="auto" w:fill="FFFFFF"/>
          <w:lang w:val="en-US" w:eastAsia="zh-CN"/>
        </w:rPr>
        <w:t>胜利乡纳入2024年度部门决算范围的独立核算单位共1个</w:t>
      </w:r>
      <w:r>
        <w:rPr>
          <w:rFonts w:hint="default" w:ascii="Times New Roman" w:hAnsi="Times New Roman" w:eastAsia="仿宋" w:cs="Times New Roman"/>
          <w:b w:val="0"/>
          <w:bCs w:val="0"/>
          <w:i w:val="0"/>
          <w:iCs w:val="0"/>
          <w:caps w:val="0"/>
          <w:color w:val="auto"/>
          <w:spacing w:val="0"/>
          <w:kern w:val="0"/>
          <w:sz w:val="32"/>
          <w:szCs w:val="32"/>
          <w:highlight w:val="none"/>
          <w:shd w:val="clear" w:color="auto" w:fill="FFFFFF"/>
        </w:rPr>
        <w:t>，下设</w:t>
      </w:r>
      <w:r>
        <w:rPr>
          <w:rFonts w:hint="default" w:ascii="Times New Roman" w:hAnsi="Times New Roman" w:eastAsia="仿宋" w:cs="Times New Roman"/>
          <w:b w:val="0"/>
          <w:bCs w:val="0"/>
          <w:i w:val="0"/>
          <w:iCs w:val="0"/>
          <w:caps w:val="0"/>
          <w:color w:val="auto"/>
          <w:spacing w:val="0"/>
          <w:kern w:val="0"/>
          <w:sz w:val="32"/>
          <w:szCs w:val="32"/>
          <w:highlight w:val="none"/>
          <w:shd w:val="clear" w:color="auto" w:fill="FFFFFF"/>
          <w:lang w:val="en-US" w:eastAsia="zh-CN"/>
        </w:rPr>
        <w:t>基层治理指挥室、党的建设板块办公室、民生服务板块办公室、平安法治板块办公室等5</w:t>
      </w:r>
      <w:r>
        <w:rPr>
          <w:rFonts w:hint="default" w:ascii="Times New Roman" w:hAnsi="Times New Roman" w:eastAsia="仿宋" w:cs="Times New Roman"/>
          <w:b w:val="0"/>
          <w:bCs w:val="0"/>
          <w:i w:val="0"/>
          <w:iCs w:val="0"/>
          <w:caps w:val="0"/>
          <w:color w:val="auto"/>
          <w:spacing w:val="0"/>
          <w:kern w:val="0"/>
          <w:sz w:val="32"/>
          <w:szCs w:val="32"/>
          <w:highlight w:val="none"/>
          <w:shd w:val="clear" w:color="auto" w:fill="FFFFFF"/>
        </w:rPr>
        <w:t>个部门，编制人数</w:t>
      </w:r>
      <w:r>
        <w:rPr>
          <w:rFonts w:hint="default" w:ascii="Times New Roman" w:hAnsi="Times New Roman" w:eastAsia="仿宋" w:cs="Times New Roman"/>
          <w:b w:val="0"/>
          <w:bCs w:val="0"/>
          <w:i w:val="0"/>
          <w:iCs w:val="0"/>
          <w:caps w:val="0"/>
          <w:color w:val="auto"/>
          <w:spacing w:val="0"/>
          <w:kern w:val="0"/>
          <w:sz w:val="32"/>
          <w:szCs w:val="32"/>
          <w:highlight w:val="none"/>
          <w:shd w:val="clear" w:color="auto" w:fill="FFFFFF"/>
          <w:lang w:val="en-US" w:eastAsia="zh-CN"/>
        </w:rPr>
        <w:t>19</w:t>
      </w:r>
      <w:r>
        <w:rPr>
          <w:rFonts w:hint="default" w:ascii="Times New Roman" w:hAnsi="Times New Roman" w:eastAsia="仿宋" w:cs="Times New Roman"/>
          <w:b w:val="0"/>
          <w:bCs w:val="0"/>
          <w:i w:val="0"/>
          <w:iCs w:val="0"/>
          <w:caps w:val="0"/>
          <w:color w:val="auto"/>
          <w:spacing w:val="0"/>
          <w:kern w:val="0"/>
          <w:sz w:val="32"/>
          <w:szCs w:val="32"/>
          <w:highlight w:val="none"/>
          <w:shd w:val="clear" w:color="auto" w:fill="FFFFFF"/>
        </w:rPr>
        <w:t>人，其中行政编制19人。截止202</w:t>
      </w:r>
      <w:r>
        <w:rPr>
          <w:rFonts w:hint="default" w:ascii="Times New Roman" w:hAnsi="Times New Roman" w:eastAsia="仿宋" w:cs="Times New Roman"/>
          <w:b w:val="0"/>
          <w:bCs w:val="0"/>
          <w:i w:val="0"/>
          <w:iCs w:val="0"/>
          <w:caps w:val="0"/>
          <w:color w:val="auto"/>
          <w:spacing w:val="0"/>
          <w:kern w:val="0"/>
          <w:sz w:val="32"/>
          <w:szCs w:val="32"/>
          <w:highlight w:val="none"/>
          <w:shd w:val="clear" w:color="auto" w:fill="FFFFFF"/>
          <w:lang w:val="en-US" w:eastAsia="zh-CN"/>
        </w:rPr>
        <w:t>3</w:t>
      </w:r>
      <w:r>
        <w:rPr>
          <w:rFonts w:hint="default" w:ascii="Times New Roman" w:hAnsi="Times New Roman" w:eastAsia="仿宋" w:cs="Times New Roman"/>
          <w:b w:val="0"/>
          <w:bCs w:val="0"/>
          <w:i w:val="0"/>
          <w:iCs w:val="0"/>
          <w:caps w:val="0"/>
          <w:color w:val="auto"/>
          <w:spacing w:val="0"/>
          <w:kern w:val="0"/>
          <w:sz w:val="32"/>
          <w:szCs w:val="32"/>
          <w:highlight w:val="none"/>
          <w:shd w:val="clear" w:color="auto" w:fill="FFFFFF"/>
        </w:rPr>
        <w:t>年12月31日，实有在职人数</w:t>
      </w:r>
      <w:r>
        <w:rPr>
          <w:rFonts w:hint="default" w:ascii="Times New Roman" w:hAnsi="Times New Roman" w:eastAsia="仿宋" w:cs="Times New Roman"/>
          <w:b w:val="0"/>
          <w:bCs w:val="0"/>
          <w:i w:val="0"/>
          <w:iCs w:val="0"/>
          <w:caps w:val="0"/>
          <w:color w:val="auto"/>
          <w:spacing w:val="0"/>
          <w:kern w:val="0"/>
          <w:sz w:val="32"/>
          <w:szCs w:val="32"/>
          <w:highlight w:val="none"/>
          <w:shd w:val="clear" w:color="auto" w:fill="FFFFFF"/>
          <w:lang w:val="en-US" w:eastAsia="zh-CN"/>
        </w:rPr>
        <w:t>8</w:t>
      </w:r>
      <w:r>
        <w:rPr>
          <w:rFonts w:hint="default" w:ascii="Times New Roman" w:hAnsi="Times New Roman" w:eastAsia="仿宋" w:cs="Times New Roman"/>
          <w:b w:val="0"/>
          <w:bCs w:val="0"/>
          <w:i w:val="0"/>
          <w:iCs w:val="0"/>
          <w:caps w:val="0"/>
          <w:color w:val="auto"/>
          <w:spacing w:val="0"/>
          <w:kern w:val="0"/>
          <w:sz w:val="32"/>
          <w:szCs w:val="32"/>
          <w:highlight w:val="none"/>
          <w:shd w:val="clear" w:color="auto" w:fill="FFFFFF"/>
        </w:rPr>
        <w:t>人，退休人员</w:t>
      </w:r>
      <w:r>
        <w:rPr>
          <w:rFonts w:hint="default" w:ascii="Times New Roman" w:hAnsi="Times New Roman" w:eastAsia="仿宋" w:cs="Times New Roman"/>
          <w:b w:val="0"/>
          <w:bCs w:val="0"/>
          <w:i w:val="0"/>
          <w:iCs w:val="0"/>
          <w:caps w:val="0"/>
          <w:color w:val="auto"/>
          <w:spacing w:val="0"/>
          <w:kern w:val="0"/>
          <w:sz w:val="32"/>
          <w:szCs w:val="32"/>
          <w:highlight w:val="none"/>
          <w:shd w:val="clear" w:color="auto" w:fill="FFFFFF"/>
          <w:lang w:val="en-US" w:eastAsia="zh-CN"/>
        </w:rPr>
        <w:t>8</w:t>
      </w:r>
      <w:r>
        <w:rPr>
          <w:rFonts w:hint="default" w:ascii="Times New Roman" w:hAnsi="Times New Roman" w:eastAsia="仿宋" w:cs="Times New Roman"/>
          <w:b w:val="0"/>
          <w:bCs w:val="0"/>
          <w:i w:val="0"/>
          <w:iCs w:val="0"/>
          <w:caps w:val="0"/>
          <w:color w:val="auto"/>
          <w:spacing w:val="0"/>
          <w:kern w:val="0"/>
          <w:sz w:val="32"/>
          <w:szCs w:val="32"/>
          <w:highlight w:val="none"/>
          <w:shd w:val="clear" w:color="auto" w:fill="FFFFFF"/>
        </w:rPr>
        <w:t>人。</w:t>
      </w:r>
      <w:r>
        <w:rPr>
          <w:rFonts w:hint="default" w:ascii="Times New Roman" w:hAnsi="Times New Roman" w:eastAsia="仿宋" w:cs="Times New Roman"/>
          <w:b w:val="0"/>
          <w:bCs w:val="0"/>
          <w:i w:val="0"/>
          <w:iCs w:val="0"/>
          <w:caps w:val="0"/>
          <w:color w:val="auto"/>
          <w:spacing w:val="0"/>
          <w:kern w:val="0"/>
          <w:sz w:val="32"/>
          <w:szCs w:val="32"/>
          <w:highlight w:val="none"/>
          <w:shd w:val="clear" w:color="auto" w:fill="FFFFFF"/>
          <w:lang w:val="en-US" w:eastAsia="zh-CN"/>
        </w:rPr>
        <w:t>5</w:t>
      </w:r>
      <w:r>
        <w:rPr>
          <w:rFonts w:hint="default" w:ascii="Times New Roman" w:hAnsi="Times New Roman" w:eastAsia="仿宋" w:cs="Times New Roman"/>
          <w:b w:val="0"/>
          <w:bCs w:val="0"/>
          <w:i w:val="0"/>
          <w:iCs w:val="0"/>
          <w:caps w:val="0"/>
          <w:color w:val="auto"/>
          <w:spacing w:val="0"/>
          <w:kern w:val="0"/>
          <w:sz w:val="32"/>
          <w:szCs w:val="32"/>
          <w:highlight w:val="none"/>
          <w:shd w:val="clear" w:color="auto" w:fill="FFFFFF"/>
        </w:rPr>
        <w:t>个部门在一个核算单位的前提下，独立的行使各个部门的权利，履行相应的义务。</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2" w:firstLineChars="200"/>
        <w:textAlignment w:val="auto"/>
        <w:rPr>
          <w:rStyle w:val="8"/>
          <w:rFonts w:hint="default" w:ascii="Times New Roman" w:hAnsi="Times New Roman" w:eastAsia="黑体" w:cs="Times New Roman"/>
          <w:color w:val="auto"/>
          <w:sz w:val="32"/>
          <w:szCs w:val="32"/>
          <w:highlight w:val="none"/>
          <w:shd w:val="clear" w:color="auto" w:fill="FFFFFF"/>
        </w:rPr>
      </w:pPr>
      <w:r>
        <w:rPr>
          <w:rStyle w:val="8"/>
          <w:rFonts w:hint="default" w:ascii="Times New Roman" w:hAnsi="Times New Roman" w:eastAsia="黑体" w:cs="Times New Roman"/>
          <w:color w:val="auto"/>
          <w:sz w:val="32"/>
          <w:szCs w:val="32"/>
          <w:highlight w:val="none"/>
          <w:shd w:val="clear" w:color="auto" w:fill="FFFFFF"/>
        </w:rPr>
        <w:t>二、</w:t>
      </w:r>
      <w:r>
        <w:rPr>
          <w:rStyle w:val="8"/>
          <w:rFonts w:hint="default" w:ascii="Times New Roman" w:hAnsi="Times New Roman" w:eastAsia="黑体" w:cs="Times New Roman"/>
          <w:color w:val="auto"/>
          <w:sz w:val="32"/>
          <w:szCs w:val="32"/>
          <w:highlight w:val="none"/>
          <w:shd w:val="clear" w:color="auto" w:fill="FFFFFF"/>
          <w:lang w:eastAsia="zh-CN"/>
        </w:rPr>
        <w:t>单位</w:t>
      </w:r>
      <w:r>
        <w:rPr>
          <w:rStyle w:val="8"/>
          <w:rFonts w:hint="default" w:ascii="Times New Roman" w:hAnsi="Times New Roman" w:eastAsia="黑体" w:cs="Times New Roman"/>
          <w:color w:val="auto"/>
          <w:sz w:val="32"/>
          <w:szCs w:val="32"/>
          <w:highlight w:val="none"/>
          <w:shd w:val="clear" w:color="auto" w:fill="FFFFFF"/>
        </w:rPr>
        <w:t>决算</w:t>
      </w:r>
      <w:r>
        <w:rPr>
          <w:rStyle w:val="8"/>
          <w:rFonts w:hint="default" w:ascii="Times New Roman" w:hAnsi="Times New Roman" w:eastAsia="黑体" w:cs="Times New Roman"/>
          <w:color w:val="auto"/>
          <w:sz w:val="32"/>
          <w:szCs w:val="32"/>
          <w:highlight w:val="none"/>
          <w:shd w:val="clear" w:color="auto" w:fill="FFFFFF"/>
          <w:lang w:eastAsia="zh-CN"/>
        </w:rPr>
        <w:t>收支</w:t>
      </w:r>
      <w:r>
        <w:rPr>
          <w:rStyle w:val="8"/>
          <w:rFonts w:hint="default" w:ascii="Times New Roman" w:hAnsi="Times New Roman" w:eastAsia="黑体" w:cs="Times New Roman"/>
          <w:color w:val="auto"/>
          <w:sz w:val="32"/>
          <w:szCs w:val="32"/>
          <w:highlight w:val="none"/>
          <w:shd w:val="clear" w:color="auto" w:fill="FFFFFF"/>
        </w:rPr>
        <w:t>情况说明</w:t>
      </w:r>
    </w:p>
    <w:p>
      <w:pPr>
        <w:pStyle w:val="5"/>
        <w:keepNext w:val="0"/>
        <w:keepLines w:val="0"/>
        <w:pageBreakBefore w:val="0"/>
        <w:shd w:val="clear" w:color="auto" w:fill="FFFFFF"/>
        <w:kinsoku/>
        <w:overflowPunct/>
        <w:topLinePunct w:val="0"/>
        <w:autoSpaceDN/>
        <w:bidi w:val="0"/>
        <w:adjustRightInd/>
        <w:spacing w:beforeAutospacing="0" w:afterAutospacing="0" w:line="594" w:lineRule="exact"/>
        <w:ind w:firstLine="420"/>
        <w:rPr>
          <w:rStyle w:val="8"/>
          <w:rFonts w:hint="default" w:ascii="Times New Roman" w:hAnsi="Times New Roman" w:eastAsia="楷体" w:cs="Times New Roman"/>
          <w:b w:val="0"/>
          <w:bCs/>
          <w:color w:val="auto"/>
          <w:sz w:val="32"/>
          <w:szCs w:val="32"/>
          <w:highlight w:val="none"/>
          <w:shd w:val="clear" w:color="auto" w:fill="FFFFFF"/>
        </w:rPr>
      </w:pPr>
      <w:r>
        <w:rPr>
          <w:rStyle w:val="8"/>
          <w:rFonts w:hint="default" w:ascii="Times New Roman" w:hAnsi="Times New Roman" w:eastAsia="楷体" w:cs="Times New Roman"/>
          <w:b w:val="0"/>
          <w:bCs/>
          <w:color w:val="auto"/>
          <w:sz w:val="32"/>
          <w:szCs w:val="32"/>
          <w:highlight w:val="none"/>
          <w:shd w:val="clear" w:color="auto" w:fill="FFFFFF"/>
        </w:rPr>
        <w:t>（一）收入支出决算总体情况说明</w:t>
      </w:r>
    </w:p>
    <w:p>
      <w:pPr>
        <w:pStyle w:val="5"/>
        <w:keepNext w:val="0"/>
        <w:keepLines w:val="0"/>
        <w:pageBreakBefore w:val="0"/>
        <w:shd w:val="clear" w:color="auto" w:fill="FFFFFF"/>
        <w:kinsoku/>
        <w:overflowPunct/>
        <w:topLinePunct w:val="0"/>
        <w:autoSpaceDN/>
        <w:bidi w:val="0"/>
        <w:adjustRightInd/>
        <w:spacing w:beforeAutospacing="0" w:afterAutospacing="0" w:line="594" w:lineRule="exact"/>
        <w:ind w:firstLine="642" w:firstLineChars="200"/>
        <w:rPr>
          <w:rFonts w:hint="default" w:ascii="Times New Roman" w:hAnsi="Times New Roman" w:eastAsia="仿宋" w:cs="Times New Roman"/>
          <w:color w:val="auto"/>
          <w:sz w:val="32"/>
          <w:szCs w:val="32"/>
          <w:highlight w:val="none"/>
        </w:rPr>
      </w:pPr>
      <w:r>
        <w:rPr>
          <w:rStyle w:val="8"/>
          <w:rFonts w:hint="default" w:ascii="Times New Roman" w:hAnsi="Times New Roman" w:eastAsia="仿宋" w:cs="Times New Roman"/>
          <w:color w:val="auto"/>
          <w:sz w:val="32"/>
          <w:szCs w:val="32"/>
          <w:highlight w:val="none"/>
          <w:shd w:val="clear" w:color="auto" w:fill="FFFFFF"/>
        </w:rPr>
        <w:t>1.总体情况。</w:t>
      </w:r>
      <w:r>
        <w:rPr>
          <w:rFonts w:hint="default" w:ascii="Times New Roman" w:hAnsi="Times New Roman" w:eastAsia="仿宋" w:cs="Times New Roman"/>
          <w:color w:val="auto"/>
          <w:sz w:val="32"/>
          <w:szCs w:val="32"/>
          <w:highlight w:val="none"/>
          <w:lang w:eastAsia="zh-CN"/>
        </w:rPr>
        <w:t>2024年</w:t>
      </w:r>
      <w:r>
        <w:rPr>
          <w:rFonts w:hint="default" w:ascii="Times New Roman" w:hAnsi="Times New Roman" w:eastAsia="仿宋" w:cs="Times New Roman"/>
          <w:color w:val="auto"/>
          <w:sz w:val="32"/>
          <w:szCs w:val="32"/>
          <w:highlight w:val="none"/>
        </w:rPr>
        <w:t>度收入总计1651.80万元，支出总计1651.80万元。收、支与2023年度相比，减少1183.47万元，下降41.7%，主要原因是基本支出的人员经费和公用经费、项目支出都</w:t>
      </w:r>
      <w:r>
        <w:rPr>
          <w:rFonts w:hint="default" w:ascii="Times New Roman" w:hAnsi="Times New Roman" w:eastAsia="仿宋" w:cs="Times New Roman"/>
          <w:color w:val="auto"/>
          <w:sz w:val="32"/>
          <w:szCs w:val="32"/>
          <w:highlight w:val="none"/>
          <w:lang w:val="en-US" w:eastAsia="zh-CN"/>
        </w:rPr>
        <w:t>减少</w:t>
      </w:r>
      <w:r>
        <w:rPr>
          <w:rFonts w:hint="default" w:ascii="Times New Roman" w:hAnsi="Times New Roman" w:eastAsia="仿宋" w:cs="Times New Roman"/>
          <w:color w:val="auto"/>
          <w:sz w:val="32"/>
          <w:szCs w:val="32"/>
          <w:highlight w:val="none"/>
        </w:rPr>
        <w:t>。其中：今年较上年人员经费</w:t>
      </w:r>
      <w:r>
        <w:rPr>
          <w:rFonts w:hint="default" w:ascii="Times New Roman" w:hAnsi="Times New Roman" w:eastAsia="仿宋" w:cs="Times New Roman"/>
          <w:color w:val="auto"/>
          <w:sz w:val="32"/>
          <w:szCs w:val="32"/>
          <w:highlight w:val="none"/>
          <w:lang w:val="en-US" w:eastAsia="zh-CN"/>
        </w:rPr>
        <w:t>减少</w:t>
      </w:r>
      <w:r>
        <w:rPr>
          <w:rFonts w:hint="default" w:ascii="Times New Roman" w:hAnsi="Times New Roman" w:eastAsia="仿宋" w:cs="Times New Roman"/>
          <w:color w:val="auto"/>
          <w:sz w:val="32"/>
          <w:szCs w:val="32"/>
          <w:highlight w:val="none"/>
        </w:rPr>
        <w:t>192.98万元；公用经费</w:t>
      </w:r>
      <w:r>
        <w:rPr>
          <w:rFonts w:hint="default" w:ascii="Times New Roman" w:hAnsi="Times New Roman" w:eastAsia="仿宋" w:cs="Times New Roman"/>
          <w:color w:val="auto"/>
          <w:sz w:val="32"/>
          <w:szCs w:val="32"/>
          <w:highlight w:val="none"/>
          <w:lang w:val="en-US" w:eastAsia="zh-CN"/>
        </w:rPr>
        <w:t>减少</w:t>
      </w:r>
      <w:r>
        <w:rPr>
          <w:rFonts w:hint="default" w:ascii="Times New Roman" w:hAnsi="Times New Roman" w:eastAsia="仿宋" w:cs="Times New Roman"/>
          <w:color w:val="auto"/>
          <w:sz w:val="32"/>
          <w:szCs w:val="32"/>
          <w:highlight w:val="none"/>
        </w:rPr>
        <w:t>19.81万元；项目支出</w:t>
      </w:r>
      <w:r>
        <w:rPr>
          <w:rFonts w:hint="default" w:ascii="Times New Roman" w:hAnsi="Times New Roman" w:eastAsia="仿宋" w:cs="Times New Roman"/>
          <w:color w:val="auto"/>
          <w:sz w:val="32"/>
          <w:szCs w:val="32"/>
          <w:highlight w:val="none"/>
          <w:lang w:val="en-US" w:eastAsia="zh-CN"/>
        </w:rPr>
        <w:t>减少</w:t>
      </w:r>
      <w:r>
        <w:rPr>
          <w:rFonts w:hint="default" w:ascii="Times New Roman" w:hAnsi="Times New Roman" w:eastAsia="仿宋" w:cs="Times New Roman"/>
          <w:color w:val="auto"/>
          <w:sz w:val="32"/>
          <w:szCs w:val="32"/>
          <w:highlight w:val="none"/>
        </w:rPr>
        <w:t>970.70万元。</w:t>
      </w:r>
    </w:p>
    <w:p>
      <w:pPr>
        <w:pStyle w:val="5"/>
        <w:keepNext w:val="0"/>
        <w:keepLines w:val="0"/>
        <w:pageBreakBefore w:val="0"/>
        <w:kinsoku/>
        <w:overflowPunct/>
        <w:topLinePunct w:val="0"/>
        <w:autoSpaceDN/>
        <w:bidi w:val="0"/>
        <w:adjustRightInd/>
        <w:snapToGrid w:val="0"/>
        <w:spacing w:before="0" w:beforeAutospacing="0" w:after="0" w:afterAutospacing="0" w:line="594" w:lineRule="exact"/>
        <w:ind w:firstLine="642" w:firstLineChars="200"/>
        <w:jc w:val="both"/>
        <w:rPr>
          <w:rFonts w:hint="default" w:ascii="Times New Roman" w:hAnsi="Times New Roman" w:eastAsia="仿宋" w:cs="Times New Roman"/>
          <w:color w:val="auto"/>
          <w:sz w:val="32"/>
          <w:szCs w:val="32"/>
          <w:highlight w:val="none"/>
          <w:shd w:val="clear" w:color="auto" w:fill="FFFFFF"/>
        </w:rPr>
      </w:pPr>
      <w:r>
        <w:rPr>
          <w:rStyle w:val="8"/>
          <w:rFonts w:hint="default" w:ascii="Times New Roman" w:hAnsi="Times New Roman" w:eastAsia="仿宋" w:cs="Times New Roman"/>
          <w:color w:val="auto"/>
          <w:sz w:val="32"/>
          <w:szCs w:val="32"/>
          <w:highlight w:val="none"/>
          <w:shd w:val="clear" w:color="auto" w:fill="FFFFFF"/>
        </w:rPr>
        <w:t>2.收入情况。</w:t>
      </w:r>
      <w:r>
        <w:rPr>
          <w:rFonts w:hint="default" w:ascii="Times New Roman" w:hAnsi="Times New Roman" w:eastAsia="仿宋" w:cs="Times New Roman"/>
          <w:color w:val="auto"/>
          <w:sz w:val="32"/>
          <w:szCs w:val="32"/>
          <w:highlight w:val="none"/>
          <w:shd w:val="clear" w:color="auto" w:fill="FFFFFF"/>
          <w:lang w:eastAsia="zh-CN"/>
        </w:rPr>
        <w:t>2024年</w:t>
      </w:r>
      <w:r>
        <w:rPr>
          <w:rFonts w:hint="default" w:ascii="Times New Roman" w:hAnsi="Times New Roman" w:eastAsia="仿宋" w:cs="Times New Roman"/>
          <w:color w:val="auto"/>
          <w:sz w:val="32"/>
          <w:szCs w:val="32"/>
          <w:highlight w:val="none"/>
          <w:shd w:val="clear" w:color="auto" w:fill="FFFFFF"/>
        </w:rPr>
        <w:t>度收入合计1651.80万元，与2023年度相比，减少1183.47万元，下降41.7%，主要原因是</w:t>
      </w:r>
      <w:r>
        <w:rPr>
          <w:rFonts w:hint="default" w:ascii="Times New Roman" w:hAnsi="Times New Roman" w:eastAsia="仿宋" w:cs="Times New Roman"/>
          <w:color w:val="auto"/>
          <w:sz w:val="32"/>
          <w:szCs w:val="32"/>
          <w:highlight w:val="none"/>
          <w:shd w:val="clear" w:color="auto" w:fill="FFFFFF"/>
          <w:lang w:val="en-US" w:eastAsia="zh-CN"/>
        </w:rPr>
        <w:t>2024年单位进行了机构改革，人员进行拆分，导致人员经费减少，且2024年项目资金减少</w:t>
      </w:r>
      <w:r>
        <w:rPr>
          <w:rFonts w:hint="default" w:ascii="Times New Roman" w:hAnsi="Times New Roman" w:eastAsia="仿宋" w:cs="Times New Roman"/>
          <w:color w:val="auto"/>
          <w:sz w:val="32"/>
          <w:szCs w:val="32"/>
          <w:highlight w:val="none"/>
          <w:shd w:val="clear" w:color="auto" w:fill="FFFFFF"/>
        </w:rPr>
        <w:t>。其中：财政拨款收入1651.80万元，占</w:t>
      </w:r>
      <w:r>
        <w:rPr>
          <w:rFonts w:hint="default" w:ascii="Times New Roman" w:hAnsi="Times New Roman" w:eastAsia="仿宋" w:cs="Times New Roman"/>
          <w:color w:val="auto"/>
          <w:sz w:val="32"/>
          <w:szCs w:val="32"/>
          <w:highlight w:val="none"/>
        </w:rPr>
        <w:t>100.00</w:t>
      </w:r>
      <w:r>
        <w:rPr>
          <w:rFonts w:hint="default" w:ascii="Times New Roman" w:hAnsi="Times New Roman" w:eastAsia="仿宋" w:cs="Times New Roman"/>
          <w:color w:val="auto"/>
          <w:sz w:val="32"/>
          <w:szCs w:val="32"/>
          <w:highlight w:val="none"/>
          <w:shd w:val="clear" w:color="auto" w:fill="FFFFFF"/>
        </w:rPr>
        <w:t>%；事业收入</w:t>
      </w:r>
      <w:r>
        <w:rPr>
          <w:rFonts w:hint="default" w:ascii="Times New Roman" w:hAnsi="Times New Roman" w:eastAsia="仿宋" w:cs="Times New Roman"/>
          <w:color w:val="auto"/>
          <w:sz w:val="32"/>
          <w:szCs w:val="32"/>
          <w:highlight w:val="none"/>
        </w:rPr>
        <w:t>0.00</w:t>
      </w:r>
      <w:r>
        <w:rPr>
          <w:rFonts w:hint="default" w:ascii="Times New Roman" w:hAnsi="Times New Roman" w:eastAsia="仿宋" w:cs="Times New Roman"/>
          <w:color w:val="auto"/>
          <w:sz w:val="32"/>
          <w:szCs w:val="32"/>
          <w:highlight w:val="none"/>
          <w:shd w:val="clear" w:color="auto" w:fill="FFFFFF"/>
        </w:rPr>
        <w:t>万元，占0.00%；经营收入</w:t>
      </w:r>
      <w:r>
        <w:rPr>
          <w:rFonts w:hint="default" w:ascii="Times New Roman" w:hAnsi="Times New Roman" w:eastAsia="仿宋" w:cs="Times New Roman"/>
          <w:color w:val="auto"/>
          <w:sz w:val="32"/>
          <w:szCs w:val="32"/>
          <w:highlight w:val="none"/>
        </w:rPr>
        <w:t>0.00</w:t>
      </w:r>
      <w:r>
        <w:rPr>
          <w:rFonts w:hint="default" w:ascii="Times New Roman" w:hAnsi="Times New Roman" w:eastAsia="仿宋" w:cs="Times New Roman"/>
          <w:color w:val="auto"/>
          <w:sz w:val="32"/>
          <w:szCs w:val="32"/>
          <w:highlight w:val="none"/>
          <w:shd w:val="clear" w:color="auto" w:fill="FFFFFF"/>
        </w:rPr>
        <w:t>万元，占0.00%；其他收入</w:t>
      </w:r>
      <w:r>
        <w:rPr>
          <w:rFonts w:hint="default" w:ascii="Times New Roman" w:hAnsi="Times New Roman" w:eastAsia="仿宋" w:cs="Times New Roman"/>
          <w:color w:val="auto"/>
          <w:sz w:val="32"/>
          <w:szCs w:val="32"/>
          <w:highlight w:val="none"/>
        </w:rPr>
        <w:t>0.00</w:t>
      </w:r>
      <w:r>
        <w:rPr>
          <w:rFonts w:hint="default" w:ascii="Times New Roman" w:hAnsi="Times New Roman" w:eastAsia="仿宋" w:cs="Times New Roman"/>
          <w:color w:val="auto"/>
          <w:sz w:val="32"/>
          <w:szCs w:val="32"/>
          <w:highlight w:val="none"/>
          <w:shd w:val="clear" w:color="auto" w:fill="FFFFFF"/>
        </w:rPr>
        <w:t>万元，占0.00%。此外，使用非财政拨款结余和专用结余</w:t>
      </w:r>
      <w:r>
        <w:rPr>
          <w:rFonts w:hint="default" w:ascii="Times New Roman" w:hAnsi="Times New Roman" w:eastAsia="仿宋" w:cs="Times New Roman"/>
          <w:color w:val="auto"/>
          <w:sz w:val="32"/>
          <w:szCs w:val="32"/>
          <w:highlight w:val="none"/>
        </w:rPr>
        <w:t>0.00</w:t>
      </w:r>
      <w:r>
        <w:rPr>
          <w:rFonts w:hint="default" w:ascii="Times New Roman" w:hAnsi="Times New Roman" w:eastAsia="仿宋" w:cs="Times New Roman"/>
          <w:color w:val="auto"/>
          <w:sz w:val="32"/>
          <w:szCs w:val="32"/>
          <w:highlight w:val="none"/>
          <w:shd w:val="clear" w:color="auto" w:fill="FFFFFF"/>
        </w:rPr>
        <w:t>万元，年初结转和结余</w:t>
      </w:r>
      <w:r>
        <w:rPr>
          <w:rFonts w:hint="default" w:ascii="Times New Roman" w:hAnsi="Times New Roman" w:eastAsia="仿宋" w:cs="Times New Roman"/>
          <w:color w:val="auto"/>
          <w:sz w:val="32"/>
          <w:szCs w:val="32"/>
          <w:highlight w:val="none"/>
        </w:rPr>
        <w:t>0.00</w:t>
      </w:r>
      <w:r>
        <w:rPr>
          <w:rFonts w:hint="default" w:ascii="Times New Roman" w:hAnsi="Times New Roman" w:eastAsia="仿宋" w:cs="Times New Roman"/>
          <w:color w:val="auto"/>
          <w:sz w:val="32"/>
          <w:szCs w:val="32"/>
          <w:highlight w:val="none"/>
          <w:shd w:val="clear" w:color="auto" w:fill="FFFFFF"/>
        </w:rPr>
        <w:t>万元。</w:t>
      </w:r>
    </w:p>
    <w:p>
      <w:pPr>
        <w:pStyle w:val="5"/>
        <w:keepNext w:val="0"/>
        <w:keepLines w:val="0"/>
        <w:pageBreakBefore w:val="0"/>
        <w:kinsoku/>
        <w:overflowPunct/>
        <w:topLinePunct w:val="0"/>
        <w:autoSpaceDN/>
        <w:bidi w:val="0"/>
        <w:adjustRightInd/>
        <w:snapToGrid w:val="0"/>
        <w:spacing w:before="0" w:beforeAutospacing="0" w:after="0" w:afterAutospacing="0" w:line="594" w:lineRule="exact"/>
        <w:ind w:firstLine="642" w:firstLineChars="200"/>
        <w:jc w:val="both"/>
        <w:rPr>
          <w:rFonts w:hint="default" w:ascii="Times New Roman" w:hAnsi="Times New Roman" w:eastAsia="仿宋" w:cs="Times New Roman"/>
          <w:color w:val="auto"/>
          <w:sz w:val="32"/>
          <w:szCs w:val="32"/>
          <w:highlight w:val="none"/>
          <w:shd w:val="clear" w:color="auto" w:fill="FFFFFF"/>
        </w:rPr>
      </w:pPr>
      <w:r>
        <w:rPr>
          <w:rStyle w:val="8"/>
          <w:rFonts w:hint="default" w:ascii="Times New Roman" w:hAnsi="Times New Roman" w:eastAsia="仿宋" w:cs="Times New Roman"/>
          <w:color w:val="auto"/>
          <w:sz w:val="32"/>
          <w:szCs w:val="32"/>
          <w:highlight w:val="none"/>
          <w:shd w:val="clear" w:color="auto" w:fill="FFFFFF"/>
        </w:rPr>
        <w:t>3.支出情况。</w:t>
      </w:r>
      <w:r>
        <w:rPr>
          <w:rFonts w:hint="default" w:ascii="Times New Roman" w:hAnsi="Times New Roman" w:eastAsia="仿宋" w:cs="Times New Roman"/>
          <w:color w:val="auto"/>
          <w:sz w:val="32"/>
          <w:szCs w:val="32"/>
          <w:highlight w:val="none"/>
          <w:shd w:val="clear" w:color="auto" w:fill="FFFFFF"/>
          <w:lang w:eastAsia="zh-CN"/>
        </w:rPr>
        <w:t>2024年</w:t>
      </w:r>
      <w:r>
        <w:rPr>
          <w:rFonts w:hint="default" w:ascii="Times New Roman" w:hAnsi="Times New Roman" w:eastAsia="仿宋" w:cs="Times New Roman"/>
          <w:color w:val="auto"/>
          <w:sz w:val="32"/>
          <w:szCs w:val="32"/>
          <w:highlight w:val="none"/>
          <w:shd w:val="clear" w:color="auto" w:fill="FFFFFF"/>
        </w:rPr>
        <w:t>度支出合计</w:t>
      </w:r>
      <w:r>
        <w:rPr>
          <w:rFonts w:hint="default" w:ascii="Times New Roman" w:hAnsi="Times New Roman" w:eastAsia="仿宋" w:cs="Times New Roman"/>
          <w:color w:val="auto"/>
          <w:sz w:val="32"/>
          <w:szCs w:val="32"/>
          <w:highlight w:val="none"/>
        </w:rPr>
        <w:t>1651.80</w:t>
      </w:r>
      <w:r>
        <w:rPr>
          <w:rFonts w:hint="default" w:ascii="Times New Roman" w:hAnsi="Times New Roman" w:eastAsia="仿宋" w:cs="Times New Roman"/>
          <w:color w:val="auto"/>
          <w:sz w:val="32"/>
          <w:szCs w:val="32"/>
          <w:highlight w:val="none"/>
          <w:shd w:val="clear" w:color="auto" w:fill="FFFFFF"/>
        </w:rPr>
        <w:t>万元，与2023年度相比，减少1183.47万元，下降41.7%，</w:t>
      </w:r>
      <w:r>
        <w:rPr>
          <w:rFonts w:hint="eastAsia" w:ascii="Times New Roman" w:hAnsi="Times New Roman" w:eastAsia="仿宋" w:cs="Times New Roman"/>
          <w:color w:val="auto"/>
          <w:sz w:val="32"/>
          <w:szCs w:val="32"/>
          <w:highlight w:val="none"/>
          <w:shd w:val="clear" w:color="auto" w:fill="FFFFFF"/>
          <w:lang w:eastAsia="zh-CN"/>
        </w:rPr>
        <w:t>主要原因是</w:t>
      </w:r>
      <w:r>
        <w:rPr>
          <w:rFonts w:hint="default" w:ascii="Times New Roman" w:hAnsi="Times New Roman" w:eastAsia="仿宋" w:cs="Times New Roman"/>
          <w:color w:val="auto"/>
          <w:sz w:val="32"/>
          <w:szCs w:val="32"/>
          <w:highlight w:val="none"/>
          <w:shd w:val="clear" w:color="auto" w:fill="FFFFFF"/>
          <w:lang w:val="en-US" w:eastAsia="zh-CN"/>
        </w:rPr>
        <w:t>2024年单位进行了机构改革，人员进行拆分，导致人员经费减少，且2024年项目资金减少</w:t>
      </w:r>
      <w:r>
        <w:rPr>
          <w:rFonts w:hint="default" w:ascii="Times New Roman" w:hAnsi="Times New Roman" w:eastAsia="仿宋" w:cs="Times New Roman"/>
          <w:color w:val="auto"/>
          <w:sz w:val="32"/>
          <w:szCs w:val="32"/>
          <w:highlight w:val="none"/>
          <w:shd w:val="clear" w:color="auto" w:fill="FFFFFF"/>
        </w:rPr>
        <w:t>。其中：基本支出</w:t>
      </w:r>
      <w:r>
        <w:rPr>
          <w:rFonts w:hint="default" w:ascii="Times New Roman" w:hAnsi="Times New Roman" w:eastAsia="仿宋" w:cs="Times New Roman"/>
          <w:color w:val="auto"/>
          <w:sz w:val="32"/>
          <w:szCs w:val="32"/>
          <w:highlight w:val="none"/>
        </w:rPr>
        <w:t>514.48</w:t>
      </w:r>
      <w:r>
        <w:rPr>
          <w:rFonts w:hint="default" w:ascii="Times New Roman" w:hAnsi="Times New Roman" w:eastAsia="仿宋" w:cs="Times New Roman"/>
          <w:color w:val="auto"/>
          <w:sz w:val="32"/>
          <w:szCs w:val="32"/>
          <w:highlight w:val="none"/>
          <w:shd w:val="clear" w:color="auto" w:fill="FFFFFF"/>
        </w:rPr>
        <w:t>万元，占31.15%；项目支出</w:t>
      </w:r>
      <w:r>
        <w:rPr>
          <w:rFonts w:hint="default" w:ascii="Times New Roman" w:hAnsi="Times New Roman" w:eastAsia="仿宋" w:cs="Times New Roman"/>
          <w:color w:val="auto"/>
          <w:sz w:val="32"/>
          <w:szCs w:val="32"/>
          <w:highlight w:val="none"/>
        </w:rPr>
        <w:t>1137.31</w:t>
      </w:r>
      <w:r>
        <w:rPr>
          <w:rFonts w:hint="default" w:ascii="Times New Roman" w:hAnsi="Times New Roman" w:eastAsia="仿宋" w:cs="Times New Roman"/>
          <w:color w:val="auto"/>
          <w:sz w:val="32"/>
          <w:szCs w:val="32"/>
          <w:highlight w:val="none"/>
          <w:shd w:val="clear" w:color="auto" w:fill="FFFFFF"/>
        </w:rPr>
        <w:t>万元，占68.85%；经营支出</w:t>
      </w:r>
      <w:r>
        <w:rPr>
          <w:rFonts w:hint="default" w:ascii="Times New Roman" w:hAnsi="Times New Roman" w:eastAsia="仿宋" w:cs="Times New Roman"/>
          <w:color w:val="auto"/>
          <w:sz w:val="32"/>
          <w:szCs w:val="32"/>
          <w:highlight w:val="none"/>
        </w:rPr>
        <w:t>0.00</w:t>
      </w:r>
      <w:r>
        <w:rPr>
          <w:rFonts w:hint="default" w:ascii="Times New Roman" w:hAnsi="Times New Roman" w:eastAsia="仿宋" w:cs="Times New Roman"/>
          <w:color w:val="auto"/>
          <w:sz w:val="32"/>
          <w:szCs w:val="32"/>
          <w:highlight w:val="none"/>
          <w:shd w:val="clear" w:color="auto" w:fill="FFFFFF"/>
        </w:rPr>
        <w:t>万元，占0.00%。此外，结余分配</w:t>
      </w:r>
      <w:r>
        <w:rPr>
          <w:rFonts w:hint="default" w:ascii="Times New Roman" w:hAnsi="Times New Roman" w:eastAsia="仿宋" w:cs="Times New Roman"/>
          <w:color w:val="auto"/>
          <w:sz w:val="32"/>
          <w:szCs w:val="32"/>
          <w:highlight w:val="none"/>
        </w:rPr>
        <w:t>0.00</w:t>
      </w:r>
      <w:r>
        <w:rPr>
          <w:rFonts w:hint="default" w:ascii="Times New Roman" w:hAnsi="Times New Roman" w:eastAsia="仿宋" w:cs="Times New Roman"/>
          <w:color w:val="auto"/>
          <w:sz w:val="32"/>
          <w:szCs w:val="32"/>
          <w:highlight w:val="none"/>
          <w:shd w:val="clear" w:color="auto" w:fill="FFFFFF"/>
        </w:rPr>
        <w:t>万元。</w:t>
      </w:r>
    </w:p>
    <w:p>
      <w:pPr>
        <w:pStyle w:val="5"/>
        <w:keepNext w:val="0"/>
        <w:keepLines w:val="0"/>
        <w:pageBreakBefore w:val="0"/>
        <w:kinsoku/>
        <w:overflowPunct/>
        <w:topLinePunct w:val="0"/>
        <w:autoSpaceDN/>
        <w:bidi w:val="0"/>
        <w:adjustRightInd/>
        <w:snapToGrid w:val="0"/>
        <w:spacing w:before="0" w:beforeAutospacing="0" w:after="0" w:afterAutospacing="0" w:line="594" w:lineRule="exact"/>
        <w:ind w:firstLine="642" w:firstLineChars="200"/>
        <w:jc w:val="both"/>
        <w:rPr>
          <w:rFonts w:hint="default" w:ascii="Times New Roman" w:hAnsi="Times New Roman" w:eastAsia="仿宋" w:cs="Times New Roman"/>
          <w:color w:val="auto"/>
          <w:sz w:val="32"/>
          <w:szCs w:val="32"/>
          <w:highlight w:val="none"/>
          <w:lang w:eastAsia="zh-CN"/>
        </w:rPr>
      </w:pPr>
      <w:r>
        <w:rPr>
          <w:rStyle w:val="8"/>
          <w:rFonts w:hint="default" w:ascii="Times New Roman" w:hAnsi="Times New Roman" w:eastAsia="仿宋" w:cs="Times New Roman"/>
          <w:color w:val="auto"/>
          <w:sz w:val="32"/>
          <w:szCs w:val="32"/>
          <w:highlight w:val="none"/>
          <w:shd w:val="clear" w:color="auto" w:fill="FFFFFF"/>
        </w:rPr>
        <w:t>4.结转结余情况。</w:t>
      </w:r>
      <w:r>
        <w:rPr>
          <w:rFonts w:hint="default" w:ascii="Times New Roman" w:hAnsi="Times New Roman" w:eastAsia="仿宋" w:cs="Times New Roman"/>
          <w:color w:val="auto"/>
          <w:sz w:val="32"/>
          <w:szCs w:val="32"/>
          <w:highlight w:val="none"/>
          <w:shd w:val="clear" w:color="auto" w:fill="FFFFFF"/>
          <w:lang w:eastAsia="zh-CN"/>
        </w:rPr>
        <w:t>2024年</w:t>
      </w:r>
      <w:r>
        <w:rPr>
          <w:rFonts w:hint="default" w:ascii="Times New Roman" w:hAnsi="Times New Roman" w:eastAsia="仿宋" w:cs="Times New Roman"/>
          <w:color w:val="auto"/>
          <w:sz w:val="32"/>
          <w:szCs w:val="32"/>
          <w:highlight w:val="none"/>
          <w:shd w:val="clear" w:color="auto" w:fill="FFFFFF"/>
        </w:rPr>
        <w:t>度年末结转和结余</w:t>
      </w:r>
      <w:r>
        <w:rPr>
          <w:rFonts w:hint="default" w:ascii="Times New Roman" w:hAnsi="Times New Roman" w:eastAsia="仿宋" w:cs="Times New Roman"/>
          <w:color w:val="auto"/>
          <w:sz w:val="32"/>
          <w:szCs w:val="32"/>
          <w:highlight w:val="none"/>
        </w:rPr>
        <w:t>0.00</w:t>
      </w:r>
      <w:r>
        <w:rPr>
          <w:rFonts w:hint="default" w:ascii="Times New Roman" w:hAnsi="Times New Roman" w:eastAsia="仿宋" w:cs="Times New Roman"/>
          <w:color w:val="auto"/>
          <w:sz w:val="32"/>
          <w:szCs w:val="32"/>
          <w:highlight w:val="none"/>
          <w:shd w:val="clear" w:color="auto" w:fill="FFFFFF"/>
        </w:rPr>
        <w:t>万元，与2023年度相比，无增减</w:t>
      </w:r>
      <w:r>
        <w:rPr>
          <w:rFonts w:hint="default" w:ascii="Times New Roman" w:hAnsi="Times New Roman" w:eastAsia="仿宋" w:cs="Times New Roman"/>
          <w:color w:val="auto"/>
          <w:sz w:val="32"/>
          <w:szCs w:val="32"/>
          <w:highlight w:val="none"/>
          <w:shd w:val="clear" w:color="auto" w:fill="FFFFFF"/>
          <w:lang w:eastAsia="zh-CN"/>
        </w:rPr>
        <w:t>。</w:t>
      </w:r>
    </w:p>
    <w:p>
      <w:pPr>
        <w:pStyle w:val="9"/>
        <w:keepNext w:val="0"/>
        <w:keepLines w:val="0"/>
        <w:pageBreakBefore w:val="0"/>
        <w:kinsoku/>
        <w:overflowPunct/>
        <w:topLinePunct w:val="0"/>
        <w:autoSpaceDE w:val="0"/>
        <w:autoSpaceDN/>
        <w:bidi w:val="0"/>
        <w:adjustRightInd/>
        <w:spacing w:beforeAutospacing="0" w:afterAutospacing="0" w:line="594" w:lineRule="exact"/>
        <w:ind w:firstLine="643"/>
        <w:rPr>
          <w:rStyle w:val="8"/>
          <w:rFonts w:hint="default" w:ascii="Times New Roman" w:hAnsi="Times New Roman" w:eastAsia="楷体" w:cs="Times New Roman"/>
          <w:b w:val="0"/>
          <w:bCs/>
          <w:color w:val="auto"/>
          <w:sz w:val="32"/>
          <w:szCs w:val="32"/>
          <w:highlight w:val="none"/>
          <w:shd w:val="clear" w:color="auto" w:fill="FFFFFF"/>
          <w:lang w:val="en-US" w:eastAsia="zh-CN" w:bidi="ar-SA"/>
        </w:rPr>
      </w:pPr>
      <w:r>
        <w:rPr>
          <w:rStyle w:val="8"/>
          <w:rFonts w:hint="default" w:ascii="Times New Roman" w:hAnsi="Times New Roman" w:eastAsia="楷体" w:cs="Times New Roman"/>
          <w:b w:val="0"/>
          <w:bCs/>
          <w:color w:val="auto"/>
          <w:sz w:val="32"/>
          <w:szCs w:val="32"/>
          <w:highlight w:val="none"/>
          <w:shd w:val="clear" w:color="auto" w:fill="FFFFFF"/>
          <w:lang w:val="en-US" w:eastAsia="zh-CN" w:bidi="ar-SA"/>
        </w:rPr>
        <w:t>（二）财政拨款收入支出决算总体情况说明</w:t>
      </w:r>
    </w:p>
    <w:p>
      <w:pPr>
        <w:pStyle w:val="5"/>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shd w:val="clear" w:color="auto" w:fill="FFFFFF"/>
          <w:lang w:eastAsia="zh-CN"/>
        </w:rPr>
        <w:t>2024年</w:t>
      </w:r>
      <w:r>
        <w:rPr>
          <w:rFonts w:hint="default" w:ascii="Times New Roman" w:hAnsi="Times New Roman" w:eastAsia="仿宋" w:cs="Times New Roman"/>
          <w:color w:val="auto"/>
          <w:sz w:val="32"/>
          <w:szCs w:val="32"/>
          <w:highlight w:val="none"/>
          <w:shd w:val="clear" w:color="auto" w:fill="FFFFFF"/>
        </w:rPr>
        <w:t>度财政拨款收、支总计1651.80万元。与202</w:t>
      </w:r>
      <w:r>
        <w:rPr>
          <w:rFonts w:hint="default" w:ascii="Times New Roman" w:hAnsi="Times New Roman" w:eastAsia="仿宋" w:cs="Times New Roman"/>
          <w:color w:val="auto"/>
          <w:sz w:val="32"/>
          <w:szCs w:val="32"/>
          <w:highlight w:val="none"/>
          <w:shd w:val="clear" w:color="auto" w:fill="FFFFFF"/>
          <w:lang w:val="en-US" w:eastAsia="zh-CN"/>
        </w:rPr>
        <w:t>3</w:t>
      </w:r>
      <w:r>
        <w:rPr>
          <w:rFonts w:hint="default" w:ascii="Times New Roman" w:hAnsi="Times New Roman" w:eastAsia="仿宋" w:cs="Times New Roman"/>
          <w:color w:val="auto"/>
          <w:sz w:val="32"/>
          <w:szCs w:val="32"/>
          <w:highlight w:val="none"/>
          <w:shd w:val="clear" w:color="auto" w:fill="FFFFFF"/>
        </w:rPr>
        <w:t>年相比，财政拨款收、支总计各减少1183.47万元，下降41.7%。主要原因是</w:t>
      </w:r>
      <w:r>
        <w:rPr>
          <w:rFonts w:hint="default" w:ascii="Times New Roman" w:hAnsi="Times New Roman" w:eastAsia="仿宋" w:cs="Times New Roman"/>
          <w:bCs/>
          <w:color w:val="auto"/>
          <w:kern w:val="2"/>
          <w:sz w:val="32"/>
          <w:szCs w:val="32"/>
          <w:highlight w:val="none"/>
          <w:lang w:val="en-US" w:eastAsia="zh-CN" w:bidi="ar"/>
        </w:rPr>
        <w:t>今年单位进行机构改革，人员进行了拆分，12个人分到事业单位，2个人调走，导致一般公共预算财政拨款人员经费支出减少29.26%。且今年项目资金减少，导致项目支出减少46.05%。</w:t>
      </w:r>
      <w:r>
        <w:rPr>
          <w:rFonts w:hint="eastAsia" w:ascii="仿宋" w:hAnsi="仿宋" w:eastAsia="仿宋" w:cs="仿宋"/>
          <w:bCs/>
          <w:color w:val="auto"/>
          <w:kern w:val="2"/>
          <w:sz w:val="32"/>
          <w:szCs w:val="32"/>
          <w:highlight w:val="none"/>
          <w:lang w:val="en-US" w:eastAsia="zh-CN" w:bidi="ar"/>
        </w:rPr>
        <w:t>具体项目有蔬菜大棚建设项目，烟草烤房建设等项目没有了。</w:t>
      </w:r>
      <w:r>
        <w:rPr>
          <w:rFonts w:hint="default" w:ascii="Times New Roman" w:hAnsi="Times New Roman" w:eastAsia="仿宋" w:cs="Times New Roman"/>
          <w:bCs/>
          <w:color w:val="auto"/>
          <w:kern w:val="2"/>
          <w:sz w:val="32"/>
          <w:szCs w:val="32"/>
          <w:highlight w:val="none"/>
          <w:lang w:val="en-US" w:eastAsia="zh-CN" w:bidi="ar"/>
        </w:rPr>
        <w:t>另，基建项目增加383.46万元，较上年增长100%，主要是今年农村公路灾后重建项目、2024年黑臭水体整治项目、胜利乡下阳和烤房屋后滑坡救灾项目、胜利乡疏浚保安项目、蚕桑产业化基地生产房建设项目等纳入了基建项目。</w:t>
      </w:r>
    </w:p>
    <w:p>
      <w:pPr>
        <w:pStyle w:val="9"/>
        <w:keepNext w:val="0"/>
        <w:keepLines w:val="0"/>
        <w:pageBreakBefore w:val="0"/>
        <w:kinsoku/>
        <w:overflowPunct/>
        <w:topLinePunct w:val="0"/>
        <w:autoSpaceDE w:val="0"/>
        <w:autoSpaceDN/>
        <w:bidi w:val="0"/>
        <w:adjustRightInd/>
        <w:spacing w:beforeAutospacing="0" w:afterAutospacing="0" w:line="594" w:lineRule="exact"/>
        <w:ind w:firstLine="643"/>
        <w:rPr>
          <w:rFonts w:hint="default" w:ascii="Times New Roman" w:hAnsi="Times New Roman" w:eastAsia="仿宋" w:cs="Times New Roman"/>
          <w:b/>
          <w:bCs/>
          <w:color w:val="auto"/>
          <w:sz w:val="32"/>
          <w:szCs w:val="32"/>
          <w:highlight w:val="none"/>
          <w:shd w:val="clear" w:color="auto" w:fill="FFFFFF"/>
        </w:rPr>
      </w:pPr>
      <w:r>
        <w:rPr>
          <w:rFonts w:hint="default" w:ascii="Times New Roman" w:hAnsi="Times New Roman" w:eastAsia="仿宋" w:cs="Times New Roman"/>
          <w:b/>
          <w:bCs/>
          <w:color w:val="auto"/>
          <w:sz w:val="32"/>
          <w:szCs w:val="32"/>
          <w:highlight w:val="none"/>
          <w:shd w:val="clear" w:color="auto" w:fill="FFFFFF"/>
        </w:rPr>
        <w:t>（三）一般公共预算财政拨款收入支出决算情况说明</w:t>
      </w:r>
    </w:p>
    <w:p>
      <w:pPr>
        <w:pStyle w:val="5"/>
        <w:keepNext w:val="0"/>
        <w:keepLines w:val="0"/>
        <w:pageBreakBefore w:val="0"/>
        <w:kinsoku/>
        <w:overflowPunct/>
        <w:topLinePunct w:val="0"/>
        <w:autoSpaceDN/>
        <w:bidi w:val="0"/>
        <w:adjustRightInd/>
        <w:snapToGrid w:val="0"/>
        <w:spacing w:before="0" w:beforeAutospacing="0" w:after="0" w:afterAutospacing="0" w:line="594" w:lineRule="exact"/>
        <w:ind w:firstLine="642" w:firstLineChars="200"/>
        <w:jc w:val="both"/>
        <w:rPr>
          <w:rFonts w:hint="default" w:ascii="Times New Roman" w:hAnsi="Times New Roman" w:eastAsia="仿宋" w:cs="Times New Roman"/>
          <w:color w:val="auto"/>
          <w:sz w:val="32"/>
          <w:szCs w:val="32"/>
          <w:highlight w:val="none"/>
        </w:rPr>
      </w:pPr>
      <w:r>
        <w:rPr>
          <w:rStyle w:val="8"/>
          <w:rFonts w:hint="default" w:ascii="Times New Roman" w:hAnsi="Times New Roman" w:eastAsia="仿宋" w:cs="Times New Roman"/>
          <w:color w:val="auto"/>
          <w:sz w:val="32"/>
          <w:szCs w:val="32"/>
          <w:highlight w:val="none"/>
          <w:shd w:val="clear" w:color="auto" w:fill="FFFFFF"/>
        </w:rPr>
        <w:t>1.收入情况。</w:t>
      </w:r>
      <w:r>
        <w:rPr>
          <w:rFonts w:hint="default" w:ascii="Times New Roman" w:hAnsi="Times New Roman" w:eastAsia="仿宋" w:cs="Times New Roman"/>
          <w:color w:val="auto"/>
          <w:sz w:val="32"/>
          <w:szCs w:val="32"/>
          <w:highlight w:val="none"/>
          <w:shd w:val="clear" w:color="auto" w:fill="FFFFFF"/>
          <w:lang w:eastAsia="zh-CN"/>
        </w:rPr>
        <w:t>2024年</w:t>
      </w:r>
      <w:r>
        <w:rPr>
          <w:rFonts w:hint="default" w:ascii="Times New Roman" w:hAnsi="Times New Roman" w:eastAsia="仿宋" w:cs="Times New Roman"/>
          <w:color w:val="auto"/>
          <w:sz w:val="32"/>
          <w:szCs w:val="32"/>
          <w:highlight w:val="none"/>
          <w:shd w:val="clear" w:color="auto" w:fill="FFFFFF"/>
        </w:rPr>
        <w:t>度一般公共预算财政拨款收入</w:t>
      </w:r>
      <w:r>
        <w:rPr>
          <w:rFonts w:hint="default" w:ascii="Times New Roman" w:hAnsi="Times New Roman" w:eastAsia="仿宋" w:cs="Times New Roman"/>
          <w:color w:val="auto"/>
          <w:sz w:val="32"/>
          <w:szCs w:val="32"/>
          <w:highlight w:val="none"/>
        </w:rPr>
        <w:t>1651.80</w:t>
      </w:r>
      <w:r>
        <w:rPr>
          <w:rFonts w:hint="default" w:ascii="Times New Roman" w:hAnsi="Times New Roman" w:eastAsia="仿宋" w:cs="Times New Roman"/>
          <w:color w:val="auto"/>
          <w:sz w:val="32"/>
          <w:szCs w:val="32"/>
          <w:highlight w:val="none"/>
          <w:shd w:val="clear" w:color="auto" w:fill="FFFFFF"/>
        </w:rPr>
        <w:t>万元，与2023年度相比，减少1183.47万元，下降41.7%。主要原因是</w:t>
      </w:r>
      <w:r>
        <w:rPr>
          <w:rFonts w:hint="default" w:ascii="Times New Roman" w:hAnsi="Times New Roman" w:eastAsia="仿宋" w:cs="Times New Roman"/>
          <w:bCs/>
          <w:color w:val="auto"/>
          <w:kern w:val="2"/>
          <w:sz w:val="32"/>
          <w:szCs w:val="32"/>
          <w:highlight w:val="none"/>
          <w:lang w:val="en-US" w:eastAsia="zh-CN" w:bidi="ar"/>
        </w:rPr>
        <w:t>今年单位进行机构改革，人员进行了拆分，12个人分到事业单位，2个人调走，导致一般公共预算财政拨款人员经费减少。且</w:t>
      </w:r>
      <w:r>
        <w:rPr>
          <w:rFonts w:hint="eastAsia" w:ascii="仿宋" w:hAnsi="仿宋" w:eastAsia="仿宋" w:cs="仿宋"/>
          <w:bCs/>
          <w:color w:val="auto"/>
          <w:kern w:val="2"/>
          <w:sz w:val="32"/>
          <w:szCs w:val="32"/>
          <w:highlight w:val="none"/>
          <w:lang w:val="en-US" w:eastAsia="zh-CN" w:bidi="ar"/>
        </w:rPr>
        <w:t>今年项目资金减少，具体项目有蔬菜大棚建设项目，烟草烤房建设等项目没有了</w:t>
      </w:r>
      <w:r>
        <w:rPr>
          <w:rFonts w:hint="default" w:ascii="Times New Roman" w:hAnsi="Times New Roman" w:eastAsia="仿宋" w:cs="Times New Roman"/>
          <w:bCs/>
          <w:color w:val="auto"/>
          <w:kern w:val="2"/>
          <w:sz w:val="32"/>
          <w:szCs w:val="32"/>
          <w:highlight w:val="none"/>
          <w:lang w:val="en-US" w:eastAsia="zh-CN" w:bidi="ar"/>
        </w:rPr>
        <w:t>。</w:t>
      </w:r>
      <w:r>
        <w:rPr>
          <w:rFonts w:hint="default" w:ascii="Times New Roman" w:hAnsi="Times New Roman" w:eastAsia="仿宋" w:cs="Times New Roman"/>
          <w:color w:val="auto"/>
          <w:sz w:val="32"/>
          <w:szCs w:val="32"/>
          <w:highlight w:val="none"/>
          <w:shd w:val="clear" w:color="auto" w:fill="FFFFFF"/>
        </w:rPr>
        <w:t>较年初预算数增加981.81万元，增长146.5%。主要原因是</w:t>
      </w:r>
      <w:r>
        <w:rPr>
          <w:rFonts w:hint="default" w:ascii="Times New Roman" w:hAnsi="Times New Roman" w:eastAsia="仿宋" w:cs="Times New Roman"/>
          <w:color w:val="auto"/>
          <w:sz w:val="32"/>
          <w:szCs w:val="32"/>
          <w:highlight w:val="none"/>
          <w:shd w:val="clear" w:color="auto" w:fill="FFFFFF"/>
          <w:lang w:val="en-US" w:eastAsia="zh-CN"/>
        </w:rPr>
        <w:t>后期追加了</w:t>
      </w:r>
      <w:r>
        <w:rPr>
          <w:rFonts w:hint="default" w:ascii="Times New Roman" w:hAnsi="Times New Roman" w:eastAsia="仿宋" w:cs="Times New Roman"/>
          <w:bCs/>
          <w:color w:val="auto"/>
          <w:kern w:val="2"/>
          <w:sz w:val="32"/>
          <w:szCs w:val="32"/>
          <w:highlight w:val="none"/>
          <w:lang w:val="en-US" w:eastAsia="zh-CN" w:bidi="ar"/>
        </w:rPr>
        <w:t>农村公路灾后重建项目、2024年黑臭水体整治项目、胜利乡下阳和烤房屋后滑坡救灾项目、胜利乡疏浚保安项目、蚕桑产业化基地生产房建设等项目</w:t>
      </w:r>
      <w:r>
        <w:rPr>
          <w:rFonts w:hint="default" w:ascii="Times New Roman" w:hAnsi="Times New Roman" w:eastAsia="仿宋" w:cs="Times New Roman"/>
          <w:color w:val="auto"/>
          <w:sz w:val="32"/>
          <w:szCs w:val="32"/>
          <w:highlight w:val="none"/>
          <w:shd w:val="clear" w:color="auto" w:fill="FFFFFF"/>
          <w:lang w:val="en-US" w:eastAsia="zh-CN"/>
        </w:rPr>
        <w:t>。</w:t>
      </w:r>
      <w:r>
        <w:rPr>
          <w:rFonts w:hint="default" w:ascii="Times New Roman" w:hAnsi="Times New Roman" w:eastAsia="仿宋" w:cs="Times New Roman"/>
          <w:color w:val="auto"/>
          <w:sz w:val="32"/>
          <w:szCs w:val="32"/>
          <w:highlight w:val="none"/>
          <w:shd w:val="clear" w:color="auto" w:fill="FFFFFF"/>
        </w:rPr>
        <w:t>此外，年初财政拨款结转和结余</w:t>
      </w:r>
      <w:r>
        <w:rPr>
          <w:rFonts w:hint="default" w:ascii="Times New Roman" w:hAnsi="Times New Roman" w:eastAsia="仿宋" w:cs="Times New Roman"/>
          <w:color w:val="auto"/>
          <w:sz w:val="32"/>
          <w:szCs w:val="32"/>
          <w:highlight w:val="none"/>
        </w:rPr>
        <w:t>0.00</w:t>
      </w:r>
      <w:r>
        <w:rPr>
          <w:rFonts w:hint="default" w:ascii="Times New Roman" w:hAnsi="Times New Roman" w:eastAsia="仿宋" w:cs="Times New Roman"/>
          <w:color w:val="auto"/>
          <w:sz w:val="32"/>
          <w:szCs w:val="32"/>
          <w:highlight w:val="none"/>
          <w:shd w:val="clear" w:color="auto" w:fill="FFFFFF"/>
        </w:rPr>
        <w:t>万元。</w:t>
      </w:r>
    </w:p>
    <w:p>
      <w:pPr>
        <w:pStyle w:val="5"/>
        <w:keepNext w:val="0"/>
        <w:keepLines w:val="0"/>
        <w:pageBreakBefore w:val="0"/>
        <w:kinsoku/>
        <w:overflowPunct/>
        <w:topLinePunct w:val="0"/>
        <w:autoSpaceDN/>
        <w:bidi w:val="0"/>
        <w:adjustRightInd/>
        <w:snapToGrid w:val="0"/>
        <w:spacing w:before="0" w:beforeAutospacing="0" w:after="0" w:afterAutospacing="0" w:line="594" w:lineRule="exact"/>
        <w:ind w:firstLine="642" w:firstLineChars="200"/>
        <w:jc w:val="both"/>
        <w:rPr>
          <w:rFonts w:hint="default" w:ascii="Times New Roman" w:hAnsi="Times New Roman" w:eastAsia="仿宋" w:cs="Times New Roman"/>
          <w:color w:val="auto"/>
          <w:sz w:val="32"/>
          <w:szCs w:val="32"/>
          <w:highlight w:val="none"/>
          <w:shd w:val="clear" w:color="auto" w:fill="FFFFFF"/>
          <w:lang w:val="en-US" w:eastAsia="zh-CN"/>
        </w:rPr>
      </w:pPr>
      <w:r>
        <w:rPr>
          <w:rStyle w:val="8"/>
          <w:rFonts w:hint="default" w:ascii="Times New Roman" w:hAnsi="Times New Roman" w:eastAsia="仿宋" w:cs="Times New Roman"/>
          <w:color w:val="auto"/>
          <w:sz w:val="32"/>
          <w:szCs w:val="32"/>
          <w:highlight w:val="none"/>
          <w:shd w:val="clear" w:color="auto" w:fill="FFFFFF"/>
        </w:rPr>
        <w:t>2.支出情况。</w:t>
      </w:r>
      <w:r>
        <w:rPr>
          <w:rFonts w:hint="default" w:ascii="Times New Roman" w:hAnsi="Times New Roman" w:eastAsia="仿宋" w:cs="Times New Roman"/>
          <w:color w:val="auto"/>
          <w:sz w:val="32"/>
          <w:szCs w:val="32"/>
          <w:highlight w:val="none"/>
          <w:shd w:val="clear" w:color="auto" w:fill="FFFFFF"/>
          <w:lang w:eastAsia="zh-CN"/>
        </w:rPr>
        <w:t>2024年</w:t>
      </w:r>
      <w:r>
        <w:rPr>
          <w:rFonts w:hint="default" w:ascii="Times New Roman" w:hAnsi="Times New Roman" w:eastAsia="仿宋" w:cs="Times New Roman"/>
          <w:color w:val="auto"/>
          <w:sz w:val="32"/>
          <w:szCs w:val="32"/>
          <w:highlight w:val="none"/>
          <w:shd w:val="clear" w:color="auto" w:fill="FFFFFF"/>
        </w:rPr>
        <w:t>度一般公共预算财政拨款支出</w:t>
      </w:r>
      <w:r>
        <w:rPr>
          <w:rFonts w:hint="default" w:ascii="Times New Roman" w:hAnsi="Times New Roman" w:eastAsia="仿宋" w:cs="Times New Roman"/>
          <w:color w:val="auto"/>
          <w:sz w:val="32"/>
          <w:szCs w:val="32"/>
          <w:highlight w:val="none"/>
        </w:rPr>
        <w:t>1651.80</w:t>
      </w:r>
      <w:r>
        <w:rPr>
          <w:rFonts w:hint="default" w:ascii="Times New Roman" w:hAnsi="Times New Roman" w:eastAsia="仿宋" w:cs="Times New Roman"/>
          <w:color w:val="auto"/>
          <w:sz w:val="32"/>
          <w:szCs w:val="32"/>
          <w:highlight w:val="none"/>
          <w:shd w:val="clear" w:color="auto" w:fill="FFFFFF"/>
        </w:rPr>
        <w:t>万元，与2023年度相比，减少1183.47万元，下降41.7%。主要原因是</w:t>
      </w:r>
      <w:r>
        <w:rPr>
          <w:rFonts w:hint="default" w:ascii="Times New Roman" w:hAnsi="Times New Roman" w:eastAsia="仿宋" w:cs="Times New Roman"/>
          <w:bCs/>
          <w:color w:val="auto"/>
          <w:kern w:val="2"/>
          <w:sz w:val="32"/>
          <w:szCs w:val="32"/>
          <w:highlight w:val="none"/>
          <w:lang w:val="en-US" w:eastAsia="zh-CN" w:bidi="ar"/>
        </w:rPr>
        <w:t>今年单位进行机构改革，人员进行了拆分，12个人分到事业单位，2个人调走，导致一般公共预算财政拨款人员经费减少。且</w:t>
      </w:r>
      <w:r>
        <w:rPr>
          <w:rFonts w:hint="eastAsia" w:ascii="仿宋" w:hAnsi="仿宋" w:eastAsia="仿宋" w:cs="仿宋"/>
          <w:bCs/>
          <w:color w:val="auto"/>
          <w:kern w:val="2"/>
          <w:sz w:val="32"/>
          <w:szCs w:val="32"/>
          <w:highlight w:val="none"/>
          <w:lang w:val="en-US" w:eastAsia="zh-CN" w:bidi="ar"/>
        </w:rPr>
        <w:t>今年项目资金减少，具体项目有蔬菜大棚建设项目，烟草烤房建设等项目没有了</w:t>
      </w:r>
      <w:r>
        <w:rPr>
          <w:rFonts w:hint="default" w:ascii="Times New Roman" w:hAnsi="Times New Roman" w:eastAsia="仿宋" w:cs="Times New Roman"/>
          <w:bCs/>
          <w:color w:val="auto"/>
          <w:kern w:val="2"/>
          <w:sz w:val="32"/>
          <w:szCs w:val="32"/>
          <w:highlight w:val="none"/>
          <w:lang w:val="en-US" w:eastAsia="zh-CN" w:bidi="ar"/>
        </w:rPr>
        <w:t>。</w:t>
      </w:r>
      <w:r>
        <w:rPr>
          <w:rFonts w:hint="default" w:ascii="Times New Roman" w:hAnsi="Times New Roman" w:eastAsia="仿宋" w:cs="Times New Roman"/>
          <w:color w:val="auto"/>
          <w:sz w:val="32"/>
          <w:szCs w:val="32"/>
          <w:highlight w:val="none"/>
          <w:shd w:val="clear" w:color="auto" w:fill="FFFFFF"/>
        </w:rPr>
        <w:t>较年初预算数增加981.81万元，增长146.5%。主要原因是</w:t>
      </w:r>
      <w:r>
        <w:rPr>
          <w:rFonts w:hint="default" w:ascii="Times New Roman" w:hAnsi="Times New Roman" w:eastAsia="仿宋" w:cs="Times New Roman"/>
          <w:color w:val="auto"/>
          <w:sz w:val="32"/>
          <w:szCs w:val="32"/>
          <w:highlight w:val="none"/>
          <w:shd w:val="clear" w:color="auto" w:fill="FFFFFF"/>
          <w:lang w:val="en-US" w:eastAsia="zh-CN"/>
        </w:rPr>
        <w:t>后期追加了</w:t>
      </w:r>
      <w:r>
        <w:rPr>
          <w:rFonts w:hint="default" w:ascii="Times New Roman" w:hAnsi="Times New Roman" w:eastAsia="仿宋" w:cs="Times New Roman"/>
          <w:bCs/>
          <w:color w:val="auto"/>
          <w:kern w:val="2"/>
          <w:sz w:val="32"/>
          <w:szCs w:val="32"/>
          <w:highlight w:val="none"/>
          <w:lang w:val="en-US" w:eastAsia="zh-CN" w:bidi="ar"/>
        </w:rPr>
        <w:t>农村公路灾后重建项目、2024年黑臭水体整治项目、胜利乡下阳和烤房屋后滑坡救灾项目、胜利乡疏浚保安项目、蚕桑产业化基地生产房建设等项目</w:t>
      </w:r>
      <w:r>
        <w:rPr>
          <w:rFonts w:hint="default" w:ascii="Times New Roman" w:hAnsi="Times New Roman" w:eastAsia="仿宋" w:cs="Times New Roman"/>
          <w:color w:val="auto"/>
          <w:sz w:val="32"/>
          <w:szCs w:val="32"/>
          <w:highlight w:val="none"/>
          <w:shd w:val="clear" w:color="auto" w:fill="FFFFFF"/>
          <w:lang w:val="en-US" w:eastAsia="zh-CN"/>
        </w:rPr>
        <w:t>。</w:t>
      </w:r>
    </w:p>
    <w:p>
      <w:pPr>
        <w:pStyle w:val="5"/>
        <w:keepNext w:val="0"/>
        <w:keepLines w:val="0"/>
        <w:pageBreakBefore w:val="0"/>
        <w:kinsoku/>
        <w:overflowPunct/>
        <w:topLinePunct w:val="0"/>
        <w:autoSpaceDN/>
        <w:bidi w:val="0"/>
        <w:adjustRightInd/>
        <w:snapToGrid w:val="0"/>
        <w:spacing w:before="0" w:beforeAutospacing="0" w:after="0" w:afterAutospacing="0" w:line="594" w:lineRule="exact"/>
        <w:ind w:firstLine="642" w:firstLineChars="200"/>
        <w:jc w:val="both"/>
        <w:rPr>
          <w:rFonts w:hint="default" w:ascii="Times New Roman" w:hAnsi="Times New Roman" w:eastAsia="仿宋" w:cs="Times New Roman"/>
          <w:color w:val="auto"/>
          <w:sz w:val="32"/>
          <w:szCs w:val="32"/>
          <w:highlight w:val="none"/>
          <w:lang w:val="en-US" w:eastAsia="zh-CN"/>
        </w:rPr>
      </w:pPr>
      <w:r>
        <w:rPr>
          <w:rStyle w:val="8"/>
          <w:rFonts w:hint="default" w:ascii="Times New Roman" w:hAnsi="Times New Roman" w:eastAsia="仿宋" w:cs="Times New Roman"/>
          <w:color w:val="auto"/>
          <w:sz w:val="32"/>
          <w:szCs w:val="32"/>
          <w:highlight w:val="none"/>
          <w:shd w:val="clear" w:color="auto" w:fill="FFFFFF"/>
        </w:rPr>
        <w:t>3.结转结余情况。</w:t>
      </w:r>
      <w:r>
        <w:rPr>
          <w:rFonts w:hint="default" w:ascii="Times New Roman" w:hAnsi="Times New Roman" w:eastAsia="仿宋" w:cs="Times New Roman"/>
          <w:color w:val="auto"/>
          <w:sz w:val="32"/>
          <w:szCs w:val="32"/>
          <w:highlight w:val="none"/>
          <w:shd w:val="clear" w:color="auto" w:fill="FFFFFF"/>
          <w:lang w:eastAsia="zh-CN"/>
        </w:rPr>
        <w:t>2024年</w:t>
      </w:r>
      <w:r>
        <w:rPr>
          <w:rFonts w:hint="default" w:ascii="Times New Roman" w:hAnsi="Times New Roman" w:eastAsia="仿宋" w:cs="Times New Roman"/>
          <w:color w:val="auto"/>
          <w:sz w:val="32"/>
          <w:szCs w:val="32"/>
          <w:highlight w:val="none"/>
          <w:shd w:val="clear" w:color="auto" w:fill="FFFFFF"/>
        </w:rPr>
        <w:t>度年末一般公共预算财政拨款结转和结余</w:t>
      </w:r>
      <w:r>
        <w:rPr>
          <w:rFonts w:hint="default" w:ascii="Times New Roman" w:hAnsi="Times New Roman" w:eastAsia="仿宋" w:cs="Times New Roman"/>
          <w:color w:val="auto"/>
          <w:sz w:val="32"/>
          <w:szCs w:val="32"/>
          <w:highlight w:val="none"/>
        </w:rPr>
        <w:t>0.00</w:t>
      </w:r>
      <w:r>
        <w:rPr>
          <w:rFonts w:hint="default" w:ascii="Times New Roman" w:hAnsi="Times New Roman" w:eastAsia="仿宋" w:cs="Times New Roman"/>
          <w:color w:val="auto"/>
          <w:sz w:val="32"/>
          <w:szCs w:val="32"/>
          <w:highlight w:val="none"/>
          <w:shd w:val="clear" w:color="auto" w:fill="FFFFFF"/>
        </w:rPr>
        <w:t>万元，与2023年度相比，无增减，主要原因是一般公共预算财政拨款</w:t>
      </w:r>
      <w:r>
        <w:rPr>
          <w:rFonts w:hint="default" w:ascii="Times New Roman" w:hAnsi="Times New Roman" w:eastAsia="仿宋" w:cs="Times New Roman"/>
          <w:color w:val="auto"/>
          <w:sz w:val="32"/>
          <w:szCs w:val="32"/>
          <w:highlight w:val="none"/>
          <w:shd w:val="clear" w:color="auto" w:fill="FFFFFF"/>
          <w:lang w:val="en-US" w:eastAsia="zh-CN"/>
        </w:rPr>
        <w:t>收入与支出持平，无结余。</w:t>
      </w:r>
    </w:p>
    <w:p>
      <w:pPr>
        <w:pStyle w:val="5"/>
        <w:keepNext w:val="0"/>
        <w:keepLines w:val="0"/>
        <w:pageBreakBefore w:val="0"/>
        <w:kinsoku/>
        <w:overflowPunct/>
        <w:topLinePunct w:val="0"/>
        <w:autoSpaceDN/>
        <w:bidi w:val="0"/>
        <w:adjustRightInd/>
        <w:snapToGrid w:val="0"/>
        <w:spacing w:before="0" w:beforeAutospacing="0" w:after="0" w:afterAutospacing="0" w:line="594" w:lineRule="exact"/>
        <w:ind w:firstLine="642" w:firstLineChars="200"/>
        <w:jc w:val="both"/>
        <w:rPr>
          <w:rFonts w:hint="default" w:ascii="Times New Roman" w:hAnsi="Times New Roman" w:eastAsia="仿宋" w:cs="Times New Roman"/>
          <w:color w:val="auto"/>
          <w:sz w:val="32"/>
          <w:szCs w:val="32"/>
          <w:highlight w:val="none"/>
          <w:shd w:val="clear" w:color="auto" w:fill="FFFFFF"/>
        </w:rPr>
      </w:pPr>
      <w:r>
        <w:rPr>
          <w:rStyle w:val="8"/>
          <w:rFonts w:hint="default" w:ascii="Times New Roman" w:hAnsi="Times New Roman" w:eastAsia="仿宋" w:cs="Times New Roman"/>
          <w:color w:val="auto"/>
          <w:sz w:val="32"/>
          <w:szCs w:val="32"/>
          <w:highlight w:val="none"/>
          <w:shd w:val="clear" w:color="auto" w:fill="FFFFFF"/>
        </w:rPr>
        <w:t xml:space="preserve"> 4.比较情况。</w:t>
      </w:r>
      <w:r>
        <w:rPr>
          <w:rFonts w:hint="default" w:ascii="Times New Roman" w:hAnsi="Times New Roman" w:eastAsia="仿宋" w:cs="Times New Roman"/>
          <w:color w:val="auto"/>
          <w:sz w:val="32"/>
          <w:szCs w:val="32"/>
          <w:highlight w:val="none"/>
          <w:shd w:val="clear" w:color="auto" w:fill="FFFFFF"/>
        </w:rPr>
        <w:t>本单位</w:t>
      </w:r>
      <w:r>
        <w:rPr>
          <w:rFonts w:hint="default" w:ascii="Times New Roman" w:hAnsi="Times New Roman" w:eastAsia="仿宋" w:cs="Times New Roman"/>
          <w:color w:val="auto"/>
          <w:sz w:val="32"/>
          <w:szCs w:val="32"/>
          <w:highlight w:val="none"/>
          <w:shd w:val="clear" w:color="auto" w:fill="FFFFFF"/>
          <w:lang w:eastAsia="zh-CN"/>
        </w:rPr>
        <w:t>2024年</w:t>
      </w:r>
      <w:r>
        <w:rPr>
          <w:rFonts w:hint="default" w:ascii="Times New Roman" w:hAnsi="Times New Roman" w:eastAsia="仿宋" w:cs="Times New Roman"/>
          <w:color w:val="auto"/>
          <w:sz w:val="32"/>
          <w:szCs w:val="32"/>
          <w:highlight w:val="none"/>
          <w:shd w:val="clear" w:color="auto" w:fill="FFFFFF"/>
        </w:rPr>
        <w:t>度一般公共预算财政拨款支出主要用于以下几个方面：</w:t>
      </w:r>
    </w:p>
    <w:p>
      <w:pPr>
        <w:pStyle w:val="5"/>
        <w:keepNext w:val="0"/>
        <w:keepLines w:val="0"/>
        <w:pageBreakBefore w:val="0"/>
        <w:shd w:val="clear"/>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仿宋" w:cs="Times New Roman"/>
          <w:color w:val="auto"/>
          <w:sz w:val="32"/>
          <w:szCs w:val="32"/>
          <w:highlight w:val="none"/>
          <w:shd w:val="clear" w:color="auto" w:fill="FFFFFF"/>
          <w:lang w:val="en-US" w:eastAsia="zh-CN"/>
        </w:rPr>
      </w:pPr>
      <w:r>
        <w:rPr>
          <w:rFonts w:hint="default" w:ascii="Times New Roman" w:hAnsi="Times New Roman" w:eastAsia="仿宋" w:cs="Times New Roman"/>
          <w:color w:val="auto"/>
          <w:sz w:val="32"/>
          <w:szCs w:val="32"/>
          <w:highlight w:val="none"/>
          <w:shd w:val="clear" w:color="auto" w:fill="FFFFFF"/>
        </w:rPr>
        <w:t>（1）一般公共服务支出</w:t>
      </w:r>
      <w:r>
        <w:rPr>
          <w:rFonts w:hint="default" w:ascii="Times New Roman" w:hAnsi="Times New Roman" w:eastAsia="仿宋" w:cs="Times New Roman"/>
          <w:color w:val="auto"/>
          <w:sz w:val="32"/>
          <w:szCs w:val="32"/>
          <w:highlight w:val="none"/>
        </w:rPr>
        <w:t>336.60</w:t>
      </w:r>
      <w:r>
        <w:rPr>
          <w:rFonts w:hint="default" w:ascii="Times New Roman" w:hAnsi="Times New Roman" w:eastAsia="仿宋" w:cs="Times New Roman"/>
          <w:color w:val="auto"/>
          <w:sz w:val="32"/>
          <w:szCs w:val="32"/>
          <w:highlight w:val="none"/>
          <w:shd w:val="clear" w:color="auto" w:fill="FFFFFF"/>
        </w:rPr>
        <w:t>万元，占</w:t>
      </w:r>
      <w:r>
        <w:rPr>
          <w:rFonts w:hint="default" w:ascii="Times New Roman" w:hAnsi="Times New Roman" w:eastAsia="仿宋" w:cs="Times New Roman"/>
          <w:color w:val="auto"/>
          <w:sz w:val="32"/>
          <w:szCs w:val="32"/>
          <w:highlight w:val="none"/>
        </w:rPr>
        <w:t>20.38</w:t>
      </w:r>
      <w:r>
        <w:rPr>
          <w:rFonts w:hint="default" w:ascii="Times New Roman" w:hAnsi="Times New Roman" w:eastAsia="仿宋" w:cs="Times New Roman"/>
          <w:color w:val="auto"/>
          <w:sz w:val="32"/>
          <w:szCs w:val="32"/>
          <w:highlight w:val="none"/>
          <w:shd w:val="clear" w:color="auto" w:fill="FFFFFF"/>
        </w:rPr>
        <w:t>%，较年初预算数增加33.07万元，增长10.9%，</w:t>
      </w:r>
      <w:r>
        <w:rPr>
          <w:rFonts w:hint="eastAsia" w:ascii="仿宋" w:hAnsi="仿宋" w:eastAsia="仿宋" w:cs="仿宋"/>
          <w:color w:val="auto"/>
          <w:sz w:val="32"/>
          <w:szCs w:val="32"/>
          <w:highlight w:val="none"/>
          <w:shd w:val="clear" w:color="auto" w:fill="FFFFFF"/>
        </w:rPr>
        <w:t>主要原因是</w:t>
      </w:r>
      <w:r>
        <w:rPr>
          <w:rFonts w:hint="eastAsia" w:ascii="仿宋" w:hAnsi="仿宋" w:eastAsia="仿宋" w:cs="仿宋"/>
          <w:i w:val="0"/>
          <w:iCs w:val="0"/>
          <w:color w:val="auto"/>
          <w:sz w:val="32"/>
          <w:szCs w:val="32"/>
          <w:highlight w:val="none"/>
          <w:u w:val="none"/>
          <w:lang w:val="en-US" w:eastAsia="zh-CN"/>
        </w:rPr>
        <w:t>2022-2023年公务员年度考核奖和2024年度12月统发工资指标等预算追加了</w:t>
      </w:r>
      <w:r>
        <w:rPr>
          <w:rFonts w:hint="default" w:ascii="Times New Roman" w:hAnsi="Times New Roman" w:eastAsia="仿宋" w:cs="Times New Roman"/>
          <w:color w:val="auto"/>
          <w:sz w:val="32"/>
          <w:szCs w:val="32"/>
          <w:highlight w:val="none"/>
          <w:shd w:val="clear" w:color="auto" w:fill="FFFFFF"/>
          <w:lang w:val="en-US" w:eastAsia="zh-CN"/>
        </w:rPr>
        <w:t>。</w:t>
      </w:r>
    </w:p>
    <w:p>
      <w:pPr>
        <w:pStyle w:val="5"/>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eastAsia" w:ascii="仿宋" w:hAnsi="仿宋" w:eastAsia="仿宋" w:cs="仿宋"/>
          <w:i w:val="0"/>
          <w:iCs w:val="0"/>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shd w:val="clear" w:color="auto" w:fill="FFFFFF"/>
        </w:rPr>
        <w:t>（2）社会保障与就业支出</w:t>
      </w:r>
      <w:r>
        <w:rPr>
          <w:rFonts w:hint="default" w:ascii="Times New Roman" w:hAnsi="Times New Roman" w:eastAsia="仿宋" w:cs="Times New Roman"/>
          <w:color w:val="auto"/>
          <w:sz w:val="32"/>
          <w:szCs w:val="32"/>
          <w:highlight w:val="none"/>
        </w:rPr>
        <w:t>85.45</w:t>
      </w:r>
      <w:r>
        <w:rPr>
          <w:rFonts w:hint="default" w:ascii="Times New Roman" w:hAnsi="Times New Roman" w:eastAsia="仿宋" w:cs="Times New Roman"/>
          <w:color w:val="auto"/>
          <w:sz w:val="32"/>
          <w:szCs w:val="32"/>
          <w:highlight w:val="none"/>
          <w:shd w:val="clear" w:color="auto" w:fill="FFFFFF"/>
        </w:rPr>
        <w:t>万元，占</w:t>
      </w:r>
      <w:r>
        <w:rPr>
          <w:rFonts w:hint="default" w:ascii="Times New Roman" w:hAnsi="Times New Roman" w:eastAsia="仿宋" w:cs="Times New Roman"/>
          <w:color w:val="auto"/>
          <w:sz w:val="32"/>
          <w:szCs w:val="32"/>
          <w:highlight w:val="none"/>
        </w:rPr>
        <w:t>5.17</w:t>
      </w:r>
      <w:r>
        <w:rPr>
          <w:rFonts w:hint="default" w:ascii="Times New Roman" w:hAnsi="Times New Roman" w:eastAsia="仿宋" w:cs="Times New Roman"/>
          <w:color w:val="auto"/>
          <w:sz w:val="32"/>
          <w:szCs w:val="32"/>
          <w:highlight w:val="none"/>
          <w:shd w:val="clear" w:color="auto" w:fill="FFFFFF"/>
        </w:rPr>
        <w:t>%，较年初预算数增加10.66万元，增长14.3%，</w:t>
      </w:r>
      <w:r>
        <w:rPr>
          <w:rFonts w:hint="eastAsia" w:ascii="仿宋" w:hAnsi="仿宋" w:eastAsia="仿宋" w:cs="仿宋"/>
          <w:color w:val="auto"/>
          <w:sz w:val="32"/>
          <w:szCs w:val="32"/>
          <w:highlight w:val="none"/>
          <w:shd w:val="clear" w:color="auto" w:fill="FFFFFF"/>
        </w:rPr>
        <w:t>主要原因是</w:t>
      </w:r>
      <w:r>
        <w:rPr>
          <w:rFonts w:hint="eastAsia" w:ascii="仿宋" w:hAnsi="仿宋" w:eastAsia="仿宋" w:cs="仿宋"/>
          <w:color w:val="auto"/>
          <w:sz w:val="32"/>
          <w:szCs w:val="32"/>
          <w:highlight w:val="none"/>
          <w:shd w:val="clear" w:color="auto" w:fill="FFFFFF"/>
          <w:lang w:val="en-US" w:eastAsia="zh-CN"/>
        </w:rPr>
        <w:t>增加发放一人一次性退休补贴</w:t>
      </w:r>
      <w:r>
        <w:rPr>
          <w:rFonts w:hint="eastAsia" w:ascii="仿宋" w:hAnsi="仿宋" w:eastAsia="仿宋" w:cs="仿宋"/>
          <w:i w:val="0"/>
          <w:iCs w:val="0"/>
          <w:color w:val="auto"/>
          <w:sz w:val="32"/>
          <w:szCs w:val="32"/>
          <w:highlight w:val="none"/>
          <w:u w:val="none"/>
          <w:lang w:val="en-US" w:eastAsia="zh-CN"/>
        </w:rPr>
        <w:t>及2024年临时救助分配增加。</w:t>
      </w:r>
    </w:p>
    <w:p>
      <w:pPr>
        <w:pStyle w:val="5"/>
        <w:keepNext w:val="0"/>
        <w:keepLines w:val="0"/>
        <w:pageBreakBefore w:val="0"/>
        <w:shd w:val="clear"/>
        <w:kinsoku/>
        <w:overflowPunct/>
        <w:topLinePunct w:val="0"/>
        <w:autoSpaceDN/>
        <w:bidi w:val="0"/>
        <w:adjustRightInd/>
        <w:snapToGrid w:val="0"/>
        <w:spacing w:before="0" w:beforeAutospacing="0" w:after="0" w:afterAutospacing="0" w:line="594" w:lineRule="exact"/>
        <w:ind w:firstLine="640" w:firstLineChars="200"/>
        <w:jc w:val="both"/>
        <w:rPr>
          <w:rFonts w:hint="eastAsia"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shd w:val="clear" w:color="auto" w:fill="FFFFFF"/>
        </w:rPr>
        <w:t>（</w:t>
      </w:r>
      <w:r>
        <w:rPr>
          <w:rFonts w:hint="default" w:ascii="Times New Roman" w:hAnsi="Times New Roman" w:eastAsia="仿宋" w:cs="Times New Roman"/>
          <w:color w:val="auto"/>
          <w:sz w:val="32"/>
          <w:szCs w:val="32"/>
          <w:highlight w:val="none"/>
          <w:shd w:val="clear" w:color="auto" w:fill="FFFFFF"/>
          <w:lang w:val="en-US" w:eastAsia="zh-CN"/>
        </w:rPr>
        <w:t>3</w:t>
      </w:r>
      <w:r>
        <w:rPr>
          <w:rFonts w:hint="default" w:ascii="Times New Roman" w:hAnsi="Times New Roman" w:eastAsia="仿宋" w:cs="Times New Roman"/>
          <w:color w:val="auto"/>
          <w:sz w:val="32"/>
          <w:szCs w:val="32"/>
          <w:highlight w:val="none"/>
          <w:shd w:val="clear" w:color="auto" w:fill="FFFFFF"/>
        </w:rPr>
        <w:t>）卫生健康支出</w:t>
      </w:r>
      <w:r>
        <w:rPr>
          <w:rFonts w:hint="default" w:ascii="Times New Roman" w:hAnsi="Times New Roman" w:eastAsia="仿宋" w:cs="Times New Roman"/>
          <w:color w:val="auto"/>
          <w:sz w:val="32"/>
          <w:szCs w:val="32"/>
          <w:highlight w:val="none"/>
        </w:rPr>
        <w:t>22.10</w:t>
      </w:r>
      <w:r>
        <w:rPr>
          <w:rFonts w:hint="default" w:ascii="Times New Roman" w:hAnsi="Times New Roman" w:eastAsia="仿宋" w:cs="Times New Roman"/>
          <w:color w:val="auto"/>
          <w:sz w:val="32"/>
          <w:szCs w:val="32"/>
          <w:highlight w:val="none"/>
          <w:shd w:val="clear" w:color="auto" w:fill="FFFFFF"/>
        </w:rPr>
        <w:t>万元，占</w:t>
      </w:r>
      <w:r>
        <w:rPr>
          <w:rFonts w:hint="default" w:ascii="Times New Roman" w:hAnsi="Times New Roman" w:eastAsia="仿宋" w:cs="Times New Roman"/>
          <w:color w:val="auto"/>
          <w:sz w:val="32"/>
          <w:szCs w:val="32"/>
          <w:highlight w:val="none"/>
        </w:rPr>
        <w:t>1.34</w:t>
      </w:r>
      <w:r>
        <w:rPr>
          <w:rFonts w:hint="default" w:ascii="Times New Roman" w:hAnsi="Times New Roman" w:eastAsia="仿宋" w:cs="Times New Roman"/>
          <w:color w:val="auto"/>
          <w:sz w:val="32"/>
          <w:szCs w:val="32"/>
          <w:highlight w:val="none"/>
          <w:shd w:val="clear" w:color="auto" w:fill="FFFFFF"/>
        </w:rPr>
        <w:t>%，较年初预算数无增减</w:t>
      </w:r>
      <w:r>
        <w:rPr>
          <w:rFonts w:hint="eastAsia" w:ascii="Times New Roman" w:hAnsi="Times New Roman" w:eastAsia="仿宋" w:cs="Times New Roman"/>
          <w:color w:val="auto"/>
          <w:sz w:val="32"/>
          <w:szCs w:val="32"/>
          <w:highlight w:val="none"/>
          <w:shd w:val="clear" w:color="auto" w:fill="FFFFFF"/>
          <w:lang w:eastAsia="zh-CN"/>
        </w:rPr>
        <w:t>，</w:t>
      </w:r>
      <w:r>
        <w:rPr>
          <w:rFonts w:hint="eastAsia" w:ascii="仿宋" w:hAnsi="仿宋" w:eastAsia="仿宋" w:cs="仿宋"/>
          <w:color w:val="auto"/>
          <w:sz w:val="32"/>
          <w:szCs w:val="32"/>
          <w:highlight w:val="none"/>
          <w:shd w:val="clear" w:color="auto" w:fill="FFFFFF"/>
        </w:rPr>
        <w:t>主要原因是</w:t>
      </w:r>
      <w:r>
        <w:rPr>
          <w:rFonts w:hint="eastAsia" w:ascii="仿宋" w:hAnsi="仿宋" w:eastAsia="仿宋" w:cs="仿宋"/>
          <w:color w:val="auto"/>
          <w:sz w:val="32"/>
          <w:szCs w:val="32"/>
          <w:highlight w:val="none"/>
          <w:shd w:val="clear" w:color="auto" w:fill="FFFFFF"/>
          <w:lang w:val="en-US" w:eastAsia="zh-CN"/>
        </w:rPr>
        <w:t>严格按照预算执行</w:t>
      </w:r>
      <w:r>
        <w:rPr>
          <w:rFonts w:hint="eastAsia" w:ascii="仿宋" w:hAnsi="仿宋" w:eastAsia="仿宋" w:cs="仿宋"/>
          <w:color w:val="auto"/>
          <w:sz w:val="32"/>
          <w:szCs w:val="32"/>
          <w:highlight w:val="none"/>
          <w:shd w:val="clear" w:color="auto" w:fill="FFFFFF"/>
        </w:rPr>
        <w:t>。</w:t>
      </w:r>
    </w:p>
    <w:p>
      <w:pPr>
        <w:pStyle w:val="5"/>
        <w:keepNext w:val="0"/>
        <w:keepLines w:val="0"/>
        <w:pageBreakBefore w:val="0"/>
        <w:shd w:val="clear"/>
        <w:kinsoku/>
        <w:overflowPunct/>
        <w:topLinePunct w:val="0"/>
        <w:autoSpaceDN/>
        <w:bidi w:val="0"/>
        <w:adjustRightInd/>
        <w:snapToGrid w:val="0"/>
        <w:spacing w:before="0" w:beforeAutospacing="0" w:after="0" w:afterAutospacing="0" w:line="594" w:lineRule="exact"/>
        <w:ind w:firstLine="640" w:firstLineChars="200"/>
        <w:jc w:val="both"/>
        <w:rPr>
          <w:rFonts w:hint="eastAsia" w:ascii="仿宋" w:hAnsi="仿宋" w:eastAsia="仿宋" w:cs="仿宋"/>
          <w:i w:val="0"/>
          <w:iCs w:val="0"/>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shd w:val="clear" w:color="auto" w:fill="FFFFFF"/>
        </w:rPr>
        <w:t>（</w:t>
      </w:r>
      <w:r>
        <w:rPr>
          <w:rFonts w:hint="default" w:ascii="Times New Roman" w:hAnsi="Times New Roman" w:eastAsia="仿宋" w:cs="Times New Roman"/>
          <w:color w:val="auto"/>
          <w:sz w:val="32"/>
          <w:szCs w:val="32"/>
          <w:highlight w:val="none"/>
          <w:shd w:val="clear" w:color="auto" w:fill="FFFFFF"/>
          <w:lang w:val="en-US" w:eastAsia="zh-CN"/>
        </w:rPr>
        <w:t>4</w:t>
      </w:r>
      <w:r>
        <w:rPr>
          <w:rFonts w:hint="default" w:ascii="Times New Roman" w:hAnsi="Times New Roman" w:eastAsia="仿宋" w:cs="Times New Roman"/>
          <w:color w:val="auto"/>
          <w:sz w:val="32"/>
          <w:szCs w:val="32"/>
          <w:highlight w:val="none"/>
          <w:shd w:val="clear" w:color="auto" w:fill="FFFFFF"/>
        </w:rPr>
        <w:t>）节能环保支出</w:t>
      </w:r>
      <w:r>
        <w:rPr>
          <w:rFonts w:hint="default" w:ascii="Times New Roman" w:hAnsi="Times New Roman" w:eastAsia="仿宋" w:cs="Times New Roman"/>
          <w:color w:val="auto"/>
          <w:sz w:val="32"/>
          <w:szCs w:val="32"/>
          <w:highlight w:val="none"/>
        </w:rPr>
        <w:t>60.19</w:t>
      </w:r>
      <w:r>
        <w:rPr>
          <w:rFonts w:hint="default" w:ascii="Times New Roman" w:hAnsi="Times New Roman" w:eastAsia="仿宋" w:cs="Times New Roman"/>
          <w:color w:val="auto"/>
          <w:sz w:val="32"/>
          <w:szCs w:val="32"/>
          <w:highlight w:val="none"/>
          <w:shd w:val="clear" w:color="auto" w:fill="FFFFFF"/>
        </w:rPr>
        <w:t>万元，占</w:t>
      </w:r>
      <w:r>
        <w:rPr>
          <w:rFonts w:hint="default" w:ascii="Times New Roman" w:hAnsi="Times New Roman" w:eastAsia="仿宋" w:cs="Times New Roman"/>
          <w:color w:val="auto"/>
          <w:sz w:val="32"/>
          <w:szCs w:val="32"/>
          <w:highlight w:val="none"/>
        </w:rPr>
        <w:t>3.64</w:t>
      </w:r>
      <w:r>
        <w:rPr>
          <w:rFonts w:hint="default" w:ascii="Times New Roman" w:hAnsi="Times New Roman" w:eastAsia="仿宋" w:cs="Times New Roman"/>
          <w:color w:val="auto"/>
          <w:sz w:val="32"/>
          <w:szCs w:val="32"/>
          <w:highlight w:val="none"/>
          <w:shd w:val="clear" w:color="auto" w:fill="FFFFFF"/>
        </w:rPr>
        <w:t>%，较年初预算数增加60.19万元，增长100.0%，</w:t>
      </w:r>
      <w:r>
        <w:rPr>
          <w:rFonts w:hint="eastAsia" w:ascii="仿宋" w:hAnsi="仿宋" w:eastAsia="仿宋" w:cs="仿宋"/>
          <w:color w:val="auto"/>
          <w:sz w:val="32"/>
          <w:szCs w:val="32"/>
          <w:highlight w:val="none"/>
          <w:shd w:val="clear" w:color="auto" w:fill="FFFFFF"/>
        </w:rPr>
        <w:t>主要原因是</w:t>
      </w:r>
      <w:r>
        <w:rPr>
          <w:rFonts w:hint="eastAsia" w:ascii="仿宋" w:hAnsi="仿宋" w:eastAsia="仿宋" w:cs="仿宋"/>
          <w:i w:val="0"/>
          <w:iCs w:val="0"/>
          <w:color w:val="auto"/>
          <w:sz w:val="32"/>
          <w:szCs w:val="32"/>
          <w:highlight w:val="none"/>
          <w:u w:val="none"/>
          <w:lang w:val="en-US" w:eastAsia="zh-CN"/>
        </w:rPr>
        <w:t>2024年度生态护林员工资增加，2024年生态环境突出问题整治县级补助资金增加。</w:t>
      </w:r>
    </w:p>
    <w:p>
      <w:pPr>
        <w:pStyle w:val="5"/>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仿宋" w:cs="Times New Roman"/>
          <w:color w:val="auto"/>
          <w:sz w:val="32"/>
          <w:szCs w:val="32"/>
          <w:highlight w:val="none"/>
          <w:shd w:val="clear" w:color="auto" w:fill="FFFFFF"/>
        </w:rPr>
      </w:pPr>
      <w:r>
        <w:rPr>
          <w:rFonts w:hint="default" w:ascii="Times New Roman" w:hAnsi="Times New Roman" w:eastAsia="仿宋" w:cs="Times New Roman"/>
          <w:color w:val="auto"/>
          <w:sz w:val="32"/>
          <w:szCs w:val="32"/>
          <w:highlight w:val="none"/>
          <w:shd w:val="clear" w:color="auto" w:fill="FFFFFF"/>
        </w:rPr>
        <w:t>（</w:t>
      </w:r>
      <w:r>
        <w:rPr>
          <w:rFonts w:hint="default" w:ascii="Times New Roman" w:hAnsi="Times New Roman" w:eastAsia="仿宋" w:cs="Times New Roman"/>
          <w:color w:val="auto"/>
          <w:sz w:val="32"/>
          <w:szCs w:val="32"/>
          <w:highlight w:val="none"/>
          <w:shd w:val="clear" w:color="auto" w:fill="FFFFFF"/>
          <w:lang w:val="en-US" w:eastAsia="zh-CN"/>
        </w:rPr>
        <w:t>5</w:t>
      </w:r>
      <w:r>
        <w:rPr>
          <w:rFonts w:hint="default" w:ascii="Times New Roman" w:hAnsi="Times New Roman" w:eastAsia="仿宋" w:cs="Times New Roman"/>
          <w:color w:val="auto"/>
          <w:sz w:val="32"/>
          <w:szCs w:val="32"/>
          <w:highlight w:val="none"/>
          <w:shd w:val="clear" w:color="auto" w:fill="FFFFFF"/>
        </w:rPr>
        <w:t>）农林水支出</w:t>
      </w:r>
      <w:r>
        <w:rPr>
          <w:rFonts w:hint="default" w:ascii="Times New Roman" w:hAnsi="Times New Roman" w:eastAsia="仿宋" w:cs="Times New Roman"/>
          <w:color w:val="auto"/>
          <w:sz w:val="32"/>
          <w:szCs w:val="32"/>
          <w:highlight w:val="none"/>
        </w:rPr>
        <w:t>1056.54</w:t>
      </w:r>
      <w:r>
        <w:rPr>
          <w:rFonts w:hint="default" w:ascii="Times New Roman" w:hAnsi="Times New Roman" w:eastAsia="仿宋" w:cs="Times New Roman"/>
          <w:color w:val="auto"/>
          <w:sz w:val="32"/>
          <w:szCs w:val="32"/>
          <w:highlight w:val="none"/>
          <w:shd w:val="clear" w:color="auto" w:fill="FFFFFF"/>
        </w:rPr>
        <w:t>万元，占</w:t>
      </w:r>
      <w:r>
        <w:rPr>
          <w:rFonts w:hint="default" w:ascii="Times New Roman" w:hAnsi="Times New Roman" w:eastAsia="仿宋" w:cs="Times New Roman"/>
          <w:color w:val="auto"/>
          <w:sz w:val="32"/>
          <w:szCs w:val="32"/>
          <w:highlight w:val="none"/>
        </w:rPr>
        <w:t>63.96</w:t>
      </w:r>
      <w:r>
        <w:rPr>
          <w:rFonts w:hint="default" w:ascii="Times New Roman" w:hAnsi="Times New Roman" w:eastAsia="仿宋" w:cs="Times New Roman"/>
          <w:color w:val="auto"/>
          <w:sz w:val="32"/>
          <w:szCs w:val="32"/>
          <w:highlight w:val="none"/>
          <w:shd w:val="clear" w:color="auto" w:fill="FFFFFF"/>
        </w:rPr>
        <w:t>%，较年初预算数增加817.15万元，增长341.4%，主要原因是</w:t>
      </w:r>
      <w:r>
        <w:rPr>
          <w:rFonts w:hint="default" w:ascii="Times New Roman" w:hAnsi="Times New Roman" w:eastAsia="仿宋" w:cs="Times New Roman"/>
          <w:i w:val="0"/>
          <w:iCs w:val="0"/>
          <w:color w:val="auto"/>
          <w:kern w:val="0"/>
          <w:sz w:val="32"/>
          <w:szCs w:val="32"/>
          <w:highlight w:val="none"/>
          <w:u w:val="none"/>
          <w:lang w:val="en-US" w:eastAsia="zh-CN" w:bidi="ar"/>
        </w:rPr>
        <w:t>涉农衔接资金471.91万元，其他项目资金追加345.24万元。</w:t>
      </w:r>
    </w:p>
    <w:p>
      <w:pPr>
        <w:keepNext w:val="0"/>
        <w:keepLines w:val="0"/>
        <w:pageBreakBefore w:val="0"/>
        <w:shd w:val="clear"/>
        <w:kinsoku/>
        <w:overflowPunct/>
        <w:topLinePunct w:val="0"/>
        <w:autoSpaceDN/>
        <w:bidi w:val="0"/>
        <w:adjustRightInd/>
        <w:spacing w:beforeAutospacing="0" w:afterAutospacing="0" w:line="594" w:lineRule="exact"/>
        <w:ind w:firstLine="640" w:firstLineChars="200"/>
        <w:rPr>
          <w:rFonts w:hint="eastAsia" w:ascii="仿宋" w:hAnsi="仿宋" w:eastAsia="仿宋" w:cs="仿宋"/>
          <w:i w:val="0"/>
          <w:iCs w:val="0"/>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shd w:val="clear" w:color="auto" w:fill="FFFFFF"/>
        </w:rPr>
        <w:t>（</w:t>
      </w:r>
      <w:r>
        <w:rPr>
          <w:rFonts w:hint="default" w:ascii="Times New Roman" w:hAnsi="Times New Roman" w:eastAsia="仿宋" w:cs="Times New Roman"/>
          <w:color w:val="auto"/>
          <w:sz w:val="32"/>
          <w:szCs w:val="32"/>
          <w:highlight w:val="none"/>
          <w:shd w:val="clear" w:color="auto" w:fill="FFFFFF"/>
          <w:lang w:val="en-US" w:eastAsia="zh-CN"/>
        </w:rPr>
        <w:t>6</w:t>
      </w:r>
      <w:r>
        <w:rPr>
          <w:rFonts w:hint="default" w:ascii="Times New Roman" w:hAnsi="Times New Roman" w:eastAsia="仿宋" w:cs="Times New Roman"/>
          <w:color w:val="auto"/>
          <w:sz w:val="32"/>
          <w:szCs w:val="32"/>
          <w:highlight w:val="none"/>
          <w:shd w:val="clear" w:color="auto" w:fill="FFFFFF"/>
        </w:rPr>
        <w:t>）</w:t>
      </w:r>
      <w:r>
        <w:rPr>
          <w:rFonts w:hint="default" w:ascii="Times New Roman" w:hAnsi="Times New Roman" w:eastAsia="仿宋" w:cs="Times New Roman"/>
          <w:color w:val="auto"/>
          <w:sz w:val="32"/>
          <w:szCs w:val="32"/>
          <w:highlight w:val="none"/>
        </w:rPr>
        <w:t>住房保障支出48.19</w:t>
      </w:r>
      <w:r>
        <w:rPr>
          <w:rFonts w:hint="default" w:ascii="Times New Roman" w:hAnsi="Times New Roman" w:eastAsia="仿宋" w:cs="Times New Roman"/>
          <w:color w:val="auto"/>
          <w:sz w:val="32"/>
          <w:szCs w:val="32"/>
          <w:highlight w:val="none"/>
          <w:shd w:val="clear" w:color="auto" w:fill="FFFFFF"/>
        </w:rPr>
        <w:t>万元，占</w:t>
      </w:r>
      <w:r>
        <w:rPr>
          <w:rFonts w:hint="default" w:ascii="Times New Roman" w:hAnsi="Times New Roman" w:eastAsia="仿宋" w:cs="Times New Roman"/>
          <w:color w:val="auto"/>
          <w:sz w:val="32"/>
          <w:szCs w:val="32"/>
          <w:highlight w:val="none"/>
        </w:rPr>
        <w:t>2.92</w:t>
      </w:r>
      <w:r>
        <w:rPr>
          <w:rFonts w:hint="default" w:ascii="Times New Roman" w:hAnsi="Times New Roman" w:eastAsia="仿宋" w:cs="Times New Roman"/>
          <w:color w:val="auto"/>
          <w:sz w:val="32"/>
          <w:szCs w:val="32"/>
          <w:highlight w:val="none"/>
          <w:shd w:val="clear" w:color="auto" w:fill="FFFFFF"/>
        </w:rPr>
        <w:t>%，较年初预算数增加18.00万元，增长59.6%，</w:t>
      </w:r>
      <w:r>
        <w:rPr>
          <w:rFonts w:hint="eastAsia" w:ascii="仿宋" w:hAnsi="仿宋" w:eastAsia="仿宋" w:cs="仿宋"/>
          <w:color w:val="auto"/>
          <w:sz w:val="32"/>
          <w:szCs w:val="32"/>
          <w:highlight w:val="none"/>
          <w:shd w:val="clear" w:color="auto" w:fill="FFFFFF"/>
        </w:rPr>
        <w:t>主要原因是</w:t>
      </w:r>
      <w:r>
        <w:rPr>
          <w:rFonts w:hint="eastAsia" w:ascii="仿宋" w:hAnsi="仿宋" w:eastAsia="仿宋" w:cs="仿宋"/>
          <w:i w:val="0"/>
          <w:iCs w:val="0"/>
          <w:color w:val="auto"/>
          <w:sz w:val="32"/>
          <w:szCs w:val="32"/>
          <w:highlight w:val="none"/>
          <w:u w:val="none"/>
          <w:lang w:val="en-US" w:eastAsia="zh-CN"/>
        </w:rPr>
        <w:t>下达2024年农村危房改造补助资金增加。</w:t>
      </w:r>
    </w:p>
    <w:p>
      <w:pPr>
        <w:keepNext w:val="0"/>
        <w:keepLines w:val="0"/>
        <w:pageBreakBefore w:val="0"/>
        <w:shd w:val="clear"/>
        <w:kinsoku/>
        <w:overflowPunct/>
        <w:topLinePunct w:val="0"/>
        <w:autoSpaceDN/>
        <w:bidi w:val="0"/>
        <w:adjustRightInd/>
        <w:spacing w:beforeAutospacing="0" w:afterAutospacing="0" w:line="594" w:lineRule="exact"/>
        <w:ind w:firstLine="640" w:firstLineChars="200"/>
        <w:rPr>
          <w:rFonts w:hint="default" w:ascii="Times New Roman" w:hAnsi="Times New Roman" w:eastAsia="仿宋" w:cs="Times New Roman"/>
          <w:color w:val="auto"/>
          <w:sz w:val="32"/>
          <w:szCs w:val="32"/>
          <w:highlight w:val="none"/>
          <w:shd w:val="clear" w:color="auto" w:fill="FFFFFF"/>
        </w:rPr>
      </w:pPr>
      <w:r>
        <w:rPr>
          <w:rFonts w:hint="default" w:ascii="Times New Roman" w:hAnsi="Times New Roman" w:eastAsia="仿宋" w:cs="Times New Roman"/>
          <w:color w:val="auto"/>
          <w:sz w:val="32"/>
          <w:szCs w:val="32"/>
          <w:highlight w:val="none"/>
          <w:shd w:val="clear" w:color="auto" w:fill="FFFFFF"/>
        </w:rPr>
        <w:t>（</w:t>
      </w:r>
      <w:r>
        <w:rPr>
          <w:rFonts w:hint="default" w:ascii="Times New Roman" w:hAnsi="Times New Roman" w:eastAsia="仿宋" w:cs="Times New Roman"/>
          <w:color w:val="auto"/>
          <w:sz w:val="32"/>
          <w:szCs w:val="32"/>
          <w:highlight w:val="none"/>
          <w:shd w:val="clear" w:color="auto" w:fill="FFFFFF"/>
          <w:lang w:val="en-US" w:eastAsia="zh-CN"/>
        </w:rPr>
        <w:t>7</w:t>
      </w:r>
      <w:r>
        <w:rPr>
          <w:rFonts w:hint="default" w:ascii="Times New Roman" w:hAnsi="Times New Roman" w:eastAsia="仿宋" w:cs="Times New Roman"/>
          <w:color w:val="auto"/>
          <w:sz w:val="32"/>
          <w:szCs w:val="32"/>
          <w:highlight w:val="none"/>
          <w:shd w:val="clear" w:color="auto" w:fill="FFFFFF"/>
        </w:rPr>
        <w:t>）</w:t>
      </w:r>
      <w:r>
        <w:rPr>
          <w:rFonts w:hint="default" w:ascii="Times New Roman" w:hAnsi="Times New Roman" w:eastAsia="仿宋" w:cs="Times New Roman"/>
          <w:color w:val="auto"/>
          <w:sz w:val="32"/>
          <w:szCs w:val="32"/>
          <w:highlight w:val="none"/>
        </w:rPr>
        <w:t>灾害防治及应急管理支出42.74</w:t>
      </w:r>
      <w:r>
        <w:rPr>
          <w:rFonts w:hint="default" w:ascii="Times New Roman" w:hAnsi="Times New Roman" w:eastAsia="仿宋" w:cs="Times New Roman"/>
          <w:color w:val="auto"/>
          <w:sz w:val="32"/>
          <w:szCs w:val="32"/>
          <w:highlight w:val="none"/>
          <w:shd w:val="clear" w:color="auto" w:fill="FFFFFF"/>
        </w:rPr>
        <w:t>万元，占</w:t>
      </w:r>
      <w:r>
        <w:rPr>
          <w:rFonts w:hint="default" w:ascii="Times New Roman" w:hAnsi="Times New Roman" w:eastAsia="仿宋" w:cs="Times New Roman"/>
          <w:color w:val="auto"/>
          <w:sz w:val="32"/>
          <w:szCs w:val="32"/>
          <w:highlight w:val="none"/>
        </w:rPr>
        <w:t>2.59</w:t>
      </w:r>
      <w:r>
        <w:rPr>
          <w:rFonts w:hint="default" w:ascii="Times New Roman" w:hAnsi="Times New Roman" w:eastAsia="仿宋" w:cs="Times New Roman"/>
          <w:color w:val="auto"/>
          <w:sz w:val="32"/>
          <w:szCs w:val="32"/>
          <w:highlight w:val="none"/>
          <w:shd w:val="clear" w:color="auto" w:fill="FFFFFF"/>
        </w:rPr>
        <w:t>%，较年初预算数增加42.74万元，增长100.0%，</w:t>
      </w:r>
      <w:r>
        <w:rPr>
          <w:rFonts w:hint="eastAsia" w:ascii="仿宋" w:hAnsi="仿宋" w:eastAsia="仿宋" w:cs="仿宋"/>
          <w:color w:val="auto"/>
          <w:sz w:val="32"/>
          <w:szCs w:val="32"/>
          <w:highlight w:val="none"/>
          <w:shd w:val="clear" w:color="auto" w:fill="FFFFFF"/>
        </w:rPr>
        <w:t>主要原因是</w:t>
      </w:r>
      <w:r>
        <w:rPr>
          <w:rFonts w:hint="eastAsia" w:ascii="仿宋" w:hAnsi="仿宋" w:eastAsia="仿宋" w:cs="仿宋"/>
          <w:i w:val="0"/>
          <w:iCs w:val="0"/>
          <w:color w:val="auto"/>
          <w:sz w:val="32"/>
          <w:szCs w:val="32"/>
          <w:highlight w:val="none"/>
          <w:u w:val="none"/>
          <w:lang w:val="en-US"/>
        </w:rPr>
        <w:t>2023年中央自然灾害救灾资金预算（冬春临时生活困难救助资金）</w:t>
      </w:r>
      <w:r>
        <w:rPr>
          <w:rFonts w:hint="eastAsia" w:ascii="仿宋" w:hAnsi="仿宋" w:eastAsia="仿宋" w:cs="仿宋"/>
          <w:i w:val="0"/>
          <w:iCs w:val="0"/>
          <w:color w:val="auto"/>
          <w:sz w:val="32"/>
          <w:szCs w:val="32"/>
          <w:highlight w:val="none"/>
          <w:u w:val="none"/>
          <w:lang w:val="en-US" w:eastAsia="zh-CN"/>
        </w:rPr>
        <w:t>、2024年“7.8—7.15”洪涝灾害县级预备费救灾资金、2024年“7.8—7.15”洪涝灾害县级预备费救灾资金增加。</w:t>
      </w:r>
    </w:p>
    <w:p>
      <w:pPr>
        <w:pStyle w:val="9"/>
        <w:keepNext w:val="0"/>
        <w:keepLines w:val="0"/>
        <w:pageBreakBefore w:val="0"/>
        <w:kinsoku/>
        <w:overflowPunct/>
        <w:topLinePunct w:val="0"/>
        <w:autoSpaceDE w:val="0"/>
        <w:autoSpaceDN/>
        <w:bidi w:val="0"/>
        <w:adjustRightInd/>
        <w:spacing w:beforeAutospacing="0" w:afterAutospacing="0" w:line="594" w:lineRule="exact"/>
        <w:ind w:firstLine="643"/>
        <w:rPr>
          <w:rStyle w:val="8"/>
          <w:rFonts w:hint="default" w:ascii="Times New Roman" w:hAnsi="Times New Roman" w:eastAsia="楷体" w:cs="Times New Roman"/>
          <w:b w:val="0"/>
          <w:bCs/>
          <w:color w:val="auto"/>
          <w:sz w:val="32"/>
          <w:szCs w:val="32"/>
          <w:highlight w:val="none"/>
          <w:shd w:val="clear" w:color="auto" w:fill="FFFFFF"/>
          <w:lang w:val="en-US" w:eastAsia="zh-CN" w:bidi="ar-SA"/>
        </w:rPr>
      </w:pPr>
      <w:r>
        <w:rPr>
          <w:rStyle w:val="8"/>
          <w:rFonts w:hint="default" w:ascii="Times New Roman" w:hAnsi="Times New Roman" w:eastAsia="楷体" w:cs="Times New Roman"/>
          <w:b w:val="0"/>
          <w:bCs/>
          <w:color w:val="auto"/>
          <w:sz w:val="32"/>
          <w:szCs w:val="32"/>
          <w:highlight w:val="none"/>
          <w:shd w:val="clear" w:color="auto" w:fill="FFFFFF"/>
          <w:lang w:val="en-US" w:eastAsia="zh-CN" w:bidi="ar-SA"/>
        </w:rPr>
        <w:t>（四）一般公共预算财政拨款基本支出决算情况说明</w:t>
      </w:r>
    </w:p>
    <w:p>
      <w:pPr>
        <w:pStyle w:val="5"/>
        <w:keepNext w:val="0"/>
        <w:keepLines w:val="0"/>
        <w:pageBreakBefore w:val="0"/>
        <w:widowControl w:val="0"/>
        <w:kinsoku/>
        <w:wordWrap w:val="0"/>
        <w:overflowPunct/>
        <w:topLinePunct w:val="0"/>
        <w:autoSpaceDE/>
        <w:autoSpaceDN/>
        <w:bidi w:val="0"/>
        <w:adjustRightInd/>
        <w:snapToGrid/>
        <w:spacing w:before="0" w:beforeAutospacing="0" w:after="0" w:afterAutospacing="0" w:line="594" w:lineRule="exact"/>
        <w:ind w:left="0" w:firstLine="640" w:firstLineChars="200"/>
        <w:jc w:val="both"/>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shd w:val="clear" w:color="auto" w:fill="FFFFFF"/>
          <w:lang w:eastAsia="zh-CN"/>
        </w:rPr>
        <w:t>2024年</w:t>
      </w:r>
      <w:r>
        <w:rPr>
          <w:rFonts w:hint="default" w:ascii="Times New Roman" w:hAnsi="Times New Roman" w:eastAsia="仿宋" w:cs="Times New Roman"/>
          <w:color w:val="auto"/>
          <w:sz w:val="32"/>
          <w:szCs w:val="32"/>
          <w:highlight w:val="none"/>
          <w:shd w:val="clear" w:color="auto" w:fill="FFFFFF"/>
        </w:rPr>
        <w:t>度一般公共财政拨款基本支出</w:t>
      </w:r>
      <w:r>
        <w:rPr>
          <w:rFonts w:hint="default" w:ascii="Times New Roman" w:hAnsi="Times New Roman" w:eastAsia="仿宋" w:cs="Times New Roman"/>
          <w:color w:val="auto"/>
          <w:sz w:val="32"/>
          <w:szCs w:val="32"/>
          <w:highlight w:val="none"/>
        </w:rPr>
        <w:t>514.48</w:t>
      </w:r>
      <w:r>
        <w:rPr>
          <w:rFonts w:hint="default" w:ascii="Times New Roman" w:hAnsi="Times New Roman" w:eastAsia="仿宋" w:cs="Times New Roman"/>
          <w:color w:val="auto"/>
          <w:sz w:val="32"/>
          <w:szCs w:val="32"/>
          <w:highlight w:val="none"/>
          <w:shd w:val="clear" w:color="auto" w:fill="FFFFFF"/>
        </w:rPr>
        <w:t>万元。其中：人员经费</w:t>
      </w:r>
      <w:r>
        <w:rPr>
          <w:rFonts w:hint="default" w:ascii="Times New Roman" w:hAnsi="Times New Roman" w:eastAsia="仿宋" w:cs="Times New Roman"/>
          <w:color w:val="auto"/>
          <w:sz w:val="32"/>
          <w:szCs w:val="32"/>
          <w:highlight w:val="none"/>
        </w:rPr>
        <w:t>442.89</w:t>
      </w:r>
      <w:r>
        <w:rPr>
          <w:rFonts w:hint="default" w:ascii="Times New Roman" w:hAnsi="Times New Roman" w:eastAsia="仿宋" w:cs="Times New Roman"/>
          <w:color w:val="auto"/>
          <w:sz w:val="32"/>
          <w:szCs w:val="32"/>
          <w:highlight w:val="none"/>
          <w:shd w:val="clear" w:color="auto" w:fill="FFFFFF"/>
        </w:rPr>
        <w:t>万元，与2023年度相比，减少192.97万元，下降30.4%，主要原因是</w:t>
      </w:r>
      <w:r>
        <w:rPr>
          <w:rFonts w:hint="default" w:ascii="Times New Roman" w:hAnsi="Times New Roman" w:eastAsia="仿宋" w:cs="Times New Roman"/>
          <w:bCs/>
          <w:color w:val="auto"/>
          <w:kern w:val="2"/>
          <w:sz w:val="32"/>
          <w:szCs w:val="32"/>
          <w:highlight w:val="none"/>
          <w:lang w:val="en-US" w:eastAsia="zh-CN" w:bidi="ar"/>
        </w:rPr>
        <w:t>今年单位进行机构改革，人员进行了拆分，12个人分到事业单位，2个人调走，导致一般公共预算财政拨款人员经费减少</w:t>
      </w:r>
      <w:r>
        <w:rPr>
          <w:rFonts w:hint="default" w:ascii="Times New Roman" w:hAnsi="Times New Roman" w:eastAsia="仿宋" w:cs="Times New Roman"/>
          <w:color w:val="auto"/>
          <w:sz w:val="32"/>
          <w:szCs w:val="32"/>
          <w:highlight w:val="none"/>
          <w:shd w:val="clear" w:color="auto" w:fill="FFFFFF"/>
        </w:rPr>
        <w:t>。人员经费用途主要包括</w:t>
      </w:r>
      <w:r>
        <w:rPr>
          <w:rFonts w:hint="default" w:ascii="Times New Roman" w:hAnsi="Times New Roman" w:eastAsia="仿宋" w:cs="Times New Roman"/>
          <w:b w:val="0"/>
          <w:bCs w:val="0"/>
          <w:color w:val="auto"/>
          <w:sz w:val="32"/>
          <w:szCs w:val="32"/>
          <w:highlight w:val="none"/>
          <w:shd w:val="clear" w:color="auto" w:fill="FFFFFF"/>
        </w:rPr>
        <w:t>基本工资、津贴补贴、奖金、其他社会保障缴费、机关事业单位基本养老保险费、职业年金缴费、职工基本医疗保险缴费、绩效工资、住房公积金及其他工资福利支出等</w:t>
      </w:r>
      <w:r>
        <w:rPr>
          <w:rFonts w:hint="default" w:ascii="Times New Roman" w:hAnsi="Times New Roman" w:eastAsia="仿宋" w:cs="Times New Roman"/>
          <w:b w:val="0"/>
          <w:bCs w:val="0"/>
          <w:color w:val="auto"/>
          <w:sz w:val="32"/>
          <w:szCs w:val="32"/>
          <w:highlight w:val="none"/>
          <w:shd w:val="clear" w:color="auto" w:fill="FFFFFF"/>
          <w:lang w:eastAsia="zh-CN"/>
        </w:rPr>
        <w:t>。</w:t>
      </w:r>
      <w:r>
        <w:rPr>
          <w:rFonts w:hint="default" w:ascii="Times New Roman" w:hAnsi="Times New Roman" w:eastAsia="仿宋" w:cs="Times New Roman"/>
          <w:color w:val="auto"/>
          <w:sz w:val="32"/>
          <w:szCs w:val="32"/>
          <w:highlight w:val="none"/>
          <w:shd w:val="clear" w:color="auto" w:fill="FFFFFF"/>
        </w:rPr>
        <w:t>公用经费</w:t>
      </w:r>
      <w:r>
        <w:rPr>
          <w:rFonts w:hint="default" w:ascii="Times New Roman" w:hAnsi="Times New Roman" w:eastAsia="仿宋" w:cs="Times New Roman"/>
          <w:color w:val="auto"/>
          <w:sz w:val="32"/>
          <w:szCs w:val="32"/>
          <w:highlight w:val="none"/>
        </w:rPr>
        <w:t>71.60</w:t>
      </w:r>
      <w:r>
        <w:rPr>
          <w:rFonts w:hint="default" w:ascii="Times New Roman" w:hAnsi="Times New Roman" w:eastAsia="仿宋" w:cs="Times New Roman"/>
          <w:color w:val="auto"/>
          <w:sz w:val="32"/>
          <w:szCs w:val="32"/>
          <w:highlight w:val="none"/>
          <w:shd w:val="clear" w:color="auto" w:fill="FFFFFF"/>
        </w:rPr>
        <w:t>万元，与2023年度相比，减少19.80万元，下降21.7%，主要原因是</w:t>
      </w:r>
      <w:r>
        <w:rPr>
          <w:rFonts w:hint="default" w:ascii="Times New Roman" w:hAnsi="Times New Roman" w:eastAsia="仿宋" w:cs="Times New Roman"/>
          <w:bCs/>
          <w:color w:val="auto"/>
          <w:kern w:val="2"/>
          <w:sz w:val="32"/>
          <w:szCs w:val="32"/>
          <w:highlight w:val="none"/>
          <w:lang w:val="en-US" w:eastAsia="zh-CN" w:bidi="ar"/>
        </w:rPr>
        <w:t>今年单位进行机构改革，人员进行了拆分，12个人分到事业单位，2个人调走，导致一般公共预算财政拨款公用经费减少</w:t>
      </w:r>
      <w:r>
        <w:rPr>
          <w:rFonts w:hint="default" w:ascii="Times New Roman" w:hAnsi="Times New Roman" w:eastAsia="仿宋" w:cs="Times New Roman"/>
          <w:color w:val="auto"/>
          <w:sz w:val="32"/>
          <w:szCs w:val="32"/>
          <w:highlight w:val="none"/>
          <w:shd w:val="clear" w:color="auto" w:fill="FFFFFF"/>
        </w:rPr>
        <w:t>。</w:t>
      </w:r>
      <w:r>
        <w:rPr>
          <w:rFonts w:hint="default" w:ascii="Times New Roman" w:hAnsi="Times New Roman" w:eastAsia="仿宋" w:cs="Times New Roman"/>
          <w:b w:val="0"/>
          <w:bCs w:val="0"/>
          <w:color w:val="auto"/>
          <w:sz w:val="32"/>
          <w:szCs w:val="32"/>
          <w:highlight w:val="none"/>
          <w:shd w:val="clear" w:color="auto" w:fill="FFFFFF"/>
        </w:rPr>
        <w:t>公用经费用途主要包括办公费、手续费、水电费、邮电费、差旅费、会议费、</w:t>
      </w:r>
      <w:r>
        <w:rPr>
          <w:rFonts w:hint="eastAsia" w:ascii="Times New Roman" w:hAnsi="Times New Roman" w:eastAsia="仿宋" w:cs="Times New Roman"/>
          <w:b w:val="0"/>
          <w:bCs w:val="0"/>
          <w:color w:val="auto"/>
          <w:sz w:val="32"/>
          <w:szCs w:val="32"/>
          <w:highlight w:val="none"/>
          <w:shd w:val="clear" w:color="auto" w:fill="FFFFFF"/>
          <w:lang w:eastAsia="zh-CN"/>
        </w:rPr>
        <w:t>“三公经费”</w:t>
      </w:r>
      <w:r>
        <w:rPr>
          <w:rFonts w:hint="default" w:ascii="Times New Roman" w:hAnsi="Times New Roman" w:eastAsia="仿宋" w:cs="Times New Roman"/>
          <w:b w:val="0"/>
          <w:bCs w:val="0"/>
          <w:color w:val="auto"/>
          <w:sz w:val="32"/>
          <w:szCs w:val="32"/>
          <w:highlight w:val="none"/>
          <w:shd w:val="clear" w:color="auto" w:fill="FFFFFF"/>
        </w:rPr>
        <w:t>、福利费、工会经费及其他交通费用等。</w:t>
      </w:r>
    </w:p>
    <w:p>
      <w:pPr>
        <w:pStyle w:val="9"/>
        <w:keepNext w:val="0"/>
        <w:keepLines w:val="0"/>
        <w:pageBreakBefore w:val="0"/>
        <w:kinsoku/>
        <w:overflowPunct/>
        <w:topLinePunct w:val="0"/>
        <w:autoSpaceDE w:val="0"/>
        <w:autoSpaceDN/>
        <w:bidi w:val="0"/>
        <w:adjustRightInd/>
        <w:spacing w:beforeAutospacing="0" w:afterAutospacing="0" w:line="594" w:lineRule="exact"/>
        <w:ind w:firstLine="643"/>
        <w:rPr>
          <w:rStyle w:val="8"/>
          <w:rFonts w:hint="default" w:ascii="Times New Roman" w:hAnsi="Times New Roman" w:eastAsia="楷体" w:cs="Times New Roman"/>
          <w:b w:val="0"/>
          <w:bCs/>
          <w:color w:val="auto"/>
          <w:sz w:val="32"/>
          <w:szCs w:val="32"/>
          <w:highlight w:val="none"/>
          <w:shd w:val="clear" w:color="auto" w:fill="FFFFFF"/>
          <w:lang w:val="en-US" w:eastAsia="zh-CN" w:bidi="ar-SA"/>
        </w:rPr>
      </w:pPr>
      <w:r>
        <w:rPr>
          <w:rStyle w:val="8"/>
          <w:rFonts w:hint="default" w:ascii="Times New Roman" w:hAnsi="Times New Roman" w:eastAsia="楷体" w:cs="Times New Roman"/>
          <w:b w:val="0"/>
          <w:bCs/>
          <w:color w:val="auto"/>
          <w:sz w:val="32"/>
          <w:szCs w:val="32"/>
          <w:highlight w:val="none"/>
          <w:shd w:val="clear" w:color="auto" w:fill="FFFFFF"/>
          <w:lang w:val="en-US" w:eastAsia="zh-CN" w:bidi="ar-SA"/>
        </w:rPr>
        <w:t>（五）政府性基金预算收支决算情况说明</w:t>
      </w:r>
    </w:p>
    <w:p>
      <w:pPr>
        <w:pStyle w:val="9"/>
        <w:keepNext w:val="0"/>
        <w:keepLines w:val="0"/>
        <w:pageBreakBefore w:val="0"/>
        <w:numPr>
          <w:ilvl w:val="0"/>
          <w:numId w:val="0"/>
        </w:numPr>
        <w:kinsoku/>
        <w:overflowPunct/>
        <w:topLinePunct w:val="0"/>
        <w:autoSpaceDE w:val="0"/>
        <w:autoSpaceDN/>
        <w:bidi w:val="0"/>
        <w:adjustRightInd/>
        <w:spacing w:beforeAutospacing="0" w:afterAutospacing="0" w:line="594" w:lineRule="exact"/>
        <w:ind w:firstLine="640" w:firstLineChars="200"/>
        <w:rPr>
          <w:rFonts w:hint="default" w:ascii="Times New Roman" w:hAnsi="Times New Roman" w:eastAsia="仿宋" w:cs="Times New Roman"/>
          <w:color w:val="auto"/>
          <w:sz w:val="32"/>
          <w:szCs w:val="32"/>
          <w:highlight w:val="none"/>
          <w:shd w:val="clear" w:color="auto" w:fill="FFFFFF"/>
          <w:lang w:val="en-US" w:eastAsia="zh-CN" w:bidi="ar-SA"/>
        </w:rPr>
      </w:pPr>
      <w:r>
        <w:rPr>
          <w:rFonts w:hint="default" w:ascii="Times New Roman" w:hAnsi="Times New Roman" w:eastAsia="仿宋" w:cs="Times New Roman"/>
          <w:color w:val="auto"/>
          <w:sz w:val="32"/>
          <w:szCs w:val="32"/>
          <w:highlight w:val="none"/>
          <w:shd w:val="clear" w:color="auto" w:fill="FFFFFF"/>
          <w:lang w:val="en-US" w:eastAsia="zh-CN" w:bidi="ar-SA"/>
        </w:rPr>
        <w:t>本单位2024年度无政府性基金预算财政拨款收支。</w:t>
      </w:r>
    </w:p>
    <w:p>
      <w:pPr>
        <w:pStyle w:val="9"/>
        <w:keepNext w:val="0"/>
        <w:keepLines w:val="0"/>
        <w:pageBreakBefore w:val="0"/>
        <w:kinsoku/>
        <w:overflowPunct/>
        <w:topLinePunct w:val="0"/>
        <w:autoSpaceDE w:val="0"/>
        <w:autoSpaceDN/>
        <w:bidi w:val="0"/>
        <w:adjustRightInd/>
        <w:spacing w:beforeAutospacing="0" w:afterAutospacing="0" w:line="594" w:lineRule="exact"/>
        <w:ind w:firstLine="643"/>
        <w:rPr>
          <w:rStyle w:val="8"/>
          <w:rFonts w:hint="default" w:ascii="Times New Roman" w:hAnsi="Times New Roman" w:eastAsia="楷体" w:cs="Times New Roman"/>
          <w:b w:val="0"/>
          <w:bCs/>
          <w:color w:val="auto"/>
          <w:sz w:val="32"/>
          <w:szCs w:val="32"/>
          <w:highlight w:val="none"/>
          <w:shd w:val="clear" w:color="auto" w:fill="FFFFFF"/>
          <w:lang w:val="en-US" w:eastAsia="zh-CN" w:bidi="ar-SA"/>
        </w:rPr>
      </w:pPr>
      <w:r>
        <w:rPr>
          <w:rStyle w:val="8"/>
          <w:rFonts w:hint="default" w:ascii="Times New Roman" w:hAnsi="Times New Roman" w:eastAsia="楷体" w:cs="Times New Roman"/>
          <w:b w:val="0"/>
          <w:bCs/>
          <w:color w:val="auto"/>
          <w:sz w:val="32"/>
          <w:szCs w:val="32"/>
          <w:highlight w:val="none"/>
          <w:shd w:val="clear" w:color="auto" w:fill="FFFFFF"/>
          <w:lang w:val="en-US" w:eastAsia="zh-CN" w:bidi="ar-SA"/>
        </w:rPr>
        <w:t>（六）国有资本经营预算财政拨款支出决算情况说明</w:t>
      </w:r>
    </w:p>
    <w:p>
      <w:pPr>
        <w:pStyle w:val="9"/>
        <w:keepNext w:val="0"/>
        <w:keepLines w:val="0"/>
        <w:pageBreakBefore w:val="0"/>
        <w:numPr>
          <w:ilvl w:val="0"/>
          <w:numId w:val="0"/>
        </w:numPr>
        <w:kinsoku/>
        <w:overflowPunct/>
        <w:topLinePunct w:val="0"/>
        <w:autoSpaceDE w:val="0"/>
        <w:autoSpaceDN/>
        <w:bidi w:val="0"/>
        <w:adjustRightInd/>
        <w:spacing w:beforeAutospacing="0" w:afterAutospacing="0" w:line="594"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shd w:val="clear" w:color="auto" w:fill="FFFFFF"/>
          <w:lang w:val="en-US" w:eastAsia="zh-CN" w:bidi="ar-SA"/>
        </w:rPr>
        <w:t>本单位2024年度无国有资本经营预算财政拨款支出。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2" w:firstLineChars="200"/>
        <w:textAlignment w:val="auto"/>
        <w:rPr>
          <w:rStyle w:val="8"/>
          <w:rFonts w:hint="default" w:ascii="Times New Roman" w:hAnsi="Times New Roman" w:eastAsia="黑体" w:cs="Times New Roman"/>
          <w:color w:val="auto"/>
          <w:sz w:val="32"/>
          <w:szCs w:val="32"/>
          <w:highlight w:val="none"/>
          <w:shd w:val="clear" w:color="auto" w:fill="FFFFFF"/>
        </w:rPr>
      </w:pPr>
      <w:r>
        <w:rPr>
          <w:rStyle w:val="8"/>
          <w:rFonts w:hint="default" w:ascii="Times New Roman" w:hAnsi="Times New Roman" w:eastAsia="黑体" w:cs="Times New Roman"/>
          <w:color w:val="auto"/>
          <w:sz w:val="32"/>
          <w:szCs w:val="32"/>
          <w:highlight w:val="none"/>
          <w:shd w:val="clear" w:color="auto" w:fill="FFFFFF"/>
        </w:rPr>
        <w:t>三、</w:t>
      </w:r>
      <w:r>
        <w:rPr>
          <w:rStyle w:val="8"/>
          <w:rFonts w:hint="default" w:ascii="Times New Roman" w:hAnsi="Times New Roman" w:eastAsia="黑体" w:cs="Times New Roman"/>
          <w:color w:val="auto"/>
          <w:sz w:val="32"/>
          <w:szCs w:val="32"/>
          <w:highlight w:val="none"/>
          <w:shd w:val="clear" w:color="auto" w:fill="FFFFFF"/>
          <w:lang w:eastAsia="zh-CN"/>
        </w:rPr>
        <w:t>财政拨款</w:t>
      </w:r>
      <w:r>
        <w:rPr>
          <w:rStyle w:val="8"/>
          <w:rFonts w:hint="default" w:ascii="Times New Roman" w:hAnsi="Times New Roman" w:eastAsia="黑体" w:cs="Times New Roman"/>
          <w:color w:val="auto"/>
          <w:sz w:val="32"/>
          <w:szCs w:val="32"/>
          <w:highlight w:val="none"/>
          <w:shd w:val="clear" w:color="auto" w:fill="FFFFFF"/>
        </w:rPr>
        <w:t>“三公”经费情况说明</w:t>
      </w:r>
    </w:p>
    <w:p>
      <w:pPr>
        <w:pStyle w:val="9"/>
        <w:keepNext w:val="0"/>
        <w:keepLines w:val="0"/>
        <w:pageBreakBefore w:val="0"/>
        <w:kinsoku/>
        <w:overflowPunct/>
        <w:topLinePunct w:val="0"/>
        <w:autoSpaceDE w:val="0"/>
        <w:autoSpaceDN/>
        <w:bidi w:val="0"/>
        <w:adjustRightInd/>
        <w:spacing w:beforeAutospacing="0" w:afterAutospacing="0" w:line="594" w:lineRule="exact"/>
        <w:ind w:firstLine="643"/>
        <w:rPr>
          <w:rFonts w:hint="default" w:ascii="Times New Roman" w:hAnsi="Times New Roman" w:eastAsia="仿宋" w:cs="Times New Roman"/>
          <w:b/>
          <w:bCs/>
          <w:color w:val="auto"/>
          <w:sz w:val="32"/>
          <w:szCs w:val="32"/>
          <w:highlight w:val="none"/>
          <w:shd w:val="clear" w:color="auto" w:fill="FFFFFF"/>
        </w:rPr>
      </w:pPr>
      <w:r>
        <w:rPr>
          <w:rFonts w:hint="default" w:ascii="Times New Roman" w:hAnsi="Times New Roman" w:eastAsia="仿宋" w:cs="Times New Roman"/>
          <w:b/>
          <w:bCs/>
          <w:color w:val="auto"/>
          <w:sz w:val="32"/>
          <w:szCs w:val="32"/>
          <w:highlight w:val="none"/>
          <w:shd w:val="clear" w:color="auto" w:fill="FFFFFF"/>
        </w:rPr>
        <w:t xml:space="preserve"> </w:t>
      </w:r>
      <w:r>
        <w:rPr>
          <w:rStyle w:val="8"/>
          <w:rFonts w:hint="default" w:ascii="Times New Roman" w:hAnsi="Times New Roman" w:eastAsia="楷体" w:cs="Times New Roman"/>
          <w:b w:val="0"/>
          <w:bCs/>
          <w:color w:val="auto"/>
          <w:sz w:val="32"/>
          <w:szCs w:val="32"/>
          <w:highlight w:val="none"/>
          <w:shd w:val="clear" w:color="auto" w:fill="FFFFFF"/>
          <w:lang w:val="en-US" w:eastAsia="zh-CN" w:bidi="ar-SA"/>
        </w:rPr>
        <w:t>（一）“三公”经费支出总体情况说明</w:t>
      </w:r>
    </w:p>
    <w:p>
      <w:pPr>
        <w:pStyle w:val="5"/>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shd w:val="clear" w:color="auto" w:fill="FFFFFF"/>
          <w:lang w:eastAsia="zh-CN"/>
        </w:rPr>
        <w:t>2024年</w:t>
      </w:r>
      <w:r>
        <w:rPr>
          <w:rFonts w:hint="default" w:ascii="Times New Roman" w:hAnsi="Times New Roman" w:eastAsia="仿宋" w:cs="Times New Roman"/>
          <w:color w:val="auto"/>
          <w:sz w:val="32"/>
          <w:szCs w:val="32"/>
          <w:highlight w:val="none"/>
          <w:shd w:val="clear" w:color="auto" w:fill="FFFFFF"/>
        </w:rPr>
        <w:t>度“三公”经费支出共计</w:t>
      </w:r>
      <w:r>
        <w:rPr>
          <w:rFonts w:hint="default" w:ascii="Times New Roman" w:hAnsi="Times New Roman" w:eastAsia="仿宋" w:cs="Times New Roman"/>
          <w:color w:val="auto"/>
          <w:sz w:val="32"/>
          <w:szCs w:val="32"/>
          <w:highlight w:val="none"/>
        </w:rPr>
        <w:t>10.00</w:t>
      </w:r>
      <w:r>
        <w:rPr>
          <w:rFonts w:hint="default" w:ascii="Times New Roman" w:hAnsi="Times New Roman" w:eastAsia="仿宋" w:cs="Times New Roman"/>
          <w:color w:val="auto"/>
          <w:sz w:val="32"/>
          <w:szCs w:val="32"/>
          <w:highlight w:val="none"/>
          <w:shd w:val="clear" w:color="auto" w:fill="FFFFFF"/>
        </w:rPr>
        <w:t>万元，较年初预算数无增减，</w:t>
      </w:r>
      <w:r>
        <w:rPr>
          <w:rFonts w:hint="eastAsia" w:ascii="Times New Roman" w:hAnsi="Times New Roman" w:eastAsia="仿宋" w:cs="Times New Roman"/>
          <w:color w:val="auto"/>
          <w:sz w:val="32"/>
          <w:szCs w:val="32"/>
          <w:highlight w:val="none"/>
          <w:shd w:val="clear" w:color="auto" w:fill="FFFFFF"/>
          <w:lang w:eastAsia="zh-CN"/>
        </w:rPr>
        <w:t>主要原因是</w:t>
      </w:r>
      <w:r>
        <w:rPr>
          <w:rFonts w:hint="default" w:ascii="Times New Roman" w:hAnsi="Times New Roman" w:eastAsia="仿宋" w:cs="Times New Roman"/>
          <w:b w:val="0"/>
          <w:bCs w:val="0"/>
          <w:color w:val="auto"/>
          <w:sz w:val="32"/>
          <w:szCs w:val="32"/>
          <w:highlight w:val="none"/>
          <w:shd w:val="clear" w:color="auto" w:fill="FFFFFF"/>
        </w:rPr>
        <w:t>一是认真贯彻落实中央八项规定精神和厉行节约要求，按照只减不增的要求从严控制</w:t>
      </w:r>
      <w:r>
        <w:rPr>
          <w:rFonts w:hint="eastAsia" w:ascii="Times New Roman" w:hAnsi="Times New Roman" w:eastAsia="仿宋" w:cs="Times New Roman"/>
          <w:b w:val="0"/>
          <w:bCs w:val="0"/>
          <w:color w:val="auto"/>
          <w:sz w:val="32"/>
          <w:szCs w:val="32"/>
          <w:highlight w:val="none"/>
          <w:shd w:val="clear" w:color="auto" w:fill="FFFFFF"/>
          <w:lang w:eastAsia="zh-CN"/>
        </w:rPr>
        <w:t>“三公经费”</w:t>
      </w:r>
      <w:r>
        <w:rPr>
          <w:rFonts w:hint="default" w:ascii="Times New Roman" w:hAnsi="Times New Roman" w:eastAsia="仿宋" w:cs="Times New Roman"/>
          <w:b w:val="0"/>
          <w:bCs w:val="0"/>
          <w:color w:val="auto"/>
          <w:sz w:val="32"/>
          <w:szCs w:val="32"/>
          <w:highlight w:val="none"/>
          <w:shd w:val="clear" w:color="auto" w:fill="FFFFFF"/>
        </w:rPr>
        <w:t>，全年实际支出</w:t>
      </w:r>
      <w:r>
        <w:rPr>
          <w:rFonts w:hint="default" w:ascii="Times New Roman" w:hAnsi="Times New Roman" w:eastAsia="仿宋" w:cs="Times New Roman"/>
          <w:b w:val="0"/>
          <w:bCs w:val="0"/>
          <w:color w:val="auto"/>
          <w:sz w:val="32"/>
          <w:szCs w:val="32"/>
          <w:highlight w:val="none"/>
          <w:shd w:val="clear" w:color="auto" w:fill="FFFFFF"/>
          <w:lang w:val="en-US" w:eastAsia="zh-CN"/>
        </w:rPr>
        <w:t>严格按照</w:t>
      </w:r>
      <w:r>
        <w:rPr>
          <w:rFonts w:hint="default" w:ascii="Times New Roman" w:hAnsi="Times New Roman" w:eastAsia="仿宋" w:cs="Times New Roman"/>
          <w:b w:val="0"/>
          <w:bCs w:val="0"/>
          <w:color w:val="auto"/>
          <w:sz w:val="32"/>
          <w:szCs w:val="32"/>
          <w:highlight w:val="none"/>
          <w:shd w:val="clear" w:color="auto" w:fill="FFFFFF"/>
        </w:rPr>
        <w:t>预算</w:t>
      </w:r>
      <w:r>
        <w:rPr>
          <w:rFonts w:hint="default" w:ascii="Times New Roman" w:hAnsi="Times New Roman" w:eastAsia="仿宋" w:cs="Times New Roman"/>
          <w:b w:val="0"/>
          <w:bCs w:val="0"/>
          <w:color w:val="auto"/>
          <w:sz w:val="32"/>
          <w:szCs w:val="32"/>
          <w:highlight w:val="none"/>
          <w:shd w:val="clear" w:color="auto" w:fill="FFFFFF"/>
          <w:lang w:val="en-US" w:eastAsia="zh-CN"/>
        </w:rPr>
        <w:t>执行</w:t>
      </w:r>
      <w:r>
        <w:rPr>
          <w:rFonts w:hint="default" w:ascii="Times New Roman" w:hAnsi="Times New Roman" w:eastAsia="仿宋" w:cs="Times New Roman"/>
          <w:color w:val="auto"/>
          <w:sz w:val="32"/>
          <w:szCs w:val="32"/>
          <w:highlight w:val="none"/>
          <w:shd w:val="clear" w:color="auto" w:fill="FFFFFF"/>
        </w:rPr>
        <w:t>。较上年支出数减少3.32万元，下降24.9%，主要原因是</w:t>
      </w:r>
      <w:r>
        <w:rPr>
          <w:rFonts w:hint="default" w:ascii="Times New Roman" w:hAnsi="Times New Roman" w:eastAsia="仿宋" w:cs="Times New Roman"/>
          <w:b w:val="0"/>
          <w:bCs w:val="0"/>
          <w:color w:val="auto"/>
          <w:sz w:val="32"/>
          <w:szCs w:val="32"/>
          <w:highlight w:val="none"/>
          <w:shd w:val="clear" w:color="auto" w:fill="FFFFFF"/>
        </w:rPr>
        <w:t>一是实施公车改革</w:t>
      </w:r>
      <w:r>
        <w:rPr>
          <w:rFonts w:hint="default" w:ascii="Times New Roman" w:hAnsi="Times New Roman" w:eastAsia="仿宋" w:cs="Times New Roman"/>
          <w:b w:val="0"/>
          <w:bCs w:val="0"/>
          <w:color w:val="auto"/>
          <w:sz w:val="32"/>
          <w:szCs w:val="32"/>
          <w:highlight w:val="none"/>
          <w:shd w:val="clear" w:color="auto" w:fill="FFFFFF"/>
          <w:lang w:val="en-US" w:eastAsia="zh-CN"/>
        </w:rPr>
        <w:t>后</w:t>
      </w:r>
      <w:r>
        <w:rPr>
          <w:rFonts w:hint="default" w:ascii="Times New Roman" w:hAnsi="Times New Roman" w:eastAsia="仿宋" w:cs="Times New Roman"/>
          <w:b w:val="0"/>
          <w:bCs w:val="0"/>
          <w:color w:val="auto"/>
          <w:sz w:val="32"/>
          <w:szCs w:val="32"/>
          <w:highlight w:val="none"/>
          <w:shd w:val="clear" w:color="auto" w:fill="FFFFFF"/>
        </w:rPr>
        <w:t>，严格落实公车使用规定，严禁公车私用，公车运行维护成本下降</w:t>
      </w:r>
      <w:r>
        <w:rPr>
          <w:rFonts w:hint="default" w:ascii="Times New Roman" w:hAnsi="Times New Roman" w:eastAsia="仿宋" w:cs="Times New Roman"/>
          <w:b w:val="0"/>
          <w:bCs w:val="0"/>
          <w:color w:val="auto"/>
          <w:sz w:val="32"/>
          <w:szCs w:val="32"/>
          <w:highlight w:val="none"/>
          <w:shd w:val="clear" w:color="auto" w:fill="FFFFFF"/>
          <w:lang w:eastAsia="zh-CN"/>
        </w:rPr>
        <w:t>；</w:t>
      </w:r>
      <w:r>
        <w:rPr>
          <w:rFonts w:hint="default" w:ascii="Times New Roman" w:hAnsi="Times New Roman" w:eastAsia="仿宋" w:cs="Times New Roman"/>
          <w:b w:val="0"/>
          <w:bCs w:val="0"/>
          <w:color w:val="auto"/>
          <w:sz w:val="32"/>
          <w:szCs w:val="32"/>
          <w:highlight w:val="none"/>
          <w:shd w:val="clear" w:color="auto" w:fill="FFFFFF"/>
          <w:lang w:val="en-US" w:eastAsia="zh-CN"/>
        </w:rPr>
        <w:t>二</w:t>
      </w:r>
      <w:r>
        <w:rPr>
          <w:rFonts w:hint="default" w:ascii="Times New Roman" w:hAnsi="Times New Roman" w:eastAsia="仿宋" w:cs="Times New Roman"/>
          <w:b w:val="0"/>
          <w:bCs w:val="0"/>
          <w:color w:val="auto"/>
          <w:sz w:val="32"/>
          <w:szCs w:val="32"/>
          <w:highlight w:val="none"/>
          <w:shd w:val="clear" w:color="auto" w:fill="FFFFFF"/>
        </w:rPr>
        <w:t>是强化公务接待支出管理，严格遵守公务接待开支范围和开支标准，严格控制陪餐人数，对应由接待对象承担的费用一律由接待对象自行支付，公务接待费下降。</w:t>
      </w:r>
      <w:r>
        <w:rPr>
          <w:rFonts w:hint="default" w:ascii="Times New Roman" w:hAnsi="Times New Roman" w:eastAsia="仿宋" w:cs="Times New Roman"/>
          <w:b w:val="0"/>
          <w:bCs w:val="0"/>
          <w:color w:val="auto"/>
          <w:sz w:val="32"/>
          <w:szCs w:val="32"/>
          <w:highlight w:val="none"/>
          <w:shd w:val="clear" w:color="auto" w:fill="FFFFFF"/>
          <w:lang w:val="en-US" w:eastAsia="zh-CN"/>
        </w:rPr>
        <w:t>三</w:t>
      </w:r>
      <w:r>
        <w:rPr>
          <w:rFonts w:hint="default" w:ascii="Times New Roman" w:hAnsi="Times New Roman" w:eastAsia="仿宋" w:cs="Times New Roman"/>
          <w:b w:val="0"/>
          <w:bCs w:val="0"/>
          <w:color w:val="auto"/>
          <w:sz w:val="32"/>
          <w:szCs w:val="32"/>
          <w:highlight w:val="none"/>
          <w:shd w:val="clear" w:color="auto" w:fill="FFFFFF"/>
        </w:rPr>
        <w:t>是进一步规范因公出国（境）活动，今年未安排单位人员出国出访。</w:t>
      </w:r>
    </w:p>
    <w:p>
      <w:pPr>
        <w:pStyle w:val="9"/>
        <w:keepNext w:val="0"/>
        <w:keepLines w:val="0"/>
        <w:pageBreakBefore w:val="0"/>
        <w:kinsoku/>
        <w:overflowPunct/>
        <w:topLinePunct w:val="0"/>
        <w:autoSpaceDE w:val="0"/>
        <w:autoSpaceDN/>
        <w:bidi w:val="0"/>
        <w:adjustRightInd/>
        <w:spacing w:beforeAutospacing="0" w:afterAutospacing="0" w:line="594" w:lineRule="exact"/>
        <w:ind w:firstLine="643"/>
        <w:rPr>
          <w:rStyle w:val="8"/>
          <w:rFonts w:hint="default" w:ascii="Times New Roman" w:hAnsi="Times New Roman" w:eastAsia="楷体" w:cs="Times New Roman"/>
          <w:b w:val="0"/>
          <w:bCs/>
          <w:color w:val="auto"/>
          <w:sz w:val="32"/>
          <w:szCs w:val="32"/>
          <w:highlight w:val="none"/>
          <w:shd w:val="clear" w:color="auto" w:fill="FFFFFF"/>
          <w:lang w:val="en-US" w:eastAsia="zh-CN" w:bidi="ar-SA"/>
        </w:rPr>
      </w:pPr>
      <w:r>
        <w:rPr>
          <w:rStyle w:val="8"/>
          <w:rFonts w:hint="default" w:ascii="Times New Roman" w:hAnsi="Times New Roman" w:eastAsia="楷体" w:cs="Times New Roman"/>
          <w:b w:val="0"/>
          <w:bCs/>
          <w:color w:val="auto"/>
          <w:sz w:val="32"/>
          <w:szCs w:val="32"/>
          <w:highlight w:val="none"/>
          <w:shd w:val="clear" w:color="auto" w:fill="FFFFFF"/>
          <w:lang w:val="en-US" w:eastAsia="zh-CN" w:bidi="ar-SA"/>
        </w:rPr>
        <w:t>（二）“三公”经费分项支出情况</w:t>
      </w:r>
    </w:p>
    <w:p>
      <w:pPr>
        <w:pStyle w:val="5"/>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仿宋" w:cs="Times New Roman"/>
          <w:color w:val="auto"/>
          <w:sz w:val="32"/>
          <w:szCs w:val="32"/>
          <w:highlight w:val="none"/>
          <w:shd w:val="clear" w:color="auto" w:fill="FFFFFF"/>
        </w:rPr>
      </w:pPr>
      <w:r>
        <w:rPr>
          <w:rFonts w:hint="default" w:ascii="Times New Roman" w:hAnsi="Times New Roman" w:eastAsia="仿宋" w:cs="Times New Roman"/>
          <w:color w:val="auto"/>
          <w:sz w:val="32"/>
          <w:szCs w:val="32"/>
          <w:highlight w:val="none"/>
          <w:shd w:val="clear" w:color="auto" w:fill="FFFFFF"/>
          <w:lang w:eastAsia="zh-CN"/>
        </w:rPr>
        <w:t>2024年</w:t>
      </w:r>
      <w:r>
        <w:rPr>
          <w:rFonts w:hint="default" w:ascii="Times New Roman" w:hAnsi="Times New Roman" w:eastAsia="仿宋" w:cs="Times New Roman"/>
          <w:color w:val="auto"/>
          <w:sz w:val="32"/>
          <w:szCs w:val="32"/>
          <w:highlight w:val="none"/>
          <w:shd w:val="clear" w:color="auto" w:fill="FFFFFF"/>
        </w:rPr>
        <w:t>度本单位因公出国（境）费用</w:t>
      </w:r>
      <w:r>
        <w:rPr>
          <w:rFonts w:hint="default" w:ascii="Times New Roman" w:hAnsi="Times New Roman" w:eastAsia="仿宋" w:cs="Times New Roman"/>
          <w:color w:val="auto"/>
          <w:sz w:val="32"/>
          <w:szCs w:val="32"/>
          <w:highlight w:val="none"/>
        </w:rPr>
        <w:t>0.00</w:t>
      </w:r>
      <w:r>
        <w:rPr>
          <w:rFonts w:hint="default" w:ascii="Times New Roman" w:hAnsi="Times New Roman" w:eastAsia="仿宋" w:cs="Times New Roman"/>
          <w:color w:val="auto"/>
          <w:sz w:val="32"/>
          <w:szCs w:val="32"/>
          <w:highlight w:val="none"/>
          <w:shd w:val="clear" w:color="auto" w:fill="FFFFFF"/>
        </w:rPr>
        <w:t>万元。费用支出较年初预算数无增减，</w:t>
      </w:r>
      <w:r>
        <w:rPr>
          <w:rFonts w:hint="eastAsia" w:ascii="Times New Roman" w:hAnsi="Times New Roman" w:eastAsia="仿宋" w:cs="Times New Roman"/>
          <w:color w:val="auto"/>
          <w:sz w:val="32"/>
          <w:szCs w:val="32"/>
          <w:highlight w:val="none"/>
          <w:shd w:val="clear" w:color="auto" w:fill="FFFFFF"/>
          <w:lang w:eastAsia="zh-CN"/>
        </w:rPr>
        <w:t>主要原因是</w:t>
      </w:r>
      <w:r>
        <w:rPr>
          <w:rFonts w:hint="default" w:ascii="Times New Roman" w:hAnsi="Times New Roman" w:eastAsia="仿宋" w:cs="Times New Roman"/>
          <w:color w:val="auto"/>
          <w:sz w:val="32"/>
          <w:szCs w:val="32"/>
          <w:highlight w:val="none"/>
          <w:shd w:val="clear" w:color="auto" w:fill="FFFFFF"/>
          <w:lang w:val="en-US" w:eastAsia="zh-CN"/>
        </w:rPr>
        <w:t>2023年和2024年都没有</w:t>
      </w:r>
      <w:r>
        <w:rPr>
          <w:rFonts w:hint="default" w:ascii="Times New Roman" w:hAnsi="Times New Roman" w:eastAsia="仿宋" w:cs="Times New Roman"/>
          <w:color w:val="auto"/>
          <w:sz w:val="32"/>
          <w:szCs w:val="32"/>
          <w:highlight w:val="none"/>
          <w:shd w:val="clear" w:color="auto" w:fill="FFFFFF"/>
        </w:rPr>
        <w:t>因公出国（境）</w:t>
      </w:r>
      <w:r>
        <w:rPr>
          <w:rFonts w:hint="default" w:ascii="Times New Roman" w:hAnsi="Times New Roman" w:eastAsia="仿宋" w:cs="Times New Roman"/>
          <w:color w:val="auto"/>
          <w:sz w:val="32"/>
          <w:szCs w:val="32"/>
          <w:highlight w:val="none"/>
          <w:shd w:val="clear" w:color="auto" w:fill="FFFFFF"/>
          <w:lang w:val="en-US" w:eastAsia="zh-CN"/>
        </w:rPr>
        <w:t>费用开支。</w:t>
      </w:r>
    </w:p>
    <w:p>
      <w:pPr>
        <w:pStyle w:val="5"/>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shd w:val="clear" w:color="auto" w:fill="FFFFFF"/>
        </w:rPr>
        <w:t>公务车购置费</w:t>
      </w:r>
      <w:r>
        <w:rPr>
          <w:rFonts w:hint="default" w:ascii="Times New Roman" w:hAnsi="Times New Roman" w:eastAsia="仿宋" w:cs="Times New Roman"/>
          <w:color w:val="auto"/>
          <w:sz w:val="32"/>
          <w:szCs w:val="32"/>
          <w:highlight w:val="none"/>
        </w:rPr>
        <w:t>0.00</w:t>
      </w:r>
      <w:r>
        <w:rPr>
          <w:rFonts w:hint="default" w:ascii="Times New Roman" w:hAnsi="Times New Roman" w:eastAsia="仿宋" w:cs="Times New Roman"/>
          <w:color w:val="auto"/>
          <w:sz w:val="32"/>
          <w:szCs w:val="32"/>
          <w:highlight w:val="none"/>
          <w:shd w:val="clear" w:color="auto" w:fill="FFFFFF"/>
        </w:rPr>
        <w:t>万元，费用支出较年初预算数无增减，较上年支出数无增减，主要原因是</w:t>
      </w:r>
      <w:r>
        <w:rPr>
          <w:rFonts w:hint="default" w:ascii="Times New Roman" w:hAnsi="Times New Roman" w:eastAsia="仿宋" w:cs="Times New Roman"/>
          <w:color w:val="auto"/>
          <w:sz w:val="32"/>
          <w:szCs w:val="32"/>
          <w:highlight w:val="none"/>
          <w:shd w:val="clear" w:color="auto" w:fill="FFFFFF"/>
          <w:lang w:val="en-US" w:eastAsia="zh-CN"/>
        </w:rPr>
        <w:t>2023年和2024年都没有公务车购置费用开支。</w:t>
      </w:r>
    </w:p>
    <w:p>
      <w:pPr>
        <w:keepNext w:val="0"/>
        <w:keepLines w:val="0"/>
        <w:pageBreakBefore w:val="0"/>
        <w:kinsoku/>
        <w:overflowPunct/>
        <w:topLinePunct w:val="0"/>
        <w:autoSpaceDN/>
        <w:bidi w:val="0"/>
        <w:adjustRightInd/>
        <w:snapToGrid w:val="0"/>
        <w:spacing w:beforeAutospacing="0" w:afterAutospacing="0" w:line="594" w:lineRule="exact"/>
        <w:ind w:firstLine="640" w:firstLineChars="200"/>
        <w:rPr>
          <w:rFonts w:hint="default" w:ascii="Times New Roman" w:hAnsi="Times New Roman" w:eastAsia="仿宋" w:cs="Times New Roman"/>
          <w:color w:val="auto"/>
          <w:sz w:val="32"/>
          <w:szCs w:val="32"/>
          <w:highlight w:val="none"/>
          <w:lang w:val="en-US"/>
        </w:rPr>
      </w:pPr>
      <w:r>
        <w:rPr>
          <w:rFonts w:hint="default" w:ascii="Times New Roman" w:hAnsi="Times New Roman" w:eastAsia="仿宋" w:cs="Times New Roman"/>
          <w:color w:val="auto"/>
          <w:sz w:val="32"/>
          <w:szCs w:val="32"/>
          <w:highlight w:val="none"/>
          <w:shd w:val="clear" w:color="auto" w:fill="FFFFFF"/>
        </w:rPr>
        <w:t>公务车运行维护费</w:t>
      </w:r>
      <w:r>
        <w:rPr>
          <w:rFonts w:hint="default" w:ascii="Times New Roman" w:hAnsi="Times New Roman" w:eastAsia="仿宋" w:cs="Times New Roman"/>
          <w:color w:val="auto"/>
          <w:sz w:val="32"/>
          <w:szCs w:val="32"/>
          <w:highlight w:val="none"/>
        </w:rPr>
        <w:t>7.00</w:t>
      </w:r>
      <w:r>
        <w:rPr>
          <w:rFonts w:hint="default" w:ascii="Times New Roman" w:hAnsi="Times New Roman" w:eastAsia="仿宋" w:cs="Times New Roman"/>
          <w:color w:val="auto"/>
          <w:sz w:val="32"/>
          <w:szCs w:val="32"/>
          <w:highlight w:val="none"/>
          <w:shd w:val="clear" w:color="auto" w:fill="FFFFFF"/>
        </w:rPr>
        <w:t>万元，主要</w:t>
      </w:r>
      <w:r>
        <w:rPr>
          <w:rFonts w:hint="default" w:ascii="Times New Roman" w:hAnsi="Times New Roman" w:eastAsia="仿宋" w:cs="Times New Roman"/>
          <w:b w:val="0"/>
          <w:bCs w:val="0"/>
          <w:color w:val="auto"/>
          <w:sz w:val="32"/>
          <w:szCs w:val="32"/>
          <w:highlight w:val="none"/>
          <w:shd w:val="clear" w:color="auto" w:fill="FFFFFF"/>
        </w:rPr>
        <w:t>用于文件交换、乡内因公出行、业务检查等工作所需车辆的燃料费、维修费、保险费等</w:t>
      </w:r>
      <w:r>
        <w:rPr>
          <w:rFonts w:hint="default" w:ascii="Times New Roman" w:hAnsi="Times New Roman" w:eastAsia="仿宋" w:cs="Times New Roman"/>
          <w:color w:val="auto"/>
          <w:sz w:val="32"/>
          <w:szCs w:val="32"/>
          <w:highlight w:val="none"/>
          <w:shd w:val="clear" w:color="auto" w:fill="FFFFFF"/>
        </w:rPr>
        <w:t>。费用支出较年初预算数无增减，主要原因是</w:t>
      </w:r>
      <w:r>
        <w:rPr>
          <w:rFonts w:hint="default" w:ascii="Times New Roman" w:hAnsi="Times New Roman" w:eastAsia="仿宋" w:cs="Times New Roman"/>
          <w:b w:val="0"/>
          <w:bCs w:val="0"/>
          <w:color w:val="auto"/>
          <w:sz w:val="32"/>
          <w:szCs w:val="32"/>
          <w:highlight w:val="none"/>
          <w:shd w:val="clear" w:color="auto" w:fill="FFFFFF"/>
        </w:rPr>
        <w:t>严格落实公车使用规定，</w:t>
      </w:r>
      <w:r>
        <w:rPr>
          <w:rFonts w:hint="default" w:ascii="Times New Roman" w:hAnsi="Times New Roman" w:eastAsia="仿宋" w:cs="Times New Roman"/>
          <w:b w:val="0"/>
          <w:bCs w:val="0"/>
          <w:color w:val="auto"/>
          <w:sz w:val="32"/>
          <w:szCs w:val="32"/>
          <w:highlight w:val="none"/>
          <w:shd w:val="clear" w:color="auto" w:fill="FFFFFF"/>
          <w:lang w:val="en-US" w:eastAsia="zh-CN"/>
        </w:rPr>
        <w:t>按照年初预算数执行</w:t>
      </w:r>
      <w:r>
        <w:rPr>
          <w:rFonts w:hint="default" w:ascii="Times New Roman" w:hAnsi="Times New Roman" w:eastAsia="仿宋" w:cs="Times New Roman"/>
          <w:color w:val="auto"/>
          <w:sz w:val="32"/>
          <w:szCs w:val="32"/>
          <w:highlight w:val="none"/>
          <w:shd w:val="clear" w:color="auto" w:fill="FFFFFF"/>
        </w:rPr>
        <w:t>。较上年支出数增加0.40万元，增长6.1%，主要原因是</w:t>
      </w:r>
      <w:r>
        <w:rPr>
          <w:rFonts w:hint="default" w:ascii="Times New Roman" w:hAnsi="Times New Roman" w:eastAsia="仿宋" w:cs="Times New Roman"/>
          <w:color w:val="auto"/>
          <w:sz w:val="32"/>
          <w:szCs w:val="32"/>
          <w:highlight w:val="none"/>
          <w:lang w:val="en-US" w:eastAsia="zh-CN"/>
        </w:rPr>
        <w:t>主要今年更换车辆轮胎0.4万元。</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shd w:val="clear" w:color="auto" w:fill="FFFFFF"/>
        </w:rPr>
        <w:t>公务接待费</w:t>
      </w:r>
      <w:r>
        <w:rPr>
          <w:rFonts w:hint="default" w:ascii="Times New Roman" w:hAnsi="Times New Roman" w:eastAsia="仿宋" w:cs="Times New Roman"/>
          <w:color w:val="auto"/>
          <w:sz w:val="32"/>
          <w:szCs w:val="32"/>
          <w:highlight w:val="none"/>
        </w:rPr>
        <w:t>3.00</w:t>
      </w:r>
      <w:r>
        <w:rPr>
          <w:rFonts w:hint="default" w:ascii="Times New Roman" w:hAnsi="Times New Roman" w:eastAsia="仿宋" w:cs="Times New Roman"/>
          <w:color w:val="auto"/>
          <w:sz w:val="32"/>
          <w:szCs w:val="32"/>
          <w:highlight w:val="none"/>
          <w:shd w:val="clear" w:color="auto" w:fill="FFFFFF"/>
        </w:rPr>
        <w:t>万元，主要用于</w:t>
      </w:r>
      <w:r>
        <w:rPr>
          <w:rFonts w:hint="default" w:ascii="Times New Roman" w:hAnsi="Times New Roman" w:eastAsia="仿宋" w:cs="Times New Roman"/>
          <w:b w:val="0"/>
          <w:bCs w:val="0"/>
          <w:color w:val="auto"/>
          <w:sz w:val="32"/>
          <w:szCs w:val="32"/>
          <w:highlight w:val="none"/>
          <w:shd w:val="clear" w:color="auto" w:fill="FFFFFF"/>
        </w:rPr>
        <w:t>接待县内其它部门到我乡学习调研政府相关业务工作，接受相关部门检查指导工作发生的接待支出</w:t>
      </w:r>
      <w:r>
        <w:rPr>
          <w:rFonts w:hint="default" w:ascii="Times New Roman" w:hAnsi="Times New Roman" w:eastAsia="仿宋" w:cs="Times New Roman"/>
          <w:color w:val="auto"/>
          <w:sz w:val="32"/>
          <w:szCs w:val="32"/>
          <w:highlight w:val="none"/>
          <w:shd w:val="clear" w:color="auto" w:fill="FFFFFF"/>
        </w:rPr>
        <w:t>。费用支出较年初预算数无增减，主要原因是</w:t>
      </w:r>
      <w:r>
        <w:rPr>
          <w:rFonts w:hint="default" w:ascii="Times New Roman" w:hAnsi="Times New Roman" w:eastAsia="仿宋" w:cs="Times New Roman"/>
          <w:b w:val="0"/>
          <w:bCs w:val="0"/>
          <w:color w:val="auto"/>
          <w:sz w:val="32"/>
          <w:szCs w:val="32"/>
          <w:highlight w:val="none"/>
          <w:shd w:val="clear" w:color="auto" w:fill="FFFFFF"/>
        </w:rPr>
        <w:t>全年实际支出</w:t>
      </w:r>
      <w:r>
        <w:rPr>
          <w:rFonts w:hint="default" w:ascii="Times New Roman" w:hAnsi="Times New Roman" w:eastAsia="仿宋" w:cs="Times New Roman"/>
          <w:b w:val="0"/>
          <w:bCs w:val="0"/>
          <w:color w:val="auto"/>
          <w:sz w:val="32"/>
          <w:szCs w:val="32"/>
          <w:highlight w:val="none"/>
          <w:shd w:val="clear" w:color="auto" w:fill="FFFFFF"/>
          <w:lang w:val="en-US" w:eastAsia="zh-CN"/>
        </w:rPr>
        <w:t>严格按照</w:t>
      </w:r>
      <w:r>
        <w:rPr>
          <w:rFonts w:hint="default" w:ascii="Times New Roman" w:hAnsi="Times New Roman" w:eastAsia="仿宋" w:cs="Times New Roman"/>
          <w:b w:val="0"/>
          <w:bCs w:val="0"/>
          <w:color w:val="auto"/>
          <w:sz w:val="32"/>
          <w:szCs w:val="32"/>
          <w:highlight w:val="none"/>
          <w:shd w:val="clear" w:color="auto" w:fill="FFFFFF"/>
        </w:rPr>
        <w:t>预算</w:t>
      </w:r>
      <w:r>
        <w:rPr>
          <w:rFonts w:hint="default" w:ascii="Times New Roman" w:hAnsi="Times New Roman" w:eastAsia="仿宋" w:cs="Times New Roman"/>
          <w:b w:val="0"/>
          <w:bCs w:val="0"/>
          <w:color w:val="auto"/>
          <w:sz w:val="32"/>
          <w:szCs w:val="32"/>
          <w:highlight w:val="none"/>
          <w:shd w:val="clear" w:color="auto" w:fill="FFFFFF"/>
          <w:lang w:val="en-US" w:eastAsia="zh-CN"/>
        </w:rPr>
        <w:t>执行</w:t>
      </w:r>
      <w:r>
        <w:rPr>
          <w:rFonts w:hint="default" w:ascii="Times New Roman" w:hAnsi="Times New Roman" w:eastAsia="仿宋" w:cs="Times New Roman"/>
          <w:color w:val="auto"/>
          <w:sz w:val="32"/>
          <w:szCs w:val="32"/>
          <w:highlight w:val="none"/>
          <w:shd w:val="clear" w:color="auto" w:fill="FFFFFF"/>
        </w:rPr>
        <w:t>。较上年支出数减少3.72万元，下降55.4%，主要原因是</w:t>
      </w:r>
      <w:r>
        <w:rPr>
          <w:rFonts w:hint="default" w:ascii="Times New Roman" w:hAnsi="Times New Roman" w:eastAsia="仿宋" w:cs="Times New Roman"/>
          <w:b w:val="0"/>
          <w:bCs w:val="0"/>
          <w:color w:val="auto"/>
          <w:sz w:val="32"/>
          <w:szCs w:val="32"/>
          <w:highlight w:val="none"/>
          <w:shd w:val="clear" w:color="auto" w:fill="FFFFFF"/>
        </w:rPr>
        <w:t>强化公务接待支出管理，严格遵守公务接待开支范围和开支标准，严格控制陪餐人数，对应由接待对象承担的费用一律由接待对象自行支付，公务接待费下降</w:t>
      </w:r>
      <w:r>
        <w:rPr>
          <w:rFonts w:hint="default" w:ascii="Times New Roman" w:hAnsi="Times New Roman" w:eastAsia="仿宋" w:cs="Times New Roman"/>
          <w:b w:val="0"/>
          <w:bCs w:val="0"/>
          <w:color w:val="auto"/>
          <w:sz w:val="32"/>
          <w:szCs w:val="32"/>
          <w:highlight w:val="none"/>
          <w:shd w:val="clear" w:color="auto" w:fill="FFFFFF"/>
          <w:lang w:eastAsia="zh-CN"/>
        </w:rPr>
        <w:t>。</w:t>
      </w:r>
    </w:p>
    <w:p>
      <w:pPr>
        <w:pStyle w:val="9"/>
        <w:keepNext w:val="0"/>
        <w:keepLines w:val="0"/>
        <w:pageBreakBefore w:val="0"/>
        <w:kinsoku/>
        <w:overflowPunct/>
        <w:topLinePunct w:val="0"/>
        <w:autoSpaceDE w:val="0"/>
        <w:autoSpaceDN/>
        <w:bidi w:val="0"/>
        <w:adjustRightInd/>
        <w:spacing w:beforeAutospacing="0" w:afterAutospacing="0" w:line="594" w:lineRule="exact"/>
        <w:ind w:firstLine="643"/>
        <w:rPr>
          <w:rStyle w:val="8"/>
          <w:rFonts w:hint="default" w:ascii="Times New Roman" w:hAnsi="Times New Roman" w:eastAsia="楷体" w:cs="Times New Roman"/>
          <w:b w:val="0"/>
          <w:bCs/>
          <w:color w:val="auto"/>
          <w:sz w:val="32"/>
          <w:szCs w:val="32"/>
          <w:highlight w:val="none"/>
          <w:shd w:val="clear" w:color="auto" w:fill="FFFFFF"/>
          <w:lang w:val="en-US" w:eastAsia="zh-CN" w:bidi="ar-SA"/>
        </w:rPr>
      </w:pPr>
      <w:r>
        <w:rPr>
          <w:rStyle w:val="8"/>
          <w:rFonts w:hint="default" w:ascii="Times New Roman" w:hAnsi="Times New Roman" w:eastAsia="楷体" w:cs="Times New Roman"/>
          <w:b w:val="0"/>
          <w:bCs/>
          <w:color w:val="auto"/>
          <w:sz w:val="32"/>
          <w:szCs w:val="32"/>
          <w:highlight w:val="none"/>
          <w:shd w:val="clear" w:color="auto" w:fill="FFFFFF"/>
          <w:lang w:val="en-US" w:eastAsia="zh-CN" w:bidi="ar-SA"/>
        </w:rPr>
        <w:t>（三）“三公”经费实物量情况</w:t>
      </w:r>
    </w:p>
    <w:p>
      <w:pPr>
        <w:pStyle w:val="5"/>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shd w:val="clear" w:color="auto" w:fill="FFFFFF"/>
          <w:lang w:eastAsia="zh-CN"/>
        </w:rPr>
        <w:t>2024年</w:t>
      </w:r>
      <w:r>
        <w:rPr>
          <w:rFonts w:hint="default" w:ascii="Times New Roman" w:hAnsi="Times New Roman" w:eastAsia="仿宋" w:cs="Times New Roman"/>
          <w:color w:val="auto"/>
          <w:sz w:val="32"/>
          <w:szCs w:val="32"/>
          <w:highlight w:val="none"/>
          <w:shd w:val="clear" w:color="auto" w:fill="FFFFFF"/>
        </w:rPr>
        <w:t>度本单位因公出国（境）共计</w:t>
      </w:r>
      <w:r>
        <w:rPr>
          <w:rFonts w:hint="default" w:ascii="Times New Roman" w:hAnsi="Times New Roman" w:eastAsia="仿宋" w:cs="Times New Roman"/>
          <w:color w:val="auto"/>
          <w:sz w:val="32"/>
          <w:szCs w:val="32"/>
          <w:highlight w:val="none"/>
        </w:rPr>
        <w:t>0</w:t>
      </w:r>
      <w:r>
        <w:rPr>
          <w:rFonts w:hint="default" w:ascii="Times New Roman" w:hAnsi="Times New Roman" w:eastAsia="仿宋" w:cs="Times New Roman"/>
          <w:color w:val="auto"/>
          <w:sz w:val="32"/>
          <w:szCs w:val="32"/>
          <w:highlight w:val="none"/>
          <w:shd w:val="clear" w:color="auto" w:fill="FFFFFF"/>
        </w:rPr>
        <w:t>个团组，</w:t>
      </w:r>
      <w:r>
        <w:rPr>
          <w:rFonts w:hint="default" w:ascii="Times New Roman" w:hAnsi="Times New Roman" w:eastAsia="仿宋" w:cs="Times New Roman"/>
          <w:color w:val="auto"/>
          <w:sz w:val="32"/>
          <w:szCs w:val="32"/>
          <w:highlight w:val="none"/>
        </w:rPr>
        <w:t>0</w:t>
      </w:r>
      <w:r>
        <w:rPr>
          <w:rFonts w:hint="default" w:ascii="Times New Roman" w:hAnsi="Times New Roman" w:eastAsia="仿宋" w:cs="Times New Roman"/>
          <w:color w:val="auto"/>
          <w:sz w:val="32"/>
          <w:szCs w:val="32"/>
          <w:highlight w:val="none"/>
          <w:shd w:val="clear" w:color="auto" w:fill="FFFFFF"/>
        </w:rPr>
        <w:t>人；公务用车购置</w:t>
      </w:r>
      <w:r>
        <w:rPr>
          <w:rFonts w:hint="default" w:ascii="Times New Roman" w:hAnsi="Times New Roman" w:eastAsia="仿宋" w:cs="Times New Roman"/>
          <w:color w:val="auto"/>
          <w:sz w:val="32"/>
          <w:szCs w:val="32"/>
          <w:highlight w:val="none"/>
        </w:rPr>
        <w:t>0</w:t>
      </w:r>
      <w:r>
        <w:rPr>
          <w:rFonts w:hint="default" w:ascii="Times New Roman" w:hAnsi="Times New Roman" w:eastAsia="仿宋" w:cs="Times New Roman"/>
          <w:color w:val="auto"/>
          <w:sz w:val="32"/>
          <w:szCs w:val="32"/>
          <w:highlight w:val="none"/>
          <w:shd w:val="clear" w:color="auto" w:fill="FFFFFF"/>
        </w:rPr>
        <w:t>辆，公务车保有量为</w:t>
      </w:r>
      <w:r>
        <w:rPr>
          <w:rFonts w:hint="default" w:ascii="Times New Roman" w:hAnsi="Times New Roman" w:eastAsia="仿宋" w:cs="Times New Roman"/>
          <w:color w:val="auto"/>
          <w:sz w:val="32"/>
          <w:szCs w:val="32"/>
          <w:highlight w:val="none"/>
        </w:rPr>
        <w:t>2</w:t>
      </w:r>
      <w:r>
        <w:rPr>
          <w:rFonts w:hint="default" w:ascii="Times New Roman" w:hAnsi="Times New Roman" w:eastAsia="仿宋" w:cs="Times New Roman"/>
          <w:color w:val="auto"/>
          <w:sz w:val="32"/>
          <w:szCs w:val="32"/>
          <w:highlight w:val="none"/>
          <w:shd w:val="clear" w:color="auto" w:fill="FFFFFF"/>
        </w:rPr>
        <w:t>辆；国内公务接待</w:t>
      </w:r>
      <w:r>
        <w:rPr>
          <w:rFonts w:hint="default" w:ascii="Times New Roman" w:hAnsi="Times New Roman" w:eastAsia="仿宋" w:cs="Times New Roman"/>
          <w:color w:val="auto"/>
          <w:sz w:val="32"/>
          <w:szCs w:val="32"/>
          <w:highlight w:val="none"/>
        </w:rPr>
        <w:t>26</w:t>
      </w:r>
      <w:r>
        <w:rPr>
          <w:rFonts w:hint="default" w:ascii="Times New Roman" w:hAnsi="Times New Roman" w:eastAsia="仿宋" w:cs="Times New Roman"/>
          <w:color w:val="auto"/>
          <w:sz w:val="32"/>
          <w:szCs w:val="32"/>
          <w:highlight w:val="none"/>
          <w:shd w:val="clear" w:color="auto" w:fill="FFFFFF"/>
        </w:rPr>
        <w:t>批次</w:t>
      </w:r>
      <w:r>
        <w:rPr>
          <w:rFonts w:hint="default" w:ascii="Times New Roman" w:hAnsi="Times New Roman" w:eastAsia="仿宋" w:cs="Times New Roman"/>
          <w:color w:val="auto"/>
          <w:sz w:val="32"/>
          <w:szCs w:val="32"/>
          <w:highlight w:val="none"/>
        </w:rPr>
        <w:t>158</w:t>
      </w:r>
      <w:r>
        <w:rPr>
          <w:rFonts w:hint="default" w:ascii="Times New Roman" w:hAnsi="Times New Roman" w:eastAsia="仿宋" w:cs="Times New Roman"/>
          <w:color w:val="auto"/>
          <w:sz w:val="32"/>
          <w:szCs w:val="32"/>
          <w:highlight w:val="none"/>
          <w:shd w:val="clear" w:color="auto" w:fill="FFFFFF"/>
        </w:rPr>
        <w:t>人，其中：国内外事接待</w:t>
      </w:r>
      <w:r>
        <w:rPr>
          <w:rFonts w:hint="default" w:ascii="Times New Roman" w:hAnsi="Times New Roman" w:eastAsia="仿宋" w:cs="Times New Roman"/>
          <w:color w:val="auto"/>
          <w:sz w:val="32"/>
          <w:szCs w:val="32"/>
          <w:highlight w:val="none"/>
        </w:rPr>
        <w:t>0</w:t>
      </w:r>
      <w:r>
        <w:rPr>
          <w:rFonts w:hint="default" w:ascii="Times New Roman" w:hAnsi="Times New Roman" w:eastAsia="仿宋" w:cs="Times New Roman"/>
          <w:color w:val="auto"/>
          <w:sz w:val="32"/>
          <w:szCs w:val="32"/>
          <w:highlight w:val="none"/>
          <w:shd w:val="clear" w:color="auto" w:fill="FFFFFF"/>
        </w:rPr>
        <w:t>批次，</w:t>
      </w:r>
      <w:r>
        <w:rPr>
          <w:rFonts w:hint="default" w:ascii="Times New Roman" w:hAnsi="Times New Roman" w:eastAsia="仿宋" w:cs="Times New Roman"/>
          <w:color w:val="auto"/>
          <w:sz w:val="32"/>
          <w:szCs w:val="32"/>
          <w:highlight w:val="none"/>
        </w:rPr>
        <w:t>0</w:t>
      </w:r>
      <w:r>
        <w:rPr>
          <w:rFonts w:hint="default" w:ascii="Times New Roman" w:hAnsi="Times New Roman" w:eastAsia="仿宋" w:cs="Times New Roman"/>
          <w:color w:val="auto"/>
          <w:sz w:val="32"/>
          <w:szCs w:val="32"/>
          <w:highlight w:val="none"/>
          <w:shd w:val="clear" w:color="auto" w:fill="FFFFFF"/>
        </w:rPr>
        <w:t>人；国（境）外公务接待</w:t>
      </w:r>
      <w:r>
        <w:rPr>
          <w:rFonts w:hint="default" w:ascii="Times New Roman" w:hAnsi="Times New Roman" w:eastAsia="仿宋" w:cs="Times New Roman"/>
          <w:color w:val="auto"/>
          <w:sz w:val="32"/>
          <w:szCs w:val="32"/>
          <w:highlight w:val="none"/>
        </w:rPr>
        <w:t>0</w:t>
      </w:r>
      <w:r>
        <w:rPr>
          <w:rFonts w:hint="default" w:ascii="Times New Roman" w:hAnsi="Times New Roman" w:eastAsia="仿宋" w:cs="Times New Roman"/>
          <w:color w:val="auto"/>
          <w:sz w:val="32"/>
          <w:szCs w:val="32"/>
          <w:highlight w:val="none"/>
          <w:shd w:val="clear" w:color="auto" w:fill="FFFFFF"/>
        </w:rPr>
        <w:t>批次，</w:t>
      </w:r>
      <w:r>
        <w:rPr>
          <w:rFonts w:hint="default" w:ascii="Times New Roman" w:hAnsi="Times New Roman" w:eastAsia="仿宋" w:cs="Times New Roman"/>
          <w:color w:val="auto"/>
          <w:sz w:val="32"/>
          <w:szCs w:val="32"/>
          <w:highlight w:val="none"/>
        </w:rPr>
        <w:t>0</w:t>
      </w:r>
      <w:r>
        <w:rPr>
          <w:rFonts w:hint="default" w:ascii="Times New Roman" w:hAnsi="Times New Roman" w:eastAsia="仿宋" w:cs="Times New Roman"/>
          <w:color w:val="auto"/>
          <w:sz w:val="32"/>
          <w:szCs w:val="32"/>
          <w:highlight w:val="none"/>
          <w:shd w:val="clear" w:color="auto" w:fill="FFFFFF"/>
        </w:rPr>
        <w:t>人。</w:t>
      </w:r>
      <w:r>
        <w:rPr>
          <w:rFonts w:hint="default" w:ascii="Times New Roman" w:hAnsi="Times New Roman" w:eastAsia="仿宋" w:cs="Times New Roman"/>
          <w:color w:val="auto"/>
          <w:sz w:val="32"/>
          <w:szCs w:val="32"/>
          <w:highlight w:val="none"/>
          <w:shd w:val="clear" w:color="auto" w:fill="FFFFFF"/>
          <w:lang w:eastAsia="zh-CN"/>
        </w:rPr>
        <w:t>2024年</w:t>
      </w:r>
      <w:r>
        <w:rPr>
          <w:rFonts w:hint="default" w:ascii="Times New Roman" w:hAnsi="Times New Roman" w:eastAsia="仿宋" w:cs="Times New Roman"/>
          <w:color w:val="auto"/>
          <w:sz w:val="32"/>
          <w:szCs w:val="32"/>
          <w:highlight w:val="none"/>
          <w:shd w:val="clear" w:color="auto" w:fill="FFFFFF"/>
        </w:rPr>
        <w:t>本单位人均接待费</w:t>
      </w:r>
      <w:r>
        <w:rPr>
          <w:rFonts w:hint="default" w:ascii="Times New Roman" w:hAnsi="Times New Roman" w:eastAsia="仿宋" w:cs="Times New Roman"/>
          <w:color w:val="auto"/>
          <w:sz w:val="32"/>
          <w:szCs w:val="32"/>
          <w:highlight w:val="none"/>
        </w:rPr>
        <w:t>189.87</w:t>
      </w:r>
      <w:r>
        <w:rPr>
          <w:rFonts w:hint="default" w:ascii="Times New Roman" w:hAnsi="Times New Roman" w:eastAsia="仿宋" w:cs="Times New Roman"/>
          <w:color w:val="auto"/>
          <w:sz w:val="32"/>
          <w:szCs w:val="32"/>
          <w:highlight w:val="none"/>
          <w:shd w:val="clear" w:color="auto" w:fill="FFFFFF"/>
        </w:rPr>
        <w:t>元，车均购置费</w:t>
      </w:r>
      <w:r>
        <w:rPr>
          <w:rFonts w:hint="default" w:ascii="Times New Roman" w:hAnsi="Times New Roman" w:eastAsia="仿宋" w:cs="Times New Roman"/>
          <w:color w:val="auto"/>
          <w:sz w:val="32"/>
          <w:szCs w:val="32"/>
          <w:highlight w:val="none"/>
        </w:rPr>
        <w:t>0</w:t>
      </w:r>
      <w:r>
        <w:rPr>
          <w:rFonts w:hint="default" w:ascii="Times New Roman" w:hAnsi="Times New Roman" w:eastAsia="仿宋" w:cs="Times New Roman"/>
          <w:color w:val="auto"/>
          <w:sz w:val="32"/>
          <w:szCs w:val="32"/>
          <w:highlight w:val="none"/>
          <w:shd w:val="clear" w:color="auto" w:fill="FFFFFF"/>
        </w:rPr>
        <w:t>万元，车均维护费</w:t>
      </w:r>
      <w:r>
        <w:rPr>
          <w:rFonts w:hint="default" w:ascii="Times New Roman" w:hAnsi="Times New Roman" w:eastAsia="仿宋" w:cs="Times New Roman"/>
          <w:color w:val="auto"/>
          <w:sz w:val="32"/>
          <w:szCs w:val="32"/>
          <w:highlight w:val="none"/>
        </w:rPr>
        <w:t>3.50</w:t>
      </w:r>
      <w:r>
        <w:rPr>
          <w:rFonts w:hint="default" w:ascii="Times New Roman" w:hAnsi="Times New Roman" w:eastAsia="仿宋" w:cs="Times New Roman"/>
          <w:color w:val="auto"/>
          <w:sz w:val="32"/>
          <w:szCs w:val="32"/>
          <w:highlight w:val="none"/>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2" w:firstLineChars="200"/>
        <w:textAlignment w:val="auto"/>
        <w:rPr>
          <w:rStyle w:val="8"/>
          <w:rFonts w:hint="default" w:ascii="Times New Roman" w:hAnsi="Times New Roman" w:eastAsia="黑体" w:cs="Times New Roman"/>
          <w:color w:val="auto"/>
          <w:sz w:val="32"/>
          <w:szCs w:val="32"/>
          <w:highlight w:val="none"/>
          <w:shd w:val="clear" w:color="auto" w:fill="FFFFFF"/>
        </w:rPr>
      </w:pPr>
      <w:r>
        <w:rPr>
          <w:rStyle w:val="8"/>
          <w:rFonts w:hint="default" w:ascii="Times New Roman" w:hAnsi="Times New Roman" w:eastAsia="黑体" w:cs="Times New Roman"/>
          <w:color w:val="auto"/>
          <w:sz w:val="32"/>
          <w:szCs w:val="32"/>
          <w:highlight w:val="none"/>
          <w:shd w:val="clear" w:color="auto" w:fill="FFFFFF"/>
        </w:rPr>
        <w:t>四、其他需要说明的事项</w:t>
      </w:r>
    </w:p>
    <w:p>
      <w:pPr>
        <w:pStyle w:val="9"/>
        <w:keepNext w:val="0"/>
        <w:keepLines w:val="0"/>
        <w:pageBreakBefore w:val="0"/>
        <w:kinsoku/>
        <w:overflowPunct/>
        <w:topLinePunct w:val="0"/>
        <w:autoSpaceDE w:val="0"/>
        <w:autoSpaceDN/>
        <w:bidi w:val="0"/>
        <w:adjustRightInd/>
        <w:spacing w:beforeAutospacing="0" w:afterAutospacing="0" w:line="594" w:lineRule="exact"/>
        <w:ind w:firstLine="643"/>
        <w:rPr>
          <w:rStyle w:val="8"/>
          <w:rFonts w:hint="default" w:ascii="Times New Roman" w:hAnsi="Times New Roman" w:eastAsia="楷体" w:cs="Times New Roman"/>
          <w:b w:val="0"/>
          <w:bCs/>
          <w:color w:val="auto"/>
          <w:sz w:val="32"/>
          <w:szCs w:val="32"/>
          <w:highlight w:val="none"/>
          <w:shd w:val="clear" w:color="auto" w:fill="FFFFFF"/>
          <w:lang w:val="en-US" w:eastAsia="zh-CN" w:bidi="ar-SA"/>
        </w:rPr>
      </w:pPr>
      <w:r>
        <w:rPr>
          <w:rStyle w:val="8"/>
          <w:rFonts w:hint="default" w:ascii="Times New Roman" w:hAnsi="Times New Roman" w:eastAsia="楷体" w:cs="Times New Roman"/>
          <w:b w:val="0"/>
          <w:bCs/>
          <w:color w:val="auto"/>
          <w:sz w:val="32"/>
          <w:szCs w:val="32"/>
          <w:highlight w:val="none"/>
          <w:shd w:val="clear" w:color="auto" w:fill="FFFFFF"/>
          <w:lang w:val="en-US" w:eastAsia="zh-CN" w:bidi="ar-SA"/>
        </w:rPr>
        <w:t xml:space="preserve"> （一）财政拨款会议费和培训费情况说明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shd w:val="clear" w:color="auto" w:fill="FFFFFF"/>
        </w:rPr>
        <w:t>本年度会议费支出</w:t>
      </w:r>
      <w:r>
        <w:rPr>
          <w:rFonts w:hint="default" w:ascii="Times New Roman" w:hAnsi="Times New Roman" w:eastAsia="仿宋" w:cs="Times New Roman"/>
          <w:color w:val="auto"/>
          <w:sz w:val="32"/>
          <w:szCs w:val="32"/>
          <w:highlight w:val="none"/>
        </w:rPr>
        <w:t>6.60</w:t>
      </w:r>
      <w:r>
        <w:rPr>
          <w:rFonts w:hint="default" w:ascii="Times New Roman" w:hAnsi="Times New Roman" w:eastAsia="仿宋" w:cs="Times New Roman"/>
          <w:color w:val="auto"/>
          <w:sz w:val="32"/>
          <w:szCs w:val="32"/>
          <w:highlight w:val="none"/>
          <w:shd w:val="clear" w:color="auto" w:fill="FFFFFF"/>
        </w:rPr>
        <w:t>万元，与2023年度相比，增加5.11万元，增长343.0%，主要原因是</w:t>
      </w:r>
      <w:r>
        <w:rPr>
          <w:rFonts w:hint="default" w:ascii="Times New Roman" w:hAnsi="Times New Roman" w:eastAsia="仿宋" w:cs="Times New Roman"/>
          <w:color w:val="auto"/>
          <w:sz w:val="32"/>
          <w:szCs w:val="32"/>
          <w:highlight w:val="none"/>
          <w:lang w:val="en-US" w:eastAsia="zh-CN"/>
        </w:rPr>
        <w:t>今年因为机构变更，以及新增了部分项目导致会议增加，会议费增加。</w:t>
      </w:r>
      <w:r>
        <w:rPr>
          <w:rFonts w:hint="default" w:ascii="Times New Roman" w:hAnsi="Times New Roman" w:eastAsia="仿宋" w:cs="Times New Roman"/>
          <w:color w:val="auto"/>
          <w:sz w:val="32"/>
          <w:szCs w:val="32"/>
          <w:highlight w:val="none"/>
          <w:shd w:val="clear" w:color="auto" w:fill="FFFFFF"/>
        </w:rPr>
        <w:t>本年度培训费支出</w:t>
      </w:r>
      <w:r>
        <w:rPr>
          <w:rFonts w:hint="default" w:ascii="Times New Roman" w:hAnsi="Times New Roman" w:eastAsia="仿宋" w:cs="Times New Roman"/>
          <w:color w:val="auto"/>
          <w:sz w:val="32"/>
          <w:szCs w:val="32"/>
          <w:highlight w:val="none"/>
        </w:rPr>
        <w:t>1.00</w:t>
      </w:r>
      <w:r>
        <w:rPr>
          <w:rFonts w:hint="default" w:ascii="Times New Roman" w:hAnsi="Times New Roman" w:eastAsia="仿宋" w:cs="Times New Roman"/>
          <w:color w:val="auto"/>
          <w:sz w:val="32"/>
          <w:szCs w:val="32"/>
          <w:highlight w:val="none"/>
          <w:shd w:val="clear" w:color="auto" w:fill="FFFFFF"/>
        </w:rPr>
        <w:t>万元，与2023年度相比，减少0.33万元，下降24.8%，主要原因是</w:t>
      </w:r>
      <w:r>
        <w:rPr>
          <w:rFonts w:hint="default" w:ascii="Times New Roman" w:hAnsi="Times New Roman" w:eastAsia="仿宋" w:cs="Times New Roman"/>
          <w:color w:val="auto"/>
          <w:sz w:val="32"/>
          <w:szCs w:val="32"/>
          <w:highlight w:val="none"/>
          <w:lang w:val="en-US" w:eastAsia="zh-CN"/>
        </w:rPr>
        <w:t>严格按照规定进行培训费用开支，减除了部分不必要开支。</w:t>
      </w:r>
    </w:p>
    <w:p>
      <w:pPr>
        <w:pStyle w:val="9"/>
        <w:keepNext w:val="0"/>
        <w:keepLines w:val="0"/>
        <w:pageBreakBefore w:val="0"/>
        <w:kinsoku/>
        <w:overflowPunct/>
        <w:topLinePunct w:val="0"/>
        <w:autoSpaceDE w:val="0"/>
        <w:autoSpaceDN/>
        <w:bidi w:val="0"/>
        <w:adjustRightInd/>
        <w:spacing w:beforeAutospacing="0" w:afterAutospacing="0" w:line="594" w:lineRule="exact"/>
        <w:ind w:firstLine="643"/>
        <w:rPr>
          <w:rStyle w:val="8"/>
          <w:rFonts w:hint="default" w:ascii="Times New Roman" w:hAnsi="Times New Roman" w:eastAsia="楷体" w:cs="Times New Roman"/>
          <w:b w:val="0"/>
          <w:bCs/>
          <w:color w:val="auto"/>
          <w:sz w:val="32"/>
          <w:szCs w:val="32"/>
          <w:highlight w:val="none"/>
          <w:shd w:val="clear" w:color="auto" w:fill="FFFFFF"/>
          <w:lang w:val="en-US" w:eastAsia="zh-CN" w:bidi="ar-SA"/>
        </w:rPr>
      </w:pPr>
      <w:r>
        <w:rPr>
          <w:rStyle w:val="8"/>
          <w:rFonts w:hint="default" w:ascii="Times New Roman" w:hAnsi="Times New Roman" w:eastAsia="楷体" w:cs="Times New Roman"/>
          <w:b w:val="0"/>
          <w:bCs/>
          <w:color w:val="auto"/>
          <w:sz w:val="32"/>
          <w:szCs w:val="32"/>
          <w:highlight w:val="none"/>
          <w:shd w:val="clear" w:color="auto" w:fill="FFFFFF"/>
          <w:lang w:val="en-US" w:eastAsia="zh-CN" w:bidi="ar-SA"/>
        </w:rPr>
        <w:t>（二）机关运行经费情况说明</w:t>
      </w:r>
    </w:p>
    <w:p>
      <w:pPr>
        <w:pStyle w:val="5"/>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shd w:val="clear" w:color="auto" w:fill="FFFFFF"/>
          <w:lang w:eastAsia="zh-CN"/>
        </w:rPr>
        <w:t>2024年</w:t>
      </w:r>
      <w:r>
        <w:rPr>
          <w:rFonts w:hint="default" w:ascii="Times New Roman" w:hAnsi="Times New Roman" w:eastAsia="仿宋" w:cs="Times New Roman"/>
          <w:color w:val="auto"/>
          <w:sz w:val="32"/>
          <w:szCs w:val="32"/>
          <w:highlight w:val="none"/>
          <w:shd w:val="clear" w:color="auto" w:fill="FFFFFF"/>
        </w:rPr>
        <w:t>度本单位机关运行经费支出</w:t>
      </w:r>
      <w:r>
        <w:rPr>
          <w:rFonts w:hint="default" w:ascii="Times New Roman" w:hAnsi="Times New Roman" w:eastAsia="仿宋" w:cs="Times New Roman"/>
          <w:color w:val="auto"/>
          <w:sz w:val="32"/>
          <w:szCs w:val="32"/>
          <w:highlight w:val="none"/>
        </w:rPr>
        <w:t>71.60</w:t>
      </w:r>
      <w:r>
        <w:rPr>
          <w:rFonts w:hint="default" w:ascii="Times New Roman" w:hAnsi="Times New Roman" w:eastAsia="仿宋" w:cs="Times New Roman"/>
          <w:color w:val="auto"/>
          <w:sz w:val="32"/>
          <w:szCs w:val="32"/>
          <w:highlight w:val="none"/>
          <w:shd w:val="clear" w:color="auto" w:fill="FFFFFF"/>
        </w:rPr>
        <w:t>万元，机关运行经费主要用于开支</w:t>
      </w:r>
      <w:r>
        <w:rPr>
          <w:rFonts w:hint="default" w:ascii="Times New Roman" w:hAnsi="Times New Roman" w:eastAsia="仿宋" w:cs="Times New Roman"/>
          <w:b w:val="0"/>
          <w:bCs w:val="0"/>
          <w:color w:val="auto"/>
          <w:sz w:val="32"/>
          <w:szCs w:val="32"/>
          <w:highlight w:val="none"/>
          <w:shd w:val="clear" w:color="auto" w:fill="FFFFFF"/>
        </w:rPr>
        <w:t>办公费、公务车运行维护费、信息网络购置更新费等方面</w:t>
      </w:r>
      <w:r>
        <w:rPr>
          <w:rFonts w:hint="default" w:ascii="Times New Roman" w:hAnsi="Times New Roman" w:eastAsia="仿宋" w:cs="Times New Roman"/>
          <w:b w:val="0"/>
          <w:bCs w:val="0"/>
          <w:color w:val="auto"/>
          <w:sz w:val="32"/>
          <w:szCs w:val="32"/>
          <w:highlight w:val="none"/>
          <w:shd w:val="clear" w:color="auto" w:fill="FFFFFF"/>
          <w:lang w:eastAsia="zh-CN"/>
        </w:rPr>
        <w:t>。</w:t>
      </w:r>
      <w:r>
        <w:rPr>
          <w:rFonts w:hint="default" w:ascii="Times New Roman" w:hAnsi="Times New Roman" w:eastAsia="仿宋" w:cs="Times New Roman"/>
          <w:color w:val="auto"/>
          <w:sz w:val="32"/>
          <w:szCs w:val="32"/>
          <w:highlight w:val="none"/>
          <w:shd w:val="clear" w:color="auto" w:fill="FFFFFF"/>
        </w:rPr>
        <w:t>机关运行经费较上年支出数增加16.10万元，增长29.0%，主要原因是</w:t>
      </w:r>
      <w:r>
        <w:rPr>
          <w:rFonts w:hint="default" w:ascii="Times New Roman" w:hAnsi="Times New Roman" w:eastAsia="仿宋" w:cs="Times New Roman"/>
          <w:color w:val="auto"/>
          <w:sz w:val="32"/>
          <w:szCs w:val="32"/>
          <w:highlight w:val="none"/>
          <w:lang w:val="en-US" w:eastAsia="zh-CN"/>
        </w:rPr>
        <w:t>今年因为机构变更，以及新增了部分项目导致会议增加，信息网络费用等增加，导致机关运行经费支出数增加。</w:t>
      </w:r>
    </w:p>
    <w:p>
      <w:pPr>
        <w:pStyle w:val="9"/>
        <w:keepNext w:val="0"/>
        <w:keepLines w:val="0"/>
        <w:pageBreakBefore w:val="0"/>
        <w:kinsoku/>
        <w:overflowPunct/>
        <w:topLinePunct w:val="0"/>
        <w:autoSpaceDE w:val="0"/>
        <w:autoSpaceDN/>
        <w:bidi w:val="0"/>
        <w:adjustRightInd/>
        <w:spacing w:beforeAutospacing="0" w:afterAutospacing="0" w:line="594" w:lineRule="exact"/>
        <w:ind w:firstLine="643"/>
        <w:rPr>
          <w:rStyle w:val="8"/>
          <w:rFonts w:hint="default" w:ascii="Times New Roman" w:hAnsi="Times New Roman" w:eastAsia="楷体" w:cs="Times New Roman"/>
          <w:b w:val="0"/>
          <w:bCs/>
          <w:color w:val="auto"/>
          <w:sz w:val="32"/>
          <w:szCs w:val="32"/>
          <w:highlight w:val="none"/>
          <w:shd w:val="clear" w:color="auto" w:fill="FFFFFF"/>
          <w:lang w:val="en-US" w:eastAsia="zh-CN" w:bidi="ar-SA"/>
        </w:rPr>
      </w:pPr>
      <w:r>
        <w:rPr>
          <w:rStyle w:val="8"/>
          <w:rFonts w:hint="default" w:ascii="Times New Roman" w:hAnsi="Times New Roman" w:eastAsia="楷体" w:cs="Times New Roman"/>
          <w:b w:val="0"/>
          <w:bCs/>
          <w:color w:val="auto"/>
          <w:sz w:val="32"/>
          <w:szCs w:val="32"/>
          <w:highlight w:val="none"/>
          <w:shd w:val="clear" w:color="auto" w:fill="FFFFFF"/>
          <w:lang w:val="en-US" w:eastAsia="zh-CN" w:bidi="ar-SA"/>
        </w:rPr>
        <w:t>（三）国有资产占用情况说明</w:t>
      </w:r>
    </w:p>
    <w:p>
      <w:pPr>
        <w:pStyle w:val="5"/>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shd w:val="clear" w:color="auto" w:fill="FFFFFF"/>
        </w:rPr>
        <w:t>截至</w:t>
      </w:r>
      <w:r>
        <w:rPr>
          <w:rFonts w:hint="default" w:ascii="Times New Roman" w:hAnsi="Times New Roman" w:eastAsia="仿宋" w:cs="Times New Roman"/>
          <w:color w:val="auto"/>
          <w:sz w:val="32"/>
          <w:szCs w:val="32"/>
          <w:highlight w:val="none"/>
          <w:shd w:val="clear" w:color="auto" w:fill="FFFFFF"/>
          <w:lang w:eastAsia="zh-CN"/>
        </w:rPr>
        <w:t>2024年</w:t>
      </w:r>
      <w:r>
        <w:rPr>
          <w:rFonts w:hint="default" w:ascii="Times New Roman" w:hAnsi="Times New Roman" w:eastAsia="仿宋" w:cs="Times New Roman"/>
          <w:color w:val="auto"/>
          <w:sz w:val="32"/>
          <w:szCs w:val="32"/>
          <w:highlight w:val="none"/>
          <w:shd w:val="clear" w:color="auto" w:fill="FFFFFF"/>
        </w:rPr>
        <w:t>12月31日，本单位共有车辆</w:t>
      </w:r>
      <w:r>
        <w:rPr>
          <w:rFonts w:hint="default" w:ascii="Times New Roman" w:hAnsi="Times New Roman" w:eastAsia="仿宋" w:cs="Times New Roman"/>
          <w:color w:val="auto"/>
          <w:sz w:val="32"/>
          <w:szCs w:val="32"/>
          <w:highlight w:val="none"/>
        </w:rPr>
        <w:t>2</w:t>
      </w:r>
      <w:r>
        <w:rPr>
          <w:rFonts w:hint="default" w:ascii="Times New Roman" w:hAnsi="Times New Roman" w:eastAsia="仿宋" w:cs="Times New Roman"/>
          <w:color w:val="auto"/>
          <w:sz w:val="32"/>
          <w:szCs w:val="32"/>
          <w:highlight w:val="none"/>
          <w:shd w:val="clear" w:color="auto" w:fill="FFFFFF"/>
        </w:rPr>
        <w:t>辆，其中，副部（省）级及以上领导用车</w:t>
      </w:r>
      <w:r>
        <w:rPr>
          <w:rFonts w:hint="default" w:ascii="Times New Roman" w:hAnsi="Times New Roman" w:eastAsia="仿宋" w:cs="Times New Roman"/>
          <w:color w:val="auto"/>
          <w:sz w:val="32"/>
          <w:szCs w:val="32"/>
          <w:highlight w:val="none"/>
        </w:rPr>
        <w:t>0</w:t>
      </w:r>
      <w:r>
        <w:rPr>
          <w:rFonts w:hint="default" w:ascii="Times New Roman" w:hAnsi="Times New Roman" w:eastAsia="仿宋" w:cs="Times New Roman"/>
          <w:color w:val="auto"/>
          <w:sz w:val="32"/>
          <w:szCs w:val="32"/>
          <w:highlight w:val="none"/>
          <w:shd w:val="clear" w:color="auto" w:fill="FFFFFF"/>
        </w:rPr>
        <w:t>辆、主要负责人用车</w:t>
      </w:r>
      <w:r>
        <w:rPr>
          <w:rFonts w:hint="default" w:ascii="Times New Roman" w:hAnsi="Times New Roman" w:eastAsia="仿宋" w:cs="Times New Roman"/>
          <w:color w:val="auto"/>
          <w:sz w:val="32"/>
          <w:szCs w:val="32"/>
          <w:highlight w:val="none"/>
        </w:rPr>
        <w:t>0</w:t>
      </w:r>
      <w:r>
        <w:rPr>
          <w:rFonts w:hint="default" w:ascii="Times New Roman" w:hAnsi="Times New Roman" w:eastAsia="仿宋" w:cs="Times New Roman"/>
          <w:color w:val="auto"/>
          <w:sz w:val="32"/>
          <w:szCs w:val="32"/>
          <w:highlight w:val="none"/>
          <w:shd w:val="clear" w:color="auto" w:fill="FFFFFF"/>
        </w:rPr>
        <w:t>辆、机要通信用车</w:t>
      </w:r>
      <w:r>
        <w:rPr>
          <w:rFonts w:hint="default" w:ascii="Times New Roman" w:hAnsi="Times New Roman" w:eastAsia="仿宋" w:cs="Times New Roman"/>
          <w:color w:val="auto"/>
          <w:sz w:val="32"/>
          <w:szCs w:val="32"/>
          <w:highlight w:val="none"/>
        </w:rPr>
        <w:t>0</w:t>
      </w:r>
      <w:r>
        <w:rPr>
          <w:rFonts w:hint="default" w:ascii="Times New Roman" w:hAnsi="Times New Roman" w:eastAsia="仿宋" w:cs="Times New Roman"/>
          <w:color w:val="auto"/>
          <w:sz w:val="32"/>
          <w:szCs w:val="32"/>
          <w:highlight w:val="none"/>
          <w:shd w:val="clear" w:color="auto" w:fill="FFFFFF"/>
        </w:rPr>
        <w:t>辆、应急保障用车</w:t>
      </w:r>
      <w:r>
        <w:rPr>
          <w:rFonts w:hint="default" w:ascii="Times New Roman" w:hAnsi="Times New Roman" w:eastAsia="仿宋" w:cs="Times New Roman"/>
          <w:color w:val="auto"/>
          <w:sz w:val="32"/>
          <w:szCs w:val="32"/>
          <w:highlight w:val="none"/>
        </w:rPr>
        <w:t>2</w:t>
      </w:r>
      <w:r>
        <w:rPr>
          <w:rFonts w:hint="default" w:ascii="Times New Roman" w:hAnsi="Times New Roman" w:eastAsia="仿宋" w:cs="Times New Roman"/>
          <w:color w:val="auto"/>
          <w:sz w:val="32"/>
          <w:szCs w:val="32"/>
          <w:highlight w:val="none"/>
          <w:shd w:val="clear" w:color="auto" w:fill="FFFFFF"/>
        </w:rPr>
        <w:t>辆、执法执勤用车</w:t>
      </w:r>
      <w:r>
        <w:rPr>
          <w:rFonts w:hint="default" w:ascii="Times New Roman" w:hAnsi="Times New Roman" w:eastAsia="仿宋" w:cs="Times New Roman"/>
          <w:color w:val="auto"/>
          <w:sz w:val="32"/>
          <w:szCs w:val="32"/>
          <w:highlight w:val="none"/>
        </w:rPr>
        <w:t>0</w:t>
      </w:r>
      <w:r>
        <w:rPr>
          <w:rFonts w:hint="default" w:ascii="Times New Roman" w:hAnsi="Times New Roman" w:eastAsia="仿宋" w:cs="Times New Roman"/>
          <w:color w:val="auto"/>
          <w:sz w:val="32"/>
          <w:szCs w:val="32"/>
          <w:highlight w:val="none"/>
          <w:shd w:val="clear" w:color="auto" w:fill="FFFFFF"/>
        </w:rPr>
        <w:t>辆，特种专业技术用车</w:t>
      </w:r>
      <w:r>
        <w:rPr>
          <w:rFonts w:hint="default" w:ascii="Times New Roman" w:hAnsi="Times New Roman" w:eastAsia="仿宋" w:cs="Times New Roman"/>
          <w:color w:val="auto"/>
          <w:sz w:val="32"/>
          <w:szCs w:val="32"/>
          <w:highlight w:val="none"/>
        </w:rPr>
        <w:t>0</w:t>
      </w:r>
      <w:r>
        <w:rPr>
          <w:rFonts w:hint="default" w:ascii="Times New Roman" w:hAnsi="Times New Roman" w:eastAsia="仿宋" w:cs="Times New Roman"/>
          <w:color w:val="auto"/>
          <w:sz w:val="32"/>
          <w:szCs w:val="32"/>
          <w:highlight w:val="none"/>
          <w:shd w:val="clear" w:color="auto" w:fill="FFFFFF"/>
        </w:rPr>
        <w:t>辆，离退休干部用车</w:t>
      </w:r>
      <w:r>
        <w:rPr>
          <w:rFonts w:hint="default" w:ascii="Times New Roman" w:hAnsi="Times New Roman" w:eastAsia="仿宋" w:cs="Times New Roman"/>
          <w:color w:val="auto"/>
          <w:sz w:val="32"/>
          <w:szCs w:val="32"/>
          <w:highlight w:val="none"/>
        </w:rPr>
        <w:t>0</w:t>
      </w:r>
      <w:r>
        <w:rPr>
          <w:rFonts w:hint="default" w:ascii="Times New Roman" w:hAnsi="Times New Roman" w:eastAsia="仿宋" w:cs="Times New Roman"/>
          <w:color w:val="auto"/>
          <w:sz w:val="32"/>
          <w:szCs w:val="32"/>
          <w:highlight w:val="none"/>
          <w:shd w:val="clear" w:color="auto" w:fill="FFFFFF"/>
        </w:rPr>
        <w:t>辆。单价100万元（含）以上专用设备</w:t>
      </w:r>
      <w:r>
        <w:rPr>
          <w:rFonts w:hint="default" w:ascii="Times New Roman" w:hAnsi="Times New Roman" w:eastAsia="仿宋" w:cs="Times New Roman"/>
          <w:color w:val="auto"/>
          <w:sz w:val="32"/>
          <w:szCs w:val="32"/>
          <w:highlight w:val="none"/>
        </w:rPr>
        <w:t>0</w:t>
      </w:r>
      <w:r>
        <w:rPr>
          <w:rFonts w:hint="default" w:ascii="Times New Roman" w:hAnsi="Times New Roman" w:eastAsia="仿宋" w:cs="Times New Roman"/>
          <w:color w:val="auto"/>
          <w:sz w:val="32"/>
          <w:szCs w:val="32"/>
          <w:highlight w:val="none"/>
          <w:shd w:val="clear" w:color="auto" w:fill="FFFFFF"/>
        </w:rPr>
        <w:t>台（套）。</w:t>
      </w:r>
    </w:p>
    <w:p>
      <w:pPr>
        <w:pStyle w:val="9"/>
        <w:keepNext w:val="0"/>
        <w:keepLines w:val="0"/>
        <w:pageBreakBefore w:val="0"/>
        <w:kinsoku/>
        <w:overflowPunct/>
        <w:topLinePunct w:val="0"/>
        <w:autoSpaceDE w:val="0"/>
        <w:autoSpaceDN/>
        <w:bidi w:val="0"/>
        <w:adjustRightInd/>
        <w:spacing w:beforeAutospacing="0" w:afterAutospacing="0" w:line="594" w:lineRule="exact"/>
        <w:ind w:firstLine="643"/>
        <w:rPr>
          <w:rStyle w:val="8"/>
          <w:rFonts w:hint="default" w:ascii="Times New Roman" w:hAnsi="Times New Roman" w:eastAsia="楷体" w:cs="Times New Roman"/>
          <w:b w:val="0"/>
          <w:bCs/>
          <w:color w:val="auto"/>
          <w:sz w:val="32"/>
          <w:szCs w:val="32"/>
          <w:highlight w:val="none"/>
          <w:shd w:val="clear" w:color="auto" w:fill="FFFFFF"/>
          <w:lang w:val="en-US" w:eastAsia="zh-CN" w:bidi="ar-SA"/>
        </w:rPr>
      </w:pPr>
      <w:r>
        <w:rPr>
          <w:rStyle w:val="8"/>
          <w:rFonts w:hint="default" w:ascii="Times New Roman" w:hAnsi="Times New Roman" w:eastAsia="楷体" w:cs="Times New Roman"/>
          <w:b w:val="0"/>
          <w:bCs/>
          <w:color w:val="auto"/>
          <w:sz w:val="32"/>
          <w:szCs w:val="32"/>
          <w:highlight w:val="none"/>
          <w:shd w:val="clear" w:color="auto" w:fill="FFFFFF"/>
          <w:lang w:val="en-US" w:eastAsia="zh-CN" w:bidi="ar-SA"/>
        </w:rPr>
        <w:t>（四）政府采购支出情况说明</w:t>
      </w:r>
    </w:p>
    <w:p>
      <w:pPr>
        <w:pStyle w:val="5"/>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仿宋" w:cs="Times New Roman"/>
          <w:color w:val="auto"/>
          <w:sz w:val="32"/>
          <w:szCs w:val="32"/>
          <w:highlight w:val="none"/>
          <w:shd w:val="clear" w:color="auto" w:fill="FFFFFF"/>
        </w:rPr>
      </w:pPr>
      <w:r>
        <w:rPr>
          <w:rFonts w:hint="default" w:ascii="Times New Roman" w:hAnsi="Times New Roman" w:eastAsia="仿宋" w:cs="Times New Roman"/>
          <w:color w:val="auto"/>
          <w:sz w:val="32"/>
          <w:szCs w:val="32"/>
          <w:highlight w:val="none"/>
          <w:shd w:val="clear" w:color="auto" w:fill="FFFFFF"/>
          <w:lang w:eastAsia="zh-CN"/>
        </w:rPr>
        <w:t>2024年</w:t>
      </w:r>
      <w:r>
        <w:rPr>
          <w:rFonts w:hint="default" w:ascii="Times New Roman" w:hAnsi="Times New Roman" w:eastAsia="仿宋" w:cs="Times New Roman"/>
          <w:color w:val="auto"/>
          <w:sz w:val="32"/>
          <w:szCs w:val="32"/>
          <w:highlight w:val="none"/>
          <w:shd w:val="clear" w:color="auto" w:fill="FFFFFF"/>
        </w:rPr>
        <w:t>度本单位政府采购支出总额</w:t>
      </w:r>
      <w:r>
        <w:rPr>
          <w:rFonts w:hint="default" w:ascii="Times New Roman" w:hAnsi="Times New Roman" w:eastAsia="仿宋" w:cs="Times New Roman"/>
          <w:color w:val="auto"/>
          <w:sz w:val="32"/>
          <w:szCs w:val="32"/>
          <w:highlight w:val="none"/>
        </w:rPr>
        <w:t>197.76</w:t>
      </w:r>
      <w:r>
        <w:rPr>
          <w:rFonts w:hint="default" w:ascii="Times New Roman" w:hAnsi="Times New Roman" w:eastAsia="仿宋" w:cs="Times New Roman"/>
          <w:color w:val="auto"/>
          <w:sz w:val="32"/>
          <w:szCs w:val="32"/>
          <w:highlight w:val="none"/>
          <w:shd w:val="clear" w:color="auto" w:fill="FFFFFF"/>
        </w:rPr>
        <w:t>万元，其中：政府采购货物支出</w:t>
      </w:r>
      <w:r>
        <w:rPr>
          <w:rFonts w:hint="default" w:ascii="Times New Roman" w:hAnsi="Times New Roman" w:eastAsia="仿宋" w:cs="Times New Roman"/>
          <w:color w:val="auto"/>
          <w:sz w:val="32"/>
          <w:szCs w:val="32"/>
          <w:highlight w:val="none"/>
        </w:rPr>
        <w:t>197.76</w:t>
      </w:r>
      <w:r>
        <w:rPr>
          <w:rFonts w:hint="default" w:ascii="Times New Roman" w:hAnsi="Times New Roman" w:eastAsia="仿宋" w:cs="Times New Roman"/>
          <w:color w:val="auto"/>
          <w:sz w:val="32"/>
          <w:szCs w:val="32"/>
          <w:highlight w:val="none"/>
          <w:shd w:val="clear" w:color="auto" w:fill="FFFFFF"/>
        </w:rPr>
        <w:t>万元、政府采购工程支出</w:t>
      </w:r>
      <w:r>
        <w:rPr>
          <w:rFonts w:hint="default" w:ascii="Times New Roman" w:hAnsi="Times New Roman" w:eastAsia="仿宋" w:cs="Times New Roman"/>
          <w:color w:val="auto"/>
          <w:sz w:val="32"/>
          <w:szCs w:val="32"/>
          <w:highlight w:val="none"/>
        </w:rPr>
        <w:t>0.00</w:t>
      </w:r>
      <w:r>
        <w:rPr>
          <w:rFonts w:hint="default" w:ascii="Times New Roman" w:hAnsi="Times New Roman" w:eastAsia="仿宋" w:cs="Times New Roman"/>
          <w:color w:val="auto"/>
          <w:sz w:val="32"/>
          <w:szCs w:val="32"/>
          <w:highlight w:val="none"/>
          <w:shd w:val="clear" w:color="auto" w:fill="FFFFFF"/>
        </w:rPr>
        <w:t>万元、政府采购服务支出</w:t>
      </w:r>
      <w:r>
        <w:rPr>
          <w:rFonts w:hint="default" w:ascii="Times New Roman" w:hAnsi="Times New Roman" w:eastAsia="仿宋" w:cs="Times New Roman"/>
          <w:color w:val="auto"/>
          <w:sz w:val="32"/>
          <w:szCs w:val="32"/>
          <w:highlight w:val="none"/>
        </w:rPr>
        <w:t>0.00</w:t>
      </w:r>
      <w:r>
        <w:rPr>
          <w:rFonts w:hint="default" w:ascii="Times New Roman" w:hAnsi="Times New Roman" w:eastAsia="仿宋" w:cs="Times New Roman"/>
          <w:color w:val="auto"/>
          <w:sz w:val="32"/>
          <w:szCs w:val="32"/>
          <w:highlight w:val="none"/>
          <w:shd w:val="clear" w:color="auto" w:fill="FFFFFF"/>
        </w:rPr>
        <w:t>万元。授予中小企业合同金额</w:t>
      </w:r>
      <w:r>
        <w:rPr>
          <w:rFonts w:hint="default" w:ascii="Times New Roman" w:hAnsi="Times New Roman" w:eastAsia="仿宋" w:cs="Times New Roman"/>
          <w:color w:val="auto"/>
          <w:sz w:val="32"/>
          <w:szCs w:val="32"/>
          <w:highlight w:val="none"/>
        </w:rPr>
        <w:t>197.76万</w:t>
      </w:r>
      <w:r>
        <w:rPr>
          <w:rFonts w:hint="default" w:ascii="Times New Roman" w:hAnsi="Times New Roman" w:eastAsia="仿宋" w:cs="Times New Roman"/>
          <w:color w:val="auto"/>
          <w:sz w:val="32"/>
          <w:szCs w:val="32"/>
          <w:highlight w:val="none"/>
          <w:shd w:val="clear" w:color="auto" w:fill="FFFFFF"/>
        </w:rPr>
        <w:t>元，占政府采购支出总额的</w:t>
      </w:r>
      <w:r>
        <w:rPr>
          <w:rFonts w:hint="default" w:ascii="Times New Roman" w:hAnsi="Times New Roman" w:eastAsia="仿宋" w:cs="Times New Roman"/>
          <w:color w:val="auto"/>
          <w:sz w:val="32"/>
          <w:szCs w:val="32"/>
          <w:highlight w:val="none"/>
        </w:rPr>
        <w:t>100.00</w:t>
      </w:r>
      <w:r>
        <w:rPr>
          <w:rFonts w:hint="default" w:ascii="Times New Roman" w:hAnsi="Times New Roman" w:eastAsia="仿宋" w:cs="Times New Roman"/>
          <w:color w:val="auto"/>
          <w:sz w:val="32"/>
          <w:szCs w:val="32"/>
          <w:highlight w:val="none"/>
          <w:shd w:val="clear" w:color="auto" w:fill="FFFFFF"/>
        </w:rPr>
        <w:t>%，其中：授予小微企业合同金额</w:t>
      </w:r>
      <w:r>
        <w:rPr>
          <w:rFonts w:hint="default" w:ascii="Times New Roman" w:hAnsi="Times New Roman" w:eastAsia="仿宋" w:cs="Times New Roman"/>
          <w:color w:val="auto"/>
          <w:sz w:val="32"/>
          <w:szCs w:val="32"/>
          <w:highlight w:val="none"/>
        </w:rPr>
        <w:t>197.76</w:t>
      </w:r>
      <w:r>
        <w:rPr>
          <w:rFonts w:hint="default" w:ascii="Times New Roman" w:hAnsi="Times New Roman" w:eastAsia="仿宋" w:cs="Times New Roman"/>
          <w:color w:val="auto"/>
          <w:sz w:val="32"/>
          <w:szCs w:val="32"/>
          <w:highlight w:val="none"/>
          <w:shd w:val="clear" w:color="auto" w:fill="FFFFFF"/>
        </w:rPr>
        <w:t>万元，占政府采购支出总额的</w:t>
      </w:r>
      <w:r>
        <w:rPr>
          <w:rFonts w:hint="default" w:ascii="Times New Roman" w:hAnsi="Times New Roman" w:eastAsia="仿宋" w:cs="Times New Roman"/>
          <w:color w:val="auto"/>
          <w:sz w:val="32"/>
          <w:szCs w:val="32"/>
          <w:highlight w:val="none"/>
        </w:rPr>
        <w:t>100.00</w:t>
      </w:r>
      <w:r>
        <w:rPr>
          <w:rFonts w:hint="default" w:ascii="Times New Roman" w:hAnsi="Times New Roman" w:eastAsia="仿宋" w:cs="Times New Roman"/>
          <w:color w:val="auto"/>
          <w:sz w:val="32"/>
          <w:szCs w:val="32"/>
          <w:highlight w:val="none"/>
          <w:shd w:val="clear" w:color="auto" w:fill="FFFFFF"/>
        </w:rPr>
        <w:t xml:space="preserve"> %。</w:t>
      </w:r>
      <w:r>
        <w:rPr>
          <w:rFonts w:hint="default" w:ascii="Times New Roman" w:hAnsi="Times New Roman" w:eastAsia="仿宋" w:cs="Times New Roman"/>
          <w:bCs/>
          <w:color w:val="auto"/>
          <w:sz w:val="32"/>
          <w:szCs w:val="32"/>
          <w:highlight w:val="none"/>
          <w:lang w:val="en-US" w:eastAsia="zh-CN"/>
        </w:rPr>
        <w:t>今年涉及两笔采购，都是分散采购，一个是巫溪县2023年胜利乡蚕桑产业化基地智能设备建设项目，实现150人户均增收1000元以上，金额1,190,000.00元。另一个是胜利乡烟叶烤房设备采购项目，主要是采购的轻钢保温结构烤房及配套机器设备等，能对烟叶进行安全有效烘烤，金额787,600.00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2" w:firstLineChars="200"/>
        <w:textAlignment w:val="auto"/>
        <w:rPr>
          <w:rStyle w:val="8"/>
          <w:rFonts w:hint="default" w:ascii="Times New Roman" w:hAnsi="Times New Roman" w:eastAsia="黑体" w:cs="Times New Roman"/>
          <w:color w:val="auto"/>
          <w:sz w:val="32"/>
          <w:szCs w:val="32"/>
          <w:highlight w:val="none"/>
          <w:shd w:val="clear" w:color="auto" w:fill="FFFFFF"/>
          <w:lang w:val="en-US" w:eastAsia="zh-CN"/>
        </w:rPr>
      </w:pPr>
      <w:r>
        <w:rPr>
          <w:rStyle w:val="8"/>
          <w:rFonts w:hint="default" w:ascii="Times New Roman" w:hAnsi="Times New Roman" w:eastAsia="黑体" w:cs="Times New Roman"/>
          <w:color w:val="auto"/>
          <w:sz w:val="32"/>
          <w:szCs w:val="32"/>
          <w:highlight w:val="none"/>
          <w:shd w:val="clear" w:color="auto" w:fill="FFFFFF"/>
          <w:lang w:val="en-US" w:eastAsia="zh-CN"/>
        </w:rPr>
        <w:t>五、2024年度预算绩效管理情况说明</w:t>
      </w:r>
    </w:p>
    <w:p>
      <w:pPr>
        <w:pStyle w:val="5"/>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楷体" w:cs="Times New Roman"/>
          <w:color w:val="auto"/>
          <w:sz w:val="32"/>
          <w:szCs w:val="32"/>
          <w:highlight w:val="none"/>
          <w:shd w:val="clear" w:color="auto" w:fill="FFFFFF"/>
          <w:lang w:eastAsia="zh-CN"/>
        </w:rPr>
      </w:pPr>
      <w:r>
        <w:rPr>
          <w:rFonts w:hint="default" w:ascii="Times New Roman" w:hAnsi="Times New Roman" w:eastAsia="楷体" w:cs="Times New Roman"/>
          <w:color w:val="auto"/>
          <w:sz w:val="32"/>
          <w:szCs w:val="32"/>
          <w:highlight w:val="none"/>
          <w:shd w:val="clear" w:color="auto" w:fill="FFFFFF"/>
          <w:lang w:eastAsia="zh-CN"/>
        </w:rPr>
        <w:t>（一）单位自评情况</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Times New Roman" w:hAnsi="Times New Roman" w:eastAsia="仿宋" w:cs="Times New Roman"/>
          <w:color w:val="auto"/>
          <w:kern w:val="0"/>
          <w:sz w:val="32"/>
          <w:szCs w:val="32"/>
          <w:highlight w:val="none"/>
          <w:shd w:val="clear" w:fill="FFFFFF"/>
          <w:lang w:eastAsia="zh-CN"/>
        </w:rPr>
      </w:pPr>
      <w:r>
        <w:rPr>
          <w:rFonts w:hint="default" w:ascii="Times New Roman" w:hAnsi="Times New Roman" w:eastAsia="仿宋" w:cs="Times New Roman"/>
          <w:color w:val="auto"/>
          <w:kern w:val="0"/>
          <w:sz w:val="32"/>
          <w:szCs w:val="32"/>
          <w:highlight w:val="none"/>
          <w:shd w:val="clear" w:fill="FFFFFF"/>
        </w:rPr>
        <w:t>根据预算绩效管理要求，我单位对部门整体</w:t>
      </w:r>
      <w:r>
        <w:rPr>
          <w:rFonts w:hint="default" w:ascii="Times New Roman" w:hAnsi="Times New Roman" w:eastAsia="仿宋" w:cs="Times New Roman"/>
          <w:color w:val="auto"/>
          <w:kern w:val="0"/>
          <w:sz w:val="32"/>
          <w:szCs w:val="32"/>
          <w:highlight w:val="none"/>
          <w:shd w:val="clear" w:fill="FFFFFF"/>
          <w:lang w:val="en-US" w:eastAsia="zh-CN"/>
        </w:rPr>
        <w:t>和54</w:t>
      </w:r>
      <w:r>
        <w:rPr>
          <w:rFonts w:hint="default" w:ascii="Times New Roman" w:hAnsi="Times New Roman" w:eastAsia="仿宋" w:cs="Times New Roman"/>
          <w:color w:val="auto"/>
          <w:kern w:val="0"/>
          <w:sz w:val="32"/>
          <w:szCs w:val="32"/>
          <w:highlight w:val="none"/>
          <w:shd w:val="clear" w:fill="FFFFFF"/>
        </w:rPr>
        <w:t>个二级项目开展了绩效自评，涉及财政拨款项目支出资金</w:t>
      </w:r>
      <w:r>
        <w:rPr>
          <w:rFonts w:hint="default" w:ascii="Times New Roman" w:hAnsi="Times New Roman" w:eastAsia="仿宋" w:cs="Times New Roman"/>
          <w:color w:val="auto"/>
          <w:kern w:val="0"/>
          <w:sz w:val="32"/>
          <w:szCs w:val="32"/>
          <w:highlight w:val="none"/>
          <w:shd w:val="clear" w:fill="FFFFFF"/>
          <w:lang w:val="en-US" w:eastAsia="zh-CN"/>
        </w:rPr>
        <w:t>1,137.31</w:t>
      </w:r>
      <w:r>
        <w:rPr>
          <w:rFonts w:hint="default" w:ascii="Times New Roman" w:hAnsi="Times New Roman" w:eastAsia="仿宋" w:cs="Times New Roman"/>
          <w:color w:val="auto"/>
          <w:kern w:val="0"/>
          <w:sz w:val="32"/>
          <w:szCs w:val="32"/>
          <w:highlight w:val="none"/>
          <w:shd w:val="clear" w:fill="FFFFFF"/>
        </w:rPr>
        <w:t>万元</w:t>
      </w:r>
      <w:r>
        <w:rPr>
          <w:rFonts w:hint="eastAsia" w:ascii="Times New Roman" w:hAnsi="Times New Roman" w:eastAsia="仿宋" w:cs="Times New Roman"/>
          <w:color w:val="auto"/>
          <w:kern w:val="0"/>
          <w:sz w:val="32"/>
          <w:szCs w:val="32"/>
          <w:highlight w:val="none"/>
          <w:shd w:val="clear" w:fill="FFFFFF"/>
          <w:lang w:eastAsia="zh-CN"/>
        </w:rPr>
        <w:t>。</w:t>
      </w:r>
    </w:p>
    <w:p>
      <w:pPr>
        <w:pStyle w:val="10"/>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ind w:firstLine="642" w:firstLineChars="200"/>
        <w:jc w:val="left"/>
        <w:textAlignment w:val="auto"/>
        <w:rPr>
          <w:rFonts w:hint="eastAsia" w:ascii="仿宋" w:hAnsi="仿宋" w:eastAsia="仿宋" w:cs="仿宋"/>
          <w:b/>
          <w:bCs/>
          <w:color w:val="auto"/>
          <w:kern w:val="0"/>
          <w:sz w:val="32"/>
          <w:szCs w:val="32"/>
          <w:highlight w:val="none"/>
          <w:shd w:val="clear" w:fill="FFFFFF"/>
          <w:lang w:eastAsia="zh-CN"/>
        </w:rPr>
      </w:pPr>
      <w:r>
        <w:rPr>
          <w:rFonts w:hint="eastAsia" w:ascii="仿宋" w:hAnsi="仿宋" w:eastAsia="仿宋" w:cs="仿宋"/>
          <w:b/>
          <w:bCs/>
          <w:color w:val="auto"/>
          <w:kern w:val="0"/>
          <w:sz w:val="32"/>
          <w:szCs w:val="32"/>
          <w:highlight w:val="none"/>
          <w:shd w:val="clear" w:fill="FFFFFF"/>
        </w:rPr>
        <w:t>部门整体绩效自评</w:t>
      </w:r>
      <w:r>
        <w:rPr>
          <w:rFonts w:hint="eastAsia" w:ascii="仿宋" w:hAnsi="仿宋" w:eastAsia="仿宋" w:cs="仿宋"/>
          <w:b/>
          <w:bCs/>
          <w:color w:val="auto"/>
          <w:kern w:val="0"/>
          <w:sz w:val="32"/>
          <w:szCs w:val="32"/>
          <w:highlight w:val="none"/>
          <w:shd w:val="clear" w:fill="FFFFFF"/>
          <w:lang w:eastAsia="zh-CN"/>
        </w:rPr>
        <w:t>表（</w:t>
      </w:r>
      <w:r>
        <w:rPr>
          <w:rFonts w:hint="eastAsia" w:ascii="仿宋" w:hAnsi="仿宋" w:eastAsia="仿宋" w:cs="仿宋"/>
          <w:b/>
          <w:bCs/>
          <w:color w:val="auto"/>
          <w:kern w:val="0"/>
          <w:sz w:val="32"/>
          <w:szCs w:val="32"/>
          <w:highlight w:val="none"/>
          <w:shd w:val="clear" w:fill="FFFFFF"/>
          <w:lang w:val="en-US" w:eastAsia="zh-CN"/>
        </w:rPr>
        <w:t>见附件1</w:t>
      </w:r>
      <w:r>
        <w:rPr>
          <w:rFonts w:hint="eastAsia" w:ascii="仿宋" w:hAnsi="仿宋" w:eastAsia="仿宋" w:cs="仿宋"/>
          <w:b/>
          <w:bCs/>
          <w:color w:val="auto"/>
          <w:kern w:val="0"/>
          <w:sz w:val="32"/>
          <w:szCs w:val="32"/>
          <w:highlight w:val="none"/>
          <w:shd w:val="clear" w:fill="FFFFFF"/>
          <w:lang w:eastAsia="zh-CN"/>
        </w:rPr>
        <w:t>）</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2" w:firstLineChars="200"/>
        <w:jc w:val="left"/>
        <w:textAlignment w:val="auto"/>
        <w:rPr>
          <w:rFonts w:hint="eastAsia" w:ascii="Times New Roman" w:hAnsi="Times New Roman" w:eastAsia="仿宋" w:cs="Times New Roman"/>
          <w:color w:val="auto"/>
          <w:kern w:val="0"/>
          <w:sz w:val="32"/>
          <w:szCs w:val="32"/>
          <w:highlight w:val="none"/>
          <w:shd w:val="clear" w:fill="FFFFFF"/>
          <w:lang w:eastAsia="zh-CN"/>
        </w:rPr>
      </w:pPr>
      <w:r>
        <w:rPr>
          <w:rFonts w:hint="eastAsia" w:ascii="仿宋" w:hAnsi="仿宋" w:eastAsia="仿宋" w:cs="仿宋"/>
          <w:b/>
          <w:bCs/>
          <w:color w:val="auto"/>
          <w:kern w:val="0"/>
          <w:sz w:val="32"/>
          <w:szCs w:val="32"/>
          <w:highlight w:val="none"/>
          <w:shd w:val="clear" w:fill="FFFFFF"/>
        </w:rPr>
        <w:t>项目支出绩效自评表</w:t>
      </w:r>
      <w:r>
        <w:rPr>
          <w:rFonts w:hint="eastAsia" w:ascii="仿宋" w:hAnsi="仿宋" w:eastAsia="仿宋" w:cs="仿宋"/>
          <w:b/>
          <w:bCs/>
          <w:color w:val="auto"/>
          <w:kern w:val="0"/>
          <w:sz w:val="32"/>
          <w:szCs w:val="32"/>
          <w:highlight w:val="none"/>
          <w:shd w:val="clear" w:fill="FFFFFF"/>
          <w:lang w:eastAsia="zh-CN"/>
        </w:rPr>
        <w:t>（</w:t>
      </w:r>
      <w:r>
        <w:rPr>
          <w:rFonts w:hint="eastAsia" w:ascii="仿宋" w:hAnsi="仿宋" w:eastAsia="仿宋" w:cs="仿宋"/>
          <w:b/>
          <w:bCs/>
          <w:color w:val="auto"/>
          <w:kern w:val="0"/>
          <w:sz w:val="32"/>
          <w:szCs w:val="32"/>
          <w:highlight w:val="none"/>
          <w:shd w:val="clear" w:fill="FFFFFF"/>
          <w:lang w:val="en-US" w:eastAsia="zh-CN"/>
        </w:rPr>
        <w:t>见附件2</w:t>
      </w:r>
      <w:r>
        <w:rPr>
          <w:rFonts w:hint="eastAsia" w:ascii="仿宋" w:hAnsi="仿宋" w:eastAsia="仿宋" w:cs="仿宋"/>
          <w:b/>
          <w:bCs/>
          <w:color w:val="auto"/>
          <w:kern w:val="0"/>
          <w:sz w:val="32"/>
          <w:szCs w:val="32"/>
          <w:highlight w:val="none"/>
          <w:shd w:val="clear" w:fill="FFFFFF"/>
          <w:lang w:eastAsia="zh-CN"/>
        </w:rPr>
        <w:t>）</w:t>
      </w:r>
    </w:p>
    <w:p>
      <w:pPr>
        <w:pStyle w:val="5"/>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楷体" w:cs="Times New Roman"/>
          <w:color w:val="auto"/>
          <w:sz w:val="32"/>
          <w:szCs w:val="32"/>
          <w:highlight w:val="none"/>
          <w:shd w:val="clear" w:color="auto" w:fill="FFFFFF"/>
          <w:lang w:eastAsia="zh-CN"/>
        </w:rPr>
      </w:pPr>
      <w:r>
        <w:rPr>
          <w:rFonts w:hint="default" w:ascii="Times New Roman" w:hAnsi="Times New Roman" w:eastAsia="楷体" w:cs="Times New Roman"/>
          <w:color w:val="auto"/>
          <w:sz w:val="32"/>
          <w:szCs w:val="32"/>
          <w:highlight w:val="none"/>
          <w:shd w:val="clear" w:color="auto" w:fill="FFFFFF"/>
          <w:lang w:eastAsia="zh-CN"/>
        </w:rPr>
        <w:t>（二）部门绩效评价情况</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仿宋" w:cs="Times New Roman"/>
          <w:b w:val="0"/>
          <w:bCs w:val="0"/>
          <w:color w:val="auto"/>
          <w:sz w:val="32"/>
          <w:szCs w:val="32"/>
          <w:highlight w:val="none"/>
          <w:shd w:val="clear" w:color="auto" w:fill="auto"/>
        </w:rPr>
      </w:pPr>
      <w:r>
        <w:rPr>
          <w:rFonts w:hint="default" w:ascii="Times New Roman" w:hAnsi="Times New Roman" w:eastAsia="仿宋" w:cs="Times New Roman"/>
          <w:b w:val="0"/>
          <w:bCs w:val="0"/>
          <w:color w:val="auto"/>
          <w:sz w:val="32"/>
          <w:szCs w:val="32"/>
          <w:highlight w:val="none"/>
          <w:shd w:val="clear" w:color="auto" w:fill="auto"/>
        </w:rPr>
        <w:t>我单位未组织开展绩效评价。</w:t>
      </w:r>
    </w:p>
    <w:p>
      <w:pPr>
        <w:pStyle w:val="5"/>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楷体" w:cs="Times New Roman"/>
          <w:color w:val="auto"/>
          <w:sz w:val="32"/>
          <w:szCs w:val="32"/>
          <w:highlight w:val="none"/>
          <w:shd w:val="clear" w:color="auto" w:fill="FFFFFF"/>
          <w:lang w:eastAsia="zh-CN"/>
        </w:rPr>
      </w:pPr>
      <w:r>
        <w:rPr>
          <w:rFonts w:hint="default" w:ascii="Times New Roman" w:hAnsi="Times New Roman" w:eastAsia="楷体" w:cs="Times New Roman"/>
          <w:color w:val="auto"/>
          <w:sz w:val="32"/>
          <w:szCs w:val="32"/>
          <w:highlight w:val="none"/>
          <w:shd w:val="clear" w:color="auto" w:fill="FFFFFF"/>
          <w:lang w:val="en-US" w:eastAsia="zh-CN"/>
        </w:rPr>
        <w:t>（三）财政绩效评价情况</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仿宋" w:cs="Times New Roman"/>
          <w:b w:val="0"/>
          <w:bCs w:val="0"/>
          <w:color w:val="auto"/>
          <w:sz w:val="32"/>
          <w:szCs w:val="32"/>
          <w:highlight w:val="none"/>
          <w:shd w:val="clear" w:color="auto" w:fill="auto"/>
        </w:rPr>
      </w:pPr>
      <w:r>
        <w:rPr>
          <w:rFonts w:hint="default" w:ascii="Times New Roman" w:hAnsi="Times New Roman" w:eastAsia="仿宋" w:cs="Times New Roman"/>
          <w:b w:val="0"/>
          <w:bCs w:val="0"/>
          <w:color w:val="auto"/>
          <w:sz w:val="32"/>
          <w:szCs w:val="32"/>
          <w:highlight w:val="none"/>
          <w:shd w:val="clear" w:color="auto" w:fill="auto"/>
          <w:lang w:val="en-US" w:eastAsia="zh-CN"/>
        </w:rPr>
        <w:t>县</w:t>
      </w:r>
      <w:r>
        <w:rPr>
          <w:rFonts w:hint="default" w:ascii="Times New Roman" w:hAnsi="Times New Roman" w:eastAsia="仿宋" w:cs="Times New Roman"/>
          <w:b w:val="0"/>
          <w:bCs w:val="0"/>
          <w:color w:val="auto"/>
          <w:sz w:val="32"/>
          <w:szCs w:val="32"/>
          <w:highlight w:val="none"/>
          <w:shd w:val="clear" w:color="auto" w:fill="auto"/>
        </w:rPr>
        <w:t>财政局未委托第三方对我单位开展绩效评价。</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textAlignment w:val="auto"/>
        <w:rPr>
          <w:rFonts w:hint="default" w:ascii="Times New Roman" w:hAnsi="Times New Roman" w:eastAsia="仿宋" w:cs="Times New Roman"/>
          <w:color w:val="auto"/>
          <w:kern w:val="0"/>
          <w:sz w:val="32"/>
          <w:szCs w:val="32"/>
          <w:highlight w:val="none"/>
        </w:rPr>
      </w:pPr>
      <w:r>
        <w:rPr>
          <w:rStyle w:val="11"/>
          <w:rFonts w:hint="default" w:ascii="Times New Roman" w:hAnsi="Times New Roman" w:eastAsia="仿宋" w:cs="Times New Roman"/>
          <w:b/>
          <w:bCs/>
          <w:color w:val="auto"/>
          <w:sz w:val="32"/>
          <w:szCs w:val="32"/>
          <w:highlight w:val="none"/>
          <w:shd w:val="clear" w:fill="FFFFFF"/>
          <w:lang w:val="en-US" w:eastAsia="zh-CN"/>
        </w:rPr>
        <w:t xml:space="preserve">    </w:t>
      </w:r>
      <w:r>
        <w:rPr>
          <w:rStyle w:val="8"/>
          <w:rFonts w:hint="default" w:ascii="Times New Roman" w:hAnsi="Times New Roman" w:eastAsia="黑体" w:cs="Times New Roman"/>
          <w:color w:val="auto"/>
          <w:sz w:val="32"/>
          <w:szCs w:val="32"/>
          <w:highlight w:val="none"/>
          <w:shd w:val="clear" w:color="auto" w:fill="FFFFFF"/>
          <w:lang w:val="en-US" w:eastAsia="zh-CN" w:bidi="ar-SA"/>
        </w:rPr>
        <w:t>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textAlignment w:val="auto"/>
        <w:rPr>
          <w:rFonts w:hint="default" w:ascii="Times New Roman" w:hAnsi="Times New Roman" w:eastAsia="仿宋" w:cs="Times New Roman"/>
          <w:color w:val="auto"/>
          <w:kern w:val="0"/>
          <w:sz w:val="32"/>
          <w:szCs w:val="32"/>
          <w:highlight w:val="none"/>
        </w:rPr>
      </w:pPr>
      <w:r>
        <w:rPr>
          <w:rStyle w:val="8"/>
          <w:rFonts w:hint="default" w:ascii="Times New Roman" w:hAnsi="Times New Roman" w:eastAsia="仿宋" w:cs="Times New Roman"/>
          <w:color w:val="auto"/>
          <w:sz w:val="32"/>
          <w:szCs w:val="32"/>
          <w:highlight w:val="none"/>
          <w:shd w:val="clear" w:color="auto" w:fill="FFFFFF"/>
          <w:lang w:val="en-US" w:eastAsia="zh-CN" w:bidi="ar-SA"/>
        </w:rPr>
        <w:t>（一）财政拨款收入：</w:t>
      </w:r>
      <w:r>
        <w:rPr>
          <w:rFonts w:hint="default" w:ascii="Times New Roman" w:hAnsi="Times New Roman" w:eastAsia="仿宋" w:cs="Times New Roman"/>
          <w:color w:val="auto"/>
          <w:kern w:val="0"/>
          <w:sz w:val="32"/>
          <w:szCs w:val="32"/>
          <w:highlight w:val="none"/>
          <w:shd w:val="clear"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textAlignment w:val="auto"/>
        <w:rPr>
          <w:rFonts w:hint="default" w:ascii="Times New Roman" w:hAnsi="Times New Roman" w:eastAsia="仿宋" w:cs="Times New Roman"/>
          <w:color w:val="auto"/>
          <w:kern w:val="0"/>
          <w:sz w:val="32"/>
          <w:szCs w:val="32"/>
          <w:highlight w:val="none"/>
        </w:rPr>
      </w:pPr>
      <w:r>
        <w:rPr>
          <w:rStyle w:val="8"/>
          <w:rFonts w:hint="default" w:ascii="Times New Roman" w:hAnsi="Times New Roman" w:eastAsia="仿宋" w:cs="Times New Roman"/>
          <w:color w:val="auto"/>
          <w:sz w:val="32"/>
          <w:szCs w:val="32"/>
          <w:highlight w:val="none"/>
          <w:shd w:val="clear" w:color="auto" w:fill="FFFFFF"/>
          <w:lang w:val="en-US" w:eastAsia="zh-CN" w:bidi="ar-SA"/>
        </w:rPr>
        <w:t>（二）事业收入：</w:t>
      </w:r>
      <w:r>
        <w:rPr>
          <w:rFonts w:hint="default" w:ascii="Times New Roman" w:hAnsi="Times New Roman" w:eastAsia="仿宋" w:cs="Times New Roman"/>
          <w:color w:val="auto"/>
          <w:kern w:val="0"/>
          <w:sz w:val="32"/>
          <w:szCs w:val="32"/>
          <w:highlight w:val="none"/>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textAlignment w:val="auto"/>
        <w:rPr>
          <w:rFonts w:hint="default" w:ascii="Times New Roman" w:hAnsi="Times New Roman" w:eastAsia="仿宋" w:cs="Times New Roman"/>
          <w:color w:val="auto"/>
          <w:kern w:val="0"/>
          <w:sz w:val="32"/>
          <w:szCs w:val="32"/>
          <w:highlight w:val="none"/>
        </w:rPr>
      </w:pPr>
      <w:r>
        <w:rPr>
          <w:rStyle w:val="8"/>
          <w:rFonts w:hint="default" w:ascii="Times New Roman" w:hAnsi="Times New Roman" w:eastAsia="仿宋" w:cs="Times New Roman"/>
          <w:color w:val="auto"/>
          <w:sz w:val="32"/>
          <w:szCs w:val="32"/>
          <w:highlight w:val="none"/>
          <w:shd w:val="clear" w:color="auto" w:fill="FFFFFF"/>
          <w:lang w:val="en-US" w:eastAsia="zh-CN" w:bidi="ar-SA"/>
        </w:rPr>
        <w:t>（三）经营收入：</w:t>
      </w:r>
      <w:r>
        <w:rPr>
          <w:rFonts w:hint="default" w:ascii="Times New Roman" w:hAnsi="Times New Roman" w:eastAsia="仿宋" w:cs="Times New Roman"/>
          <w:color w:val="auto"/>
          <w:kern w:val="0"/>
          <w:sz w:val="32"/>
          <w:szCs w:val="32"/>
          <w:highlight w:val="none"/>
          <w:shd w:val="clear"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textAlignment w:val="auto"/>
        <w:rPr>
          <w:rFonts w:hint="default" w:ascii="Times New Roman" w:hAnsi="Times New Roman" w:eastAsia="仿宋" w:cs="Times New Roman"/>
          <w:color w:val="auto"/>
          <w:kern w:val="0"/>
          <w:sz w:val="32"/>
          <w:szCs w:val="32"/>
          <w:highlight w:val="none"/>
        </w:rPr>
      </w:pPr>
      <w:r>
        <w:rPr>
          <w:rStyle w:val="8"/>
          <w:rFonts w:hint="default" w:ascii="Times New Roman" w:hAnsi="Times New Roman" w:eastAsia="仿宋" w:cs="Times New Roman"/>
          <w:color w:val="auto"/>
          <w:sz w:val="32"/>
          <w:szCs w:val="32"/>
          <w:highlight w:val="none"/>
          <w:shd w:val="clear" w:color="auto" w:fill="FFFFFF"/>
          <w:lang w:val="en-US" w:eastAsia="zh-CN" w:bidi="ar-SA"/>
        </w:rPr>
        <w:t>（四）其他收入：</w:t>
      </w:r>
      <w:r>
        <w:rPr>
          <w:rFonts w:hint="default" w:ascii="Times New Roman" w:hAnsi="Times New Roman" w:eastAsia="仿宋" w:cs="Times New Roman"/>
          <w:color w:val="auto"/>
          <w:kern w:val="0"/>
          <w:sz w:val="32"/>
          <w:szCs w:val="32"/>
          <w:highlight w:val="none"/>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textAlignment w:val="auto"/>
        <w:rPr>
          <w:rFonts w:hint="default" w:ascii="Times New Roman" w:hAnsi="Times New Roman" w:eastAsia="仿宋" w:cs="Times New Roman"/>
          <w:color w:val="auto"/>
          <w:kern w:val="0"/>
          <w:sz w:val="32"/>
          <w:szCs w:val="32"/>
          <w:highlight w:val="none"/>
        </w:rPr>
      </w:pPr>
      <w:r>
        <w:rPr>
          <w:rStyle w:val="8"/>
          <w:rFonts w:hint="default" w:ascii="Times New Roman" w:hAnsi="Times New Roman" w:eastAsia="仿宋" w:cs="Times New Roman"/>
          <w:color w:val="auto"/>
          <w:sz w:val="32"/>
          <w:szCs w:val="32"/>
          <w:highlight w:val="none"/>
          <w:shd w:val="clear" w:color="auto" w:fill="FFFFFF"/>
          <w:lang w:val="en-US" w:eastAsia="zh-CN" w:bidi="ar-SA"/>
        </w:rPr>
        <w:t>（五）使用非财政拨款结余：</w:t>
      </w:r>
      <w:r>
        <w:rPr>
          <w:rFonts w:hint="default" w:ascii="Times New Roman" w:hAnsi="Times New Roman" w:eastAsia="仿宋" w:cs="Times New Roman"/>
          <w:color w:val="auto"/>
          <w:kern w:val="0"/>
          <w:sz w:val="32"/>
          <w:szCs w:val="32"/>
          <w:highlight w:val="none"/>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textAlignment w:val="auto"/>
        <w:rPr>
          <w:rFonts w:hint="default" w:ascii="Times New Roman" w:hAnsi="Times New Roman" w:eastAsia="仿宋" w:cs="Times New Roman"/>
          <w:color w:val="auto"/>
          <w:kern w:val="0"/>
          <w:sz w:val="32"/>
          <w:szCs w:val="32"/>
          <w:highlight w:val="none"/>
        </w:rPr>
      </w:pPr>
      <w:r>
        <w:rPr>
          <w:rStyle w:val="8"/>
          <w:rFonts w:hint="default" w:ascii="Times New Roman" w:hAnsi="Times New Roman" w:eastAsia="仿宋" w:cs="Times New Roman"/>
          <w:color w:val="auto"/>
          <w:sz w:val="32"/>
          <w:szCs w:val="32"/>
          <w:highlight w:val="none"/>
          <w:shd w:val="clear" w:color="auto" w:fill="FFFFFF"/>
          <w:lang w:val="en-US" w:eastAsia="zh-CN" w:bidi="ar-SA"/>
        </w:rPr>
        <w:t>（六）年初结转和结余：</w:t>
      </w:r>
      <w:r>
        <w:rPr>
          <w:rFonts w:hint="default" w:ascii="Times New Roman" w:hAnsi="Times New Roman" w:eastAsia="仿宋" w:cs="Times New Roman"/>
          <w:color w:val="auto"/>
          <w:kern w:val="0"/>
          <w:sz w:val="32"/>
          <w:szCs w:val="32"/>
          <w:highlight w:val="none"/>
          <w:shd w:val="clear"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textAlignment w:val="auto"/>
        <w:rPr>
          <w:rFonts w:hint="default" w:ascii="Times New Roman" w:hAnsi="Times New Roman" w:eastAsia="仿宋" w:cs="Times New Roman"/>
          <w:color w:val="auto"/>
          <w:kern w:val="0"/>
          <w:sz w:val="32"/>
          <w:szCs w:val="32"/>
          <w:highlight w:val="none"/>
        </w:rPr>
      </w:pPr>
      <w:r>
        <w:rPr>
          <w:rStyle w:val="8"/>
          <w:rFonts w:hint="default" w:ascii="Times New Roman" w:hAnsi="Times New Roman" w:eastAsia="仿宋" w:cs="Times New Roman"/>
          <w:color w:val="auto"/>
          <w:sz w:val="32"/>
          <w:szCs w:val="32"/>
          <w:highlight w:val="none"/>
          <w:shd w:val="clear" w:color="auto" w:fill="FFFFFF"/>
          <w:lang w:val="en-US" w:eastAsia="zh-CN" w:bidi="ar-SA"/>
        </w:rPr>
        <w:t>（七）结余分配：</w:t>
      </w:r>
      <w:r>
        <w:rPr>
          <w:rFonts w:hint="default" w:ascii="Times New Roman" w:hAnsi="Times New Roman" w:eastAsia="仿宋" w:cs="Times New Roman"/>
          <w:color w:val="auto"/>
          <w:kern w:val="0"/>
          <w:sz w:val="32"/>
          <w:szCs w:val="32"/>
          <w:highlight w:val="none"/>
          <w:shd w:val="clear"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textAlignment w:val="auto"/>
        <w:rPr>
          <w:rFonts w:hint="default" w:ascii="Times New Roman" w:hAnsi="Times New Roman" w:eastAsia="仿宋" w:cs="Times New Roman"/>
          <w:color w:val="auto"/>
          <w:kern w:val="0"/>
          <w:sz w:val="32"/>
          <w:szCs w:val="32"/>
          <w:highlight w:val="none"/>
        </w:rPr>
      </w:pPr>
      <w:r>
        <w:rPr>
          <w:rStyle w:val="8"/>
          <w:rFonts w:hint="default" w:ascii="Times New Roman" w:hAnsi="Times New Roman" w:eastAsia="仿宋" w:cs="Times New Roman"/>
          <w:color w:val="auto"/>
          <w:sz w:val="32"/>
          <w:szCs w:val="32"/>
          <w:highlight w:val="none"/>
          <w:shd w:val="clear" w:color="auto" w:fill="FFFFFF"/>
          <w:lang w:val="en-US" w:eastAsia="zh-CN" w:bidi="ar-SA"/>
        </w:rPr>
        <w:t>（八）年末结转和结余：</w:t>
      </w:r>
      <w:r>
        <w:rPr>
          <w:rFonts w:hint="default" w:ascii="Times New Roman" w:hAnsi="Times New Roman" w:eastAsia="仿宋" w:cs="Times New Roman"/>
          <w:color w:val="auto"/>
          <w:kern w:val="0"/>
          <w:sz w:val="32"/>
          <w:szCs w:val="32"/>
          <w:highlight w:val="none"/>
          <w:shd w:val="clear"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textAlignment w:val="auto"/>
        <w:rPr>
          <w:rFonts w:hint="default" w:ascii="Times New Roman" w:hAnsi="Times New Roman" w:eastAsia="仿宋" w:cs="Times New Roman"/>
          <w:color w:val="auto"/>
          <w:kern w:val="0"/>
          <w:sz w:val="32"/>
          <w:szCs w:val="32"/>
          <w:highlight w:val="none"/>
        </w:rPr>
      </w:pPr>
      <w:r>
        <w:rPr>
          <w:rStyle w:val="8"/>
          <w:rFonts w:hint="default" w:ascii="Times New Roman" w:hAnsi="Times New Roman" w:eastAsia="仿宋" w:cs="Times New Roman"/>
          <w:color w:val="auto"/>
          <w:sz w:val="32"/>
          <w:szCs w:val="32"/>
          <w:highlight w:val="none"/>
          <w:shd w:val="clear" w:color="auto" w:fill="FFFFFF"/>
          <w:lang w:val="en-US" w:eastAsia="zh-CN" w:bidi="ar-SA"/>
        </w:rPr>
        <w:t>（九）基本支出：</w:t>
      </w:r>
      <w:r>
        <w:rPr>
          <w:rFonts w:hint="default" w:ascii="Times New Roman" w:hAnsi="Times New Roman" w:eastAsia="仿宋" w:cs="Times New Roman"/>
          <w:color w:val="auto"/>
          <w:kern w:val="0"/>
          <w:sz w:val="32"/>
          <w:szCs w:val="32"/>
          <w:highlight w:val="none"/>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textAlignment w:val="auto"/>
        <w:rPr>
          <w:rFonts w:hint="default" w:ascii="Times New Roman" w:hAnsi="Times New Roman" w:eastAsia="仿宋" w:cs="Times New Roman"/>
          <w:color w:val="auto"/>
          <w:kern w:val="0"/>
          <w:sz w:val="32"/>
          <w:szCs w:val="32"/>
          <w:highlight w:val="none"/>
        </w:rPr>
      </w:pPr>
      <w:r>
        <w:rPr>
          <w:rStyle w:val="8"/>
          <w:rFonts w:hint="default" w:ascii="Times New Roman" w:hAnsi="Times New Roman" w:eastAsia="仿宋" w:cs="Times New Roman"/>
          <w:color w:val="auto"/>
          <w:sz w:val="32"/>
          <w:szCs w:val="32"/>
          <w:highlight w:val="none"/>
          <w:shd w:val="clear" w:color="auto" w:fill="FFFFFF"/>
          <w:lang w:val="en-US" w:eastAsia="zh-CN" w:bidi="ar-SA"/>
        </w:rPr>
        <w:t>（十）项目支出：</w:t>
      </w:r>
      <w:r>
        <w:rPr>
          <w:rFonts w:hint="default" w:ascii="Times New Roman" w:hAnsi="Times New Roman" w:eastAsia="仿宋" w:cs="Times New Roman"/>
          <w:color w:val="auto"/>
          <w:kern w:val="0"/>
          <w:sz w:val="32"/>
          <w:szCs w:val="32"/>
          <w:highlight w:val="none"/>
          <w:shd w:val="clear"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textAlignment w:val="auto"/>
        <w:rPr>
          <w:rFonts w:hint="default" w:ascii="Times New Roman" w:hAnsi="Times New Roman" w:eastAsia="仿宋" w:cs="Times New Roman"/>
          <w:color w:val="auto"/>
          <w:kern w:val="0"/>
          <w:sz w:val="32"/>
          <w:szCs w:val="32"/>
          <w:highlight w:val="none"/>
        </w:rPr>
      </w:pPr>
      <w:r>
        <w:rPr>
          <w:rStyle w:val="8"/>
          <w:rFonts w:hint="default" w:ascii="Times New Roman" w:hAnsi="Times New Roman" w:eastAsia="仿宋" w:cs="Times New Roman"/>
          <w:color w:val="auto"/>
          <w:sz w:val="32"/>
          <w:szCs w:val="32"/>
          <w:highlight w:val="none"/>
          <w:shd w:val="clear" w:color="auto" w:fill="FFFFFF"/>
          <w:lang w:val="en-US" w:eastAsia="zh-CN" w:bidi="ar-SA"/>
        </w:rPr>
        <w:t>（十一）经营支出：</w:t>
      </w:r>
      <w:r>
        <w:rPr>
          <w:rFonts w:hint="default" w:ascii="Times New Roman" w:hAnsi="Times New Roman" w:eastAsia="仿宋" w:cs="Times New Roman"/>
          <w:color w:val="auto"/>
          <w:kern w:val="0"/>
          <w:sz w:val="32"/>
          <w:szCs w:val="32"/>
          <w:highlight w:val="none"/>
          <w:shd w:val="clear"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textAlignment w:val="auto"/>
        <w:rPr>
          <w:rFonts w:hint="default" w:ascii="Times New Roman" w:hAnsi="Times New Roman" w:eastAsia="仿宋" w:cs="Times New Roman"/>
          <w:color w:val="auto"/>
          <w:kern w:val="0"/>
          <w:sz w:val="32"/>
          <w:szCs w:val="32"/>
          <w:highlight w:val="none"/>
        </w:rPr>
      </w:pPr>
      <w:r>
        <w:rPr>
          <w:rStyle w:val="8"/>
          <w:rFonts w:hint="default" w:ascii="Times New Roman" w:hAnsi="Times New Roman" w:eastAsia="仿宋" w:cs="Times New Roman"/>
          <w:color w:val="auto"/>
          <w:sz w:val="32"/>
          <w:szCs w:val="32"/>
          <w:highlight w:val="none"/>
          <w:shd w:val="clear" w:color="auto" w:fill="FFFFFF"/>
          <w:lang w:val="en-US" w:eastAsia="zh-CN" w:bidi="ar-SA"/>
        </w:rPr>
        <w:t>（十二）“三公”经费：</w:t>
      </w:r>
      <w:r>
        <w:rPr>
          <w:rFonts w:hint="default" w:ascii="Times New Roman" w:hAnsi="Times New Roman" w:eastAsia="仿宋" w:cs="Times New Roman"/>
          <w:color w:val="auto"/>
          <w:kern w:val="0"/>
          <w:sz w:val="32"/>
          <w:szCs w:val="32"/>
          <w:highlight w:val="none"/>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textAlignment w:val="auto"/>
        <w:rPr>
          <w:rFonts w:hint="default" w:ascii="Times New Roman" w:hAnsi="Times New Roman" w:eastAsia="仿宋" w:cs="Times New Roman"/>
          <w:color w:val="auto"/>
          <w:kern w:val="0"/>
          <w:sz w:val="32"/>
          <w:szCs w:val="32"/>
          <w:highlight w:val="none"/>
        </w:rPr>
      </w:pPr>
      <w:r>
        <w:rPr>
          <w:rStyle w:val="8"/>
          <w:rFonts w:hint="default" w:ascii="Times New Roman" w:hAnsi="Times New Roman" w:eastAsia="仿宋" w:cs="Times New Roman"/>
          <w:color w:val="auto"/>
          <w:sz w:val="32"/>
          <w:szCs w:val="32"/>
          <w:highlight w:val="none"/>
          <w:shd w:val="clear" w:color="auto" w:fill="FFFFFF"/>
          <w:lang w:val="en-US" w:eastAsia="zh-CN" w:bidi="ar-SA"/>
        </w:rPr>
        <w:t>（十三）机关运行经费：</w:t>
      </w:r>
      <w:r>
        <w:rPr>
          <w:rFonts w:hint="default" w:ascii="Times New Roman" w:hAnsi="Times New Roman" w:eastAsia="仿宋" w:cs="Times New Roman"/>
          <w:color w:val="auto"/>
          <w:kern w:val="0"/>
          <w:sz w:val="32"/>
          <w:szCs w:val="32"/>
          <w:highlight w:val="none"/>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textAlignment w:val="auto"/>
        <w:rPr>
          <w:rFonts w:hint="default" w:ascii="Times New Roman" w:hAnsi="Times New Roman" w:eastAsia="仿宋" w:cs="Times New Roman"/>
          <w:color w:val="auto"/>
          <w:kern w:val="0"/>
          <w:sz w:val="32"/>
          <w:szCs w:val="32"/>
          <w:highlight w:val="none"/>
        </w:rPr>
      </w:pPr>
      <w:r>
        <w:rPr>
          <w:rStyle w:val="8"/>
          <w:rFonts w:hint="default" w:ascii="Times New Roman" w:hAnsi="Times New Roman" w:eastAsia="仿宋" w:cs="Times New Roman"/>
          <w:color w:val="auto"/>
          <w:sz w:val="32"/>
          <w:szCs w:val="32"/>
          <w:highlight w:val="none"/>
          <w:shd w:val="clear" w:color="auto" w:fill="FFFFFF"/>
          <w:lang w:val="en-US" w:eastAsia="zh-CN" w:bidi="ar-SA"/>
        </w:rPr>
        <w:t>（十四）工资福利支出（支出经济分类科目类级）：</w:t>
      </w:r>
      <w:r>
        <w:rPr>
          <w:rFonts w:hint="default" w:ascii="Times New Roman" w:hAnsi="Times New Roman" w:eastAsia="仿宋" w:cs="Times New Roman"/>
          <w:color w:val="auto"/>
          <w:kern w:val="0"/>
          <w:sz w:val="32"/>
          <w:szCs w:val="32"/>
          <w:highlight w:val="none"/>
          <w:shd w:val="clear"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textAlignment w:val="auto"/>
        <w:rPr>
          <w:rFonts w:hint="default" w:ascii="Times New Roman" w:hAnsi="Times New Roman" w:eastAsia="仿宋" w:cs="Times New Roman"/>
          <w:color w:val="auto"/>
          <w:kern w:val="0"/>
          <w:sz w:val="32"/>
          <w:szCs w:val="32"/>
          <w:highlight w:val="none"/>
        </w:rPr>
      </w:pPr>
      <w:r>
        <w:rPr>
          <w:rStyle w:val="8"/>
          <w:rFonts w:hint="default" w:ascii="Times New Roman" w:hAnsi="Times New Roman" w:eastAsia="仿宋" w:cs="Times New Roman"/>
          <w:color w:val="auto"/>
          <w:sz w:val="32"/>
          <w:szCs w:val="32"/>
          <w:highlight w:val="none"/>
          <w:shd w:val="clear" w:color="auto" w:fill="FFFFFF"/>
          <w:lang w:val="en-US" w:eastAsia="zh-CN" w:bidi="ar-SA"/>
        </w:rPr>
        <w:t>（十五）商品和服务支出（支出经济分类科目类级）：</w:t>
      </w:r>
      <w:r>
        <w:rPr>
          <w:rFonts w:hint="default" w:ascii="Times New Roman" w:hAnsi="Times New Roman" w:eastAsia="仿宋" w:cs="Times New Roman"/>
          <w:color w:val="auto"/>
          <w:kern w:val="0"/>
          <w:sz w:val="32"/>
          <w:szCs w:val="32"/>
          <w:highlight w:val="none"/>
          <w:shd w:val="clear"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textAlignment w:val="auto"/>
        <w:rPr>
          <w:rFonts w:hint="default" w:ascii="Times New Roman" w:hAnsi="Times New Roman" w:eastAsia="仿宋" w:cs="Times New Roman"/>
          <w:color w:val="auto"/>
          <w:kern w:val="0"/>
          <w:sz w:val="32"/>
          <w:szCs w:val="32"/>
          <w:highlight w:val="none"/>
        </w:rPr>
      </w:pPr>
      <w:r>
        <w:rPr>
          <w:rStyle w:val="8"/>
          <w:rFonts w:hint="default" w:ascii="Times New Roman" w:hAnsi="Times New Roman" w:eastAsia="仿宋" w:cs="Times New Roman"/>
          <w:color w:val="auto"/>
          <w:sz w:val="32"/>
          <w:szCs w:val="32"/>
          <w:highlight w:val="none"/>
          <w:shd w:val="clear" w:color="auto" w:fill="FFFFFF"/>
          <w:lang w:val="en-US" w:eastAsia="zh-CN" w:bidi="ar-SA"/>
        </w:rPr>
        <w:t>（十六）对个人和家庭的补助（支出经济分类科目类级）：</w:t>
      </w:r>
      <w:r>
        <w:rPr>
          <w:rFonts w:hint="default" w:ascii="Times New Roman" w:hAnsi="Times New Roman" w:eastAsia="仿宋" w:cs="Times New Roman"/>
          <w:color w:val="auto"/>
          <w:kern w:val="0"/>
          <w:sz w:val="32"/>
          <w:szCs w:val="32"/>
          <w:highlight w:val="none"/>
          <w:shd w:val="clear" w:fill="FFFFFF"/>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textAlignment w:val="auto"/>
        <w:rPr>
          <w:rFonts w:hint="default" w:ascii="Times New Roman" w:hAnsi="Times New Roman" w:eastAsia="仿宋" w:cs="Times New Roman"/>
          <w:color w:val="auto"/>
          <w:kern w:val="0"/>
          <w:sz w:val="32"/>
          <w:szCs w:val="32"/>
          <w:highlight w:val="none"/>
        </w:rPr>
      </w:pPr>
      <w:r>
        <w:rPr>
          <w:rStyle w:val="8"/>
          <w:rFonts w:hint="default" w:ascii="Times New Roman" w:hAnsi="Times New Roman" w:eastAsia="仿宋" w:cs="Times New Roman"/>
          <w:color w:val="auto"/>
          <w:sz w:val="32"/>
          <w:szCs w:val="32"/>
          <w:highlight w:val="none"/>
          <w:shd w:val="clear" w:color="auto" w:fill="FFFFFF"/>
          <w:lang w:val="en-US" w:eastAsia="zh-CN" w:bidi="ar-SA"/>
        </w:rPr>
        <w:t>（十七）其他资本性支出（支出经济分类科目类级）：</w:t>
      </w:r>
      <w:r>
        <w:rPr>
          <w:rFonts w:hint="default" w:ascii="Times New Roman" w:hAnsi="Times New Roman" w:eastAsia="仿宋" w:cs="Times New Roman"/>
          <w:color w:val="auto"/>
          <w:kern w:val="0"/>
          <w:sz w:val="32"/>
          <w:szCs w:val="32"/>
          <w:highlight w:val="none"/>
          <w:shd w:val="clear" w:fill="FFFFFF"/>
        </w:rPr>
        <w:t>反映非各级发展与改革部门集中安排的用于购置固定资产、战略性和应急性储备、土地和无形资产，以及构建基础设施、大型修缮和财政支持企业更新改造所发生的支出。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2" w:firstLineChars="200"/>
        <w:textAlignment w:val="auto"/>
        <w:rPr>
          <w:rStyle w:val="8"/>
          <w:rFonts w:hint="default" w:ascii="Times New Roman" w:hAnsi="Times New Roman" w:eastAsia="黑体" w:cs="Times New Roman"/>
          <w:color w:val="auto"/>
          <w:sz w:val="32"/>
          <w:szCs w:val="32"/>
          <w:highlight w:val="none"/>
          <w:shd w:val="clear" w:color="auto" w:fill="FFFFFF"/>
          <w:lang w:val="en-US" w:eastAsia="zh-CN"/>
        </w:rPr>
      </w:pPr>
      <w:r>
        <w:rPr>
          <w:rStyle w:val="8"/>
          <w:rFonts w:hint="default" w:ascii="Times New Roman" w:hAnsi="Times New Roman" w:eastAsia="黑体" w:cs="Times New Roman"/>
          <w:color w:val="auto"/>
          <w:sz w:val="32"/>
          <w:szCs w:val="32"/>
          <w:highlight w:val="none"/>
          <w:shd w:val="clear" w:color="auto" w:fill="FFFFFF"/>
          <w:lang w:val="en-US" w:eastAsia="zh-CN"/>
        </w:rPr>
        <w:t>七、决算公开联系方式及信息反馈渠道</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kern w:val="0"/>
          <w:sz w:val="32"/>
          <w:szCs w:val="32"/>
          <w:highlight w:val="none"/>
          <w:shd w:val="clear" w:fill="FFFFFF"/>
        </w:rPr>
        <w:t>本单位决算公开信息反馈和联系方式：</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shd w:val="clear" w:fill="FFFFFF"/>
        </w:rPr>
        <w:t xml:space="preserve"> </w:t>
      </w:r>
      <w:r>
        <w:rPr>
          <w:rFonts w:hint="default" w:ascii="Times New Roman" w:hAnsi="Times New Roman" w:eastAsia="仿宋" w:cs="Times New Roman"/>
          <w:color w:val="auto"/>
          <w:kern w:val="0"/>
          <w:sz w:val="32"/>
          <w:szCs w:val="32"/>
          <w:highlight w:val="none"/>
          <w:shd w:val="clear" w:fill="FFFFFF"/>
          <w:lang w:val="en-US" w:eastAsia="zh-CN"/>
        </w:rPr>
        <w:t xml:space="preserve">   </w:t>
      </w:r>
      <w:r>
        <w:rPr>
          <w:rFonts w:hint="default" w:ascii="Times New Roman" w:hAnsi="Times New Roman" w:eastAsia="仿宋" w:cs="Times New Roman"/>
          <w:color w:val="auto"/>
          <w:kern w:val="0"/>
          <w:sz w:val="32"/>
          <w:szCs w:val="32"/>
          <w:highlight w:val="none"/>
          <w:shd w:val="clear" w:fill="FFFFFF"/>
        </w:rPr>
        <w:t>023-</w:t>
      </w:r>
      <w:r>
        <w:rPr>
          <w:rFonts w:hint="default" w:ascii="Times New Roman" w:hAnsi="Times New Roman" w:eastAsia="仿宋" w:cs="Times New Roman"/>
          <w:color w:val="auto"/>
          <w:kern w:val="0"/>
          <w:sz w:val="32"/>
          <w:szCs w:val="32"/>
          <w:highlight w:val="none"/>
          <w:shd w:val="clear" w:fill="FFFFFF"/>
          <w:lang w:val="en-US" w:eastAsia="zh-CN"/>
        </w:rPr>
        <w:t>51638005</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default" w:ascii="Times New Roman" w:hAnsi="Times New Roman" w:eastAsia="仿宋" w:cs="Times New Roman"/>
          <w:color w:val="auto"/>
          <w:sz w:val="32"/>
          <w:szCs w:val="32"/>
          <w:highlight w:val="none"/>
          <w:shd w:val="clear" w:color="auto" w:fill="FFFFFF"/>
          <w:lang w:val="en-US" w:eastAsia="zh-CN" w:bidi="ar-SA"/>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default" w:ascii="Times New Roman" w:hAnsi="Times New Roman" w:eastAsia="仿宋" w:cs="Times New Roman"/>
          <w:color w:val="auto"/>
          <w:sz w:val="32"/>
          <w:szCs w:val="32"/>
          <w:highlight w:val="none"/>
          <w:shd w:val="clear" w:color="auto" w:fill="FFFFFF"/>
          <w:lang w:val="en-US" w:eastAsia="zh-CN" w:bidi="ar-SA"/>
        </w:rPr>
      </w:pPr>
    </w:p>
    <w:p>
      <w:pPr>
        <w:pStyle w:val="10"/>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仿宋" w:hAnsi="仿宋" w:eastAsia="仿宋" w:cs="仿宋"/>
          <w:color w:val="auto"/>
          <w:kern w:val="0"/>
          <w:sz w:val="32"/>
          <w:szCs w:val="32"/>
          <w:highlight w:val="none"/>
          <w:shd w:val="clear" w:fill="FFFFFF"/>
          <w:lang w:val="en-US" w:eastAsia="zh-CN"/>
        </w:rPr>
      </w:pPr>
      <w:r>
        <w:rPr>
          <w:rFonts w:hint="eastAsia" w:ascii="仿宋" w:hAnsi="仿宋" w:eastAsia="仿宋" w:cs="仿宋"/>
          <w:color w:val="auto"/>
          <w:kern w:val="0"/>
          <w:sz w:val="32"/>
          <w:szCs w:val="32"/>
          <w:highlight w:val="none"/>
          <w:shd w:val="clear" w:fill="FFFFFF"/>
          <w:lang w:val="en-US" w:eastAsia="zh-CN"/>
        </w:rPr>
        <w:t>附件1：</w:t>
      </w:r>
      <w:r>
        <w:rPr>
          <w:rFonts w:hint="eastAsia" w:ascii="仿宋" w:hAnsi="仿宋" w:eastAsia="仿宋" w:cs="仿宋"/>
          <w:color w:val="auto"/>
          <w:kern w:val="0"/>
          <w:sz w:val="32"/>
          <w:szCs w:val="32"/>
          <w:highlight w:val="none"/>
          <w:shd w:val="clear" w:fill="FFFFFF"/>
        </w:rPr>
        <w:t>部门整体绩效自评</w:t>
      </w:r>
      <w:r>
        <w:rPr>
          <w:rFonts w:hint="eastAsia" w:ascii="仿宋" w:hAnsi="仿宋" w:eastAsia="仿宋" w:cs="仿宋"/>
          <w:color w:val="auto"/>
          <w:kern w:val="0"/>
          <w:sz w:val="32"/>
          <w:szCs w:val="32"/>
          <w:highlight w:val="none"/>
          <w:shd w:val="clear" w:fill="FFFFFF"/>
          <w:lang w:eastAsia="zh-CN"/>
        </w:rPr>
        <w:t>表</w:t>
      </w:r>
    </w:p>
    <w:p>
      <w:pPr>
        <w:pStyle w:val="10"/>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仿宋" w:hAnsi="仿宋" w:eastAsia="仿宋" w:cs="仿宋"/>
          <w:color w:val="auto"/>
          <w:kern w:val="0"/>
          <w:sz w:val="32"/>
          <w:szCs w:val="32"/>
          <w:highlight w:val="none"/>
          <w:shd w:val="clear" w:fill="FFFFFF"/>
        </w:rPr>
      </w:pPr>
      <w:r>
        <w:rPr>
          <w:rFonts w:hint="eastAsia" w:ascii="仿宋" w:hAnsi="仿宋" w:eastAsia="仿宋" w:cs="仿宋"/>
          <w:color w:val="auto"/>
          <w:kern w:val="0"/>
          <w:sz w:val="32"/>
          <w:szCs w:val="32"/>
          <w:highlight w:val="none"/>
          <w:shd w:val="clear" w:fill="FFFFFF"/>
          <w:lang w:val="en-US" w:eastAsia="zh-CN"/>
        </w:rPr>
        <w:t>附件2：</w:t>
      </w:r>
      <w:r>
        <w:rPr>
          <w:rFonts w:hint="eastAsia" w:ascii="仿宋" w:hAnsi="仿宋" w:eastAsia="仿宋" w:cs="仿宋"/>
          <w:color w:val="auto"/>
          <w:kern w:val="0"/>
          <w:sz w:val="32"/>
          <w:szCs w:val="32"/>
          <w:highlight w:val="none"/>
          <w:shd w:val="clear" w:fill="FFFFFF"/>
        </w:rPr>
        <w:t>项目支出绩效自评表</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default" w:ascii="Times New Roman" w:hAnsi="Times New Roman" w:eastAsia="仿宋" w:cs="Times New Roman"/>
          <w:color w:val="auto"/>
          <w:sz w:val="32"/>
          <w:szCs w:val="32"/>
          <w:highlight w:val="none"/>
          <w:shd w:val="clear" w:color="auto" w:fill="FFFFFF"/>
          <w:lang w:val="en-US" w:eastAsia="zh-CN" w:bidi="ar-SA"/>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default" w:ascii="Times New Roman" w:hAnsi="Times New Roman" w:eastAsia="仿宋" w:cs="Times New Roman"/>
          <w:color w:val="auto"/>
          <w:sz w:val="32"/>
          <w:szCs w:val="32"/>
          <w:highlight w:val="none"/>
          <w:shd w:val="clear" w:color="auto" w:fill="FFFFFF"/>
          <w:lang w:val="en-US" w:eastAsia="zh-CN" w:bidi="ar-SA"/>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default" w:ascii="Times New Roman" w:hAnsi="Times New Roman" w:eastAsia="仿宋" w:cs="Times New Roman"/>
          <w:color w:val="auto"/>
          <w:sz w:val="32"/>
          <w:szCs w:val="32"/>
          <w:highlight w:val="none"/>
          <w:shd w:val="clear" w:color="auto" w:fill="FFFFFF"/>
          <w:lang w:val="en-US" w:eastAsia="zh-CN" w:bidi="ar-SA"/>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default" w:ascii="Times New Roman" w:hAnsi="Times New Roman" w:eastAsia="仿宋" w:cs="Times New Roman"/>
          <w:color w:val="auto"/>
          <w:sz w:val="32"/>
          <w:szCs w:val="32"/>
          <w:highlight w:val="none"/>
          <w:shd w:val="clear" w:color="auto" w:fill="FFFFFF"/>
          <w:lang w:val="en-US" w:eastAsia="zh-CN" w:bidi="ar-SA"/>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default" w:ascii="Times New Roman" w:hAnsi="Times New Roman" w:eastAsia="仿宋" w:cs="Times New Roman"/>
          <w:color w:val="auto"/>
          <w:sz w:val="32"/>
          <w:szCs w:val="32"/>
          <w:highlight w:val="none"/>
          <w:shd w:val="clear" w:color="auto" w:fill="FFFFFF"/>
          <w:lang w:val="en-US" w:eastAsia="zh-CN" w:bidi="ar-SA"/>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default" w:ascii="Times New Roman" w:hAnsi="Times New Roman" w:eastAsia="仿宋" w:cs="Times New Roman"/>
          <w:color w:val="auto"/>
          <w:sz w:val="32"/>
          <w:szCs w:val="32"/>
          <w:highlight w:val="none"/>
          <w:shd w:val="clear" w:color="auto" w:fill="FFFFFF"/>
          <w:lang w:val="en-US" w:eastAsia="zh-CN" w:bidi="ar-SA"/>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default" w:ascii="Times New Roman" w:hAnsi="Times New Roman" w:eastAsia="仿宋" w:cs="Times New Roman"/>
          <w:color w:val="auto"/>
          <w:sz w:val="32"/>
          <w:szCs w:val="32"/>
          <w:highlight w:val="none"/>
          <w:shd w:val="clear" w:color="auto" w:fill="FFFFFF"/>
          <w:lang w:val="en-US" w:eastAsia="zh-CN" w:bidi="ar-SA"/>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default" w:ascii="Times New Roman" w:hAnsi="Times New Roman" w:eastAsia="仿宋" w:cs="Times New Roman"/>
          <w:color w:val="auto"/>
          <w:sz w:val="32"/>
          <w:szCs w:val="32"/>
          <w:highlight w:val="none"/>
          <w:shd w:val="clear" w:color="auto" w:fill="FFFFFF"/>
          <w:lang w:val="en-US" w:eastAsia="zh-CN" w:bidi="ar-SA"/>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default" w:ascii="Times New Roman" w:hAnsi="Times New Roman" w:eastAsia="仿宋" w:cs="Times New Roman"/>
          <w:color w:val="auto"/>
          <w:sz w:val="32"/>
          <w:szCs w:val="32"/>
          <w:highlight w:val="none"/>
          <w:shd w:val="clear" w:color="auto" w:fill="FFFFFF"/>
          <w:lang w:val="en-US" w:eastAsia="zh-CN" w:bidi="ar-SA"/>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default" w:ascii="Times New Roman" w:hAnsi="Times New Roman" w:eastAsia="仿宋" w:cs="Times New Roman"/>
          <w:color w:val="auto"/>
          <w:sz w:val="32"/>
          <w:szCs w:val="32"/>
          <w:highlight w:val="none"/>
          <w:shd w:val="clear" w:color="auto" w:fill="FFFFFF"/>
          <w:lang w:val="en-US" w:eastAsia="zh-CN" w:bidi="ar-SA"/>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default" w:ascii="Times New Roman" w:hAnsi="Times New Roman" w:eastAsia="仿宋" w:cs="Times New Roman"/>
          <w:color w:val="auto"/>
          <w:sz w:val="32"/>
          <w:szCs w:val="32"/>
          <w:highlight w:val="none"/>
          <w:shd w:val="clear" w:color="auto" w:fill="FFFFFF"/>
          <w:lang w:val="en-US" w:eastAsia="zh-CN" w:bidi="ar-SA"/>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default" w:ascii="Times New Roman" w:hAnsi="Times New Roman" w:eastAsia="仿宋" w:cs="Times New Roman"/>
          <w:color w:val="auto"/>
          <w:sz w:val="32"/>
          <w:szCs w:val="32"/>
          <w:highlight w:val="none"/>
          <w:shd w:val="clear" w:color="auto" w:fill="FFFFFF"/>
          <w:lang w:val="en-US" w:eastAsia="zh-CN" w:bidi="ar-SA"/>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default" w:ascii="Times New Roman" w:hAnsi="Times New Roman" w:eastAsia="仿宋" w:cs="Times New Roman"/>
          <w:color w:val="auto"/>
          <w:sz w:val="32"/>
          <w:szCs w:val="32"/>
          <w:highlight w:val="none"/>
          <w:shd w:val="clear" w:color="auto" w:fill="FFFFFF"/>
          <w:lang w:val="en-US" w:eastAsia="zh-CN" w:bidi="ar-SA"/>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default" w:ascii="Times New Roman" w:hAnsi="Times New Roman" w:eastAsia="仿宋" w:cs="Times New Roman"/>
          <w:color w:val="auto"/>
          <w:sz w:val="32"/>
          <w:szCs w:val="32"/>
          <w:highlight w:val="none"/>
          <w:shd w:val="clear" w:color="auto" w:fill="FFFFFF"/>
          <w:lang w:val="en-US" w:eastAsia="zh-CN" w:bidi="ar-SA"/>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default" w:ascii="Times New Roman" w:hAnsi="Times New Roman" w:eastAsia="仿宋" w:cs="Times New Roman"/>
          <w:color w:val="auto"/>
          <w:sz w:val="32"/>
          <w:szCs w:val="32"/>
          <w:highlight w:val="none"/>
          <w:shd w:val="clear" w:color="auto" w:fill="FFFFFF"/>
          <w:lang w:val="en-US" w:eastAsia="zh-CN" w:bidi="ar-SA"/>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default" w:ascii="Times New Roman" w:hAnsi="Times New Roman" w:eastAsia="仿宋" w:cs="Times New Roman"/>
          <w:color w:val="auto"/>
          <w:sz w:val="32"/>
          <w:szCs w:val="32"/>
          <w:highlight w:val="none"/>
          <w:shd w:val="clear" w:color="auto" w:fill="FFFFFF"/>
          <w:lang w:val="en-US" w:eastAsia="zh-CN" w:bidi="ar-SA"/>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default" w:ascii="Times New Roman" w:hAnsi="Times New Roman" w:eastAsia="仿宋" w:cs="Times New Roman"/>
          <w:color w:val="auto"/>
          <w:sz w:val="32"/>
          <w:szCs w:val="32"/>
          <w:highlight w:val="none"/>
          <w:shd w:val="clear" w:color="auto" w:fill="FFFFFF"/>
          <w:lang w:val="en-US" w:eastAsia="zh-CN" w:bidi="ar-SA"/>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default" w:ascii="Times New Roman" w:hAnsi="Times New Roman" w:eastAsia="仿宋" w:cs="Times New Roman"/>
          <w:color w:val="auto"/>
          <w:sz w:val="32"/>
          <w:szCs w:val="32"/>
          <w:highlight w:val="none"/>
          <w:shd w:val="clear" w:color="auto" w:fill="FFFFFF"/>
          <w:lang w:val="en-US" w:eastAsia="zh-CN" w:bidi="ar-SA"/>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default" w:ascii="Times New Roman" w:hAnsi="Times New Roman" w:eastAsia="仿宋" w:cs="Times New Roman"/>
          <w:color w:val="auto"/>
          <w:sz w:val="32"/>
          <w:szCs w:val="32"/>
          <w:highlight w:val="none"/>
          <w:shd w:val="clear" w:color="auto" w:fill="FFFFFF"/>
          <w:lang w:val="en-US" w:eastAsia="zh-CN" w:bidi="ar-SA"/>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default" w:ascii="Times New Roman" w:hAnsi="Times New Roman" w:eastAsia="仿宋" w:cs="Times New Roman"/>
          <w:color w:val="auto"/>
          <w:sz w:val="32"/>
          <w:szCs w:val="32"/>
          <w:highlight w:val="none"/>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p>
      <w:pPr>
        <w:pStyle w:val="5"/>
        <w:snapToGrid w:val="0"/>
        <w:spacing w:before="0" w:beforeAutospacing="0" w:after="0" w:afterAutospacing="0" w:line="596" w:lineRule="exact"/>
        <w:ind w:firstLine="640" w:firstLineChars="200"/>
        <w:jc w:val="both"/>
        <w:rPr>
          <w:rFonts w:hint="eastAsia" w:ascii="仿宋" w:hAnsi="仿宋" w:eastAsia="仿宋" w:cs="仿宋"/>
          <w:color w:val="auto"/>
          <w:kern w:val="0"/>
          <w:sz w:val="32"/>
          <w:szCs w:val="32"/>
          <w:highlight w:val="none"/>
          <w:shd w:val="clear" w:fill="FFFFFF"/>
          <w:lang w:val="en-US" w:eastAsia="zh-CN" w:bidi="ar-SA"/>
        </w:rPr>
      </w:pPr>
      <w:r>
        <w:rPr>
          <w:rFonts w:hint="eastAsia" w:ascii="仿宋" w:hAnsi="仿宋" w:eastAsia="仿宋" w:cs="仿宋"/>
          <w:color w:val="auto"/>
          <w:kern w:val="0"/>
          <w:sz w:val="32"/>
          <w:szCs w:val="32"/>
          <w:highlight w:val="none"/>
          <w:shd w:val="clear" w:fill="FFFFFF"/>
          <w:lang w:val="en-US" w:eastAsia="zh-CN" w:bidi="ar-SA"/>
        </w:rPr>
        <w:t>附件1</w:t>
      </w:r>
    </w:p>
    <w:p>
      <w:pPr>
        <w:pStyle w:val="5"/>
        <w:snapToGrid w:val="0"/>
        <w:spacing w:before="0" w:beforeAutospacing="0" w:after="0" w:afterAutospacing="0" w:line="596" w:lineRule="exact"/>
        <w:ind w:firstLine="640" w:firstLineChars="200"/>
        <w:jc w:val="both"/>
        <w:rPr>
          <w:rFonts w:hint="eastAsia" w:ascii="仿宋" w:hAnsi="仿宋" w:eastAsia="仿宋" w:cs="仿宋"/>
          <w:color w:val="auto"/>
          <w:kern w:val="0"/>
          <w:sz w:val="32"/>
          <w:szCs w:val="32"/>
          <w:highlight w:val="none"/>
          <w:shd w:val="clear" w:fill="FFFFFF"/>
          <w:lang w:val="en-US" w:eastAsia="zh-CN" w:bidi="ar-SA"/>
        </w:rPr>
      </w:pPr>
    </w:p>
    <w:tbl>
      <w:tblPr>
        <w:tblStyle w:val="6"/>
        <w:tblW w:w="1874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40"/>
        <w:gridCol w:w="1768"/>
        <w:gridCol w:w="1768"/>
        <w:gridCol w:w="1951"/>
        <w:gridCol w:w="1462"/>
        <w:gridCol w:w="1768"/>
        <w:gridCol w:w="1910"/>
        <w:gridCol w:w="1639"/>
        <w:gridCol w:w="1217"/>
        <w:gridCol w:w="1707"/>
        <w:gridCol w:w="1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8753"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状态：业务审核已审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巫溪县胜利乡人民政府整体监控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50023800024P000085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516-巫溪县胜利乡人民政府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姚芳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15803010936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2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9,014,405.07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6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19,710,327.63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18,820,663.63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2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9,014,405.07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6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19,710,327.63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18,820,663.63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2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9,014,405.07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6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19,710,327.63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18,820,663.63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693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保证本级政府和8个村正常运转，服务群众，为民办实；2、继续发展青脆李、烟叶、蚕桑等产业，带动当地群众增加收入；3、持续推进农村基础设施建设 ，同时加强生态环境保护；4、加强综合治理，维护社会稳定，妥善处理突发性，群体性事件，调节和处理好各种利益矛盾和纠纷；5.抓好落实各项惠农惠民等民生工程，及时将惠农补贴发放到位。</w:t>
            </w:r>
          </w:p>
        </w:tc>
        <w:tc>
          <w:tcPr>
            <w:tcW w:w="675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506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保证本级政府和8个村正常运转，服务群众，为民办实；2、继续发展青脆李、烟叶、蚕桑等产业，带动当地群众增加收入；3、持续推进农村基础设施建设 ，同时加强生态环境保护；4、加强综合治理，维护社会稳定，妥善处理突发性，群体性事件，调节和处理好各种利益矛盾和纠纷；5.抓好落实各项惠农惠民等民生工程，及时将惠农补贴发放到位。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工资福利发放人数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各类补贴发放及时率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预决算情况按时公示率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群众环境保护意识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群众对政务工作满意度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bl>
    <w:p>
      <w:pPr>
        <w:pStyle w:val="5"/>
        <w:snapToGrid w:val="0"/>
        <w:spacing w:before="0" w:beforeAutospacing="0" w:after="0" w:afterAutospacing="0" w:line="596" w:lineRule="exact"/>
        <w:ind w:firstLine="640" w:firstLineChars="200"/>
        <w:jc w:val="both"/>
        <w:rPr>
          <w:rFonts w:hint="default" w:ascii="仿宋" w:hAnsi="仿宋" w:eastAsia="仿宋" w:cs="仿宋"/>
          <w:color w:val="auto"/>
          <w:kern w:val="0"/>
          <w:sz w:val="32"/>
          <w:szCs w:val="32"/>
          <w:highlight w:val="none"/>
          <w:shd w:val="clear" w:fill="FFFFFF"/>
          <w:lang w:val="en-US" w:eastAsia="zh-CN" w:bidi="ar-SA"/>
        </w:rPr>
      </w:pPr>
    </w:p>
    <w:p>
      <w:pPr>
        <w:pStyle w:val="5"/>
        <w:snapToGrid w:val="0"/>
        <w:spacing w:before="0" w:beforeAutospacing="0" w:after="0" w:afterAutospacing="0" w:line="596" w:lineRule="exact"/>
        <w:jc w:val="both"/>
        <w:rPr>
          <w:rFonts w:hint="default" w:ascii="仿宋" w:hAnsi="仿宋" w:eastAsia="仿宋" w:cs="仿宋"/>
          <w:color w:val="auto"/>
          <w:kern w:val="0"/>
          <w:sz w:val="32"/>
          <w:szCs w:val="32"/>
          <w:highlight w:val="none"/>
          <w:shd w:val="clear" w:fill="FFFFFF"/>
          <w:lang w:val="en-US" w:eastAsia="zh-CN" w:bidi="ar-SA"/>
        </w:rPr>
      </w:pPr>
    </w:p>
    <w:p>
      <w:pPr>
        <w:pStyle w:val="5"/>
        <w:snapToGrid w:val="0"/>
        <w:spacing w:before="0" w:beforeAutospacing="0" w:after="0" w:afterAutospacing="0" w:line="596" w:lineRule="exact"/>
        <w:ind w:firstLine="640" w:firstLineChars="200"/>
        <w:jc w:val="both"/>
        <w:rPr>
          <w:rFonts w:hint="eastAsia" w:ascii="仿宋" w:hAnsi="仿宋" w:eastAsia="仿宋" w:cs="仿宋"/>
          <w:color w:val="auto"/>
          <w:kern w:val="0"/>
          <w:sz w:val="32"/>
          <w:szCs w:val="32"/>
          <w:highlight w:val="none"/>
          <w:shd w:val="clear" w:fill="FFFFFF"/>
          <w:lang w:val="en-US" w:eastAsia="zh-CN" w:bidi="ar-SA"/>
        </w:rPr>
      </w:pPr>
      <w:r>
        <w:rPr>
          <w:rFonts w:hint="eastAsia" w:ascii="仿宋" w:hAnsi="仿宋" w:eastAsia="仿宋" w:cs="仿宋"/>
          <w:color w:val="auto"/>
          <w:kern w:val="0"/>
          <w:sz w:val="32"/>
          <w:szCs w:val="32"/>
          <w:highlight w:val="none"/>
          <w:shd w:val="clear" w:fill="FFFFFF"/>
          <w:lang w:val="en-US" w:eastAsia="zh-CN" w:bidi="ar-SA"/>
        </w:rPr>
        <w:t>附件2</w:t>
      </w:r>
    </w:p>
    <w:p>
      <w:pPr>
        <w:pStyle w:val="5"/>
        <w:snapToGrid w:val="0"/>
        <w:spacing w:before="0" w:beforeAutospacing="0" w:after="0" w:afterAutospacing="0" w:line="596" w:lineRule="exact"/>
        <w:ind w:firstLine="640" w:firstLineChars="200"/>
        <w:jc w:val="both"/>
        <w:rPr>
          <w:rFonts w:hint="eastAsia" w:ascii="仿宋" w:hAnsi="仿宋" w:eastAsia="仿宋" w:cs="仿宋"/>
          <w:color w:val="auto"/>
          <w:kern w:val="0"/>
          <w:sz w:val="32"/>
          <w:szCs w:val="32"/>
          <w:highlight w:val="none"/>
          <w:shd w:val="clear" w:fill="FFFFFF"/>
          <w:lang w:val="en-US" w:eastAsia="zh-CN" w:bidi="ar-SA"/>
        </w:rPr>
      </w:pPr>
    </w:p>
    <w:tbl>
      <w:tblPr>
        <w:tblStyle w:val="6"/>
        <w:tblW w:w="1874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58"/>
        <w:gridCol w:w="3751"/>
        <w:gridCol w:w="3750"/>
        <w:gridCol w:w="1679"/>
        <w:gridCol w:w="1264"/>
        <w:gridCol w:w="1523"/>
        <w:gridCol w:w="1644"/>
        <w:gridCol w:w="1057"/>
        <w:gridCol w:w="1057"/>
        <w:gridCol w:w="1471"/>
        <w:gridCol w:w="14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8753"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状态：业务审核已审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巫溪县胜利乡2024年第二批非全日制公益性岗位补助（溪人社发〔2024〕95号）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50023825T000004850806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516-巫溪县胜利乡人民政府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姚芳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15803010936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2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6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2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6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2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6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693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通过开发临时性公益岗位43个，为脱贫人口提供就业岗位43个，保障43名脱贫人口稳定就业，获得月工资收入500元。       </w:t>
            </w:r>
          </w:p>
        </w:tc>
        <w:tc>
          <w:tcPr>
            <w:tcW w:w="675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通过开发临时性公益岗位43个，为脱贫人口提供就业岗位43个，保障43名脱贫人口稳定就业，获得月工资收入500元。       </w:t>
            </w:r>
          </w:p>
        </w:tc>
        <w:tc>
          <w:tcPr>
            <w:tcW w:w="506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通过开发临时性公益岗位43个，为脱贫人口提供就业岗位43个，保障43名脱贫人口稳定就业，获得月工资收入500元。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享受公益性岗位补贴人数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公益性岗位补贴发放准确率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补贴资金在规定时间内支付到位率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公益性岗位补贴月均标准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获得月工资收入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受益脱贫户（监测户）人口数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项目可持续年限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受益脱贫人口（含监测对象）满意度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bl>
    <w:p>
      <w:pPr>
        <w:pStyle w:val="5"/>
        <w:snapToGrid w:val="0"/>
        <w:spacing w:before="0" w:beforeAutospacing="0" w:after="0" w:afterAutospacing="0" w:line="596" w:lineRule="exact"/>
        <w:ind w:firstLine="640" w:firstLineChars="200"/>
        <w:jc w:val="both"/>
        <w:rPr>
          <w:rFonts w:hint="default" w:ascii="仿宋" w:hAnsi="仿宋" w:eastAsia="仿宋" w:cs="仿宋"/>
          <w:color w:val="auto"/>
          <w:kern w:val="0"/>
          <w:sz w:val="32"/>
          <w:szCs w:val="32"/>
          <w:highlight w:val="none"/>
          <w:shd w:val="clear" w:fill="FFFFFF"/>
          <w:lang w:val="en-US" w:eastAsia="zh-CN" w:bidi="ar-SA"/>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lang w:eastAsia="zh-CN"/>
              </w:rPr>
              <w:t>单位</w:t>
            </w:r>
            <w:r>
              <w:rPr>
                <w:rFonts w:hint="default" w:ascii="Times New Roman" w:hAnsi="Times New Roman" w:eastAsia="仿宋" w:cs="Times New Roman"/>
                <w:color w:val="auto"/>
                <w:sz w:val="21"/>
                <w:szCs w:val="21"/>
                <w:highlight w:val="none"/>
              </w:rPr>
              <w:t>：</w:t>
            </w:r>
            <w:r>
              <w:rPr>
                <w:rFonts w:hint="default" w:ascii="Times New Roman" w:hAnsi="Times New Roman" w:eastAsia="仿宋" w:cs="Times New Roman"/>
                <w:color w:val="auto"/>
                <w:sz w:val="21"/>
                <w:szCs w:val="21"/>
                <w:highlight w:val="none"/>
                <w:u w:color="auto"/>
              </w:rPr>
              <w:t>巫溪县胜利乡人民政府（本级）</w:t>
            </w:r>
          </w:p>
        </w:tc>
        <w:tc>
          <w:tcPr>
            <w:tcW w:w="4419"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p>
        </w:tc>
        <w:tc>
          <w:tcPr>
            <w:tcW w:w="4419"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1,651.80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336.60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85.45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sz w:val="21"/>
                <w:szCs w:val="21"/>
                <w:highlight w:val="none"/>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22.10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60.19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1,056.54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48.19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50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51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52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42.74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53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54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55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56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1,651.80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57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1,651.80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58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sz w:val="21"/>
                <w:szCs w:val="21"/>
                <w:highlight w:val="none"/>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1,651.80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60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1,651.80</w:t>
            </w:r>
          </w:p>
        </w:tc>
      </w:tr>
    </w:tbl>
    <w:p>
      <w:pPr>
        <w:pStyle w:val="9"/>
        <w:keepNext w:val="0"/>
        <w:keepLines w:val="0"/>
        <w:pageBreakBefore w:val="0"/>
        <w:numPr>
          <w:ilvl w:val="0"/>
          <w:numId w:val="0"/>
        </w:numPr>
        <w:kinsoku/>
        <w:overflowPunct/>
        <w:topLinePunct w:val="0"/>
        <w:autoSpaceDE w:val="0"/>
        <w:autoSpaceDN/>
        <w:bidi w:val="0"/>
        <w:adjustRightInd/>
        <w:spacing w:beforeAutospacing="0" w:afterAutospacing="0" w:line="594" w:lineRule="exact"/>
        <w:rPr>
          <w:rFonts w:hint="default" w:ascii="Times New Roman" w:hAnsi="Times New Roman" w:eastAsia="仿宋" w:cs="Times New Roman"/>
          <w:color w:val="auto"/>
          <w:sz w:val="21"/>
          <w:szCs w:val="21"/>
          <w:highlight w:val="none"/>
          <w:lang w:val="en-US" w:eastAsia="zh-CN"/>
        </w:rPr>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pPr>
    </w:p>
    <w:p>
      <w:pPr>
        <w:pStyle w:val="9"/>
        <w:keepNext w:val="0"/>
        <w:keepLines w:val="0"/>
        <w:pageBreakBefore w:val="0"/>
        <w:numPr>
          <w:ilvl w:val="0"/>
          <w:numId w:val="0"/>
        </w:numPr>
        <w:kinsoku/>
        <w:overflowPunct/>
        <w:topLinePunct w:val="0"/>
        <w:autoSpaceDE w:val="0"/>
        <w:autoSpaceDN/>
        <w:bidi w:val="0"/>
        <w:adjustRightInd/>
        <w:spacing w:beforeAutospacing="0" w:afterAutospacing="0" w:line="594" w:lineRule="exact"/>
        <w:rPr>
          <w:rFonts w:hint="default" w:ascii="Times New Roman" w:hAnsi="Times New Roman" w:eastAsia="仿宋" w:cs="Times New Roman"/>
          <w:color w:val="auto"/>
          <w:sz w:val="21"/>
          <w:szCs w:val="21"/>
          <w:highlight w:val="none"/>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lang w:eastAsia="zh-CN"/>
              </w:rPr>
              <w:t>单位</w:t>
            </w:r>
            <w:r>
              <w:rPr>
                <w:rFonts w:hint="default" w:ascii="Times New Roman" w:hAnsi="Times New Roman" w:eastAsia="仿宋" w:cs="Times New Roman"/>
                <w:color w:val="auto"/>
                <w:sz w:val="21"/>
                <w:szCs w:val="21"/>
                <w:highlight w:val="none"/>
              </w:rPr>
              <w:t>：</w:t>
            </w:r>
            <w:r>
              <w:rPr>
                <w:rFonts w:hint="default" w:ascii="Times New Roman" w:hAnsi="Times New Roman" w:eastAsia="仿宋" w:cs="Times New Roman"/>
                <w:color w:val="auto"/>
                <w:sz w:val="21"/>
                <w:szCs w:val="21"/>
                <w:highlight w:val="none"/>
                <w:u w:color="auto"/>
              </w:rPr>
              <w:t>巫溪县胜利乡人民政府（本级）</w:t>
            </w:r>
          </w:p>
        </w:tc>
        <w:tc>
          <w:tcPr>
            <w:tcW w:w="2408" w:type="dxa"/>
            <w:tcBorders>
              <w:top w:val="nil"/>
              <w:left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02表</w:t>
            </w:r>
          </w:p>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1,651.80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1,651.80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336.60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336.60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20101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5.60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5.60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2010108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代表工作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5.60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5.60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20103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323.90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323.90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2010301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323.90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323.90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20129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群众团体事务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6.40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6.40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2012999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其他群众团体事务支出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6.40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6.40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20132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2013299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其他组织事务支出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85.45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85.45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74.61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74.61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2080501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21.58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21.58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35.35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35.35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17.68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17.68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20820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临时救助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8.04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8.04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2082001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临时救助支出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8.04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8.04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20825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其他生活救助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2082502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其他农村生活救助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22.10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22.10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22.10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22.10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2101101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22.10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22.10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60.19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60.19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环境保护管理事务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4.99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4.99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2110199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其他环境保护管理事务支出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4.99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4.99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21104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51.00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51.00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2110401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51.00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51.00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21105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森林保护修复</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4.20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4.20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2110501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森林管护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4.20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4.20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1,056.54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1,056.54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21301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195.86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195.86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2130108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10.86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10.86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2130122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农业生产发展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52.13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52.13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2130152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20.28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20.28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2130153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耕地建设与利用</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112.59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112.59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21302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林业和草原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39.92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39.92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2130238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退耕还林还草</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39.92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39.92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21303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2130335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农村供水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21305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eastAsia" w:ascii="Times New Roman" w:hAnsi="Times New Roman" w:eastAsia="仿宋" w:cs="Times New Roman"/>
                <w:b/>
                <w:color w:val="auto"/>
                <w:sz w:val="21"/>
                <w:szCs w:val="21"/>
                <w:highlight w:val="none"/>
                <w:lang w:eastAsia="zh-CN"/>
              </w:rPr>
              <w:t>巩固拓展脱贫攻坚成果</w:t>
            </w:r>
            <w:r>
              <w:rPr>
                <w:rFonts w:hint="default" w:ascii="Times New Roman" w:hAnsi="Times New Roman" w:eastAsia="仿宋" w:cs="Times New Roman"/>
                <w:b/>
                <w:color w:val="auto"/>
                <w:sz w:val="21"/>
                <w:szCs w:val="21"/>
                <w:highlight w:val="none"/>
              </w:rPr>
              <w:t>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571.65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571.65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2130504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35.76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35.76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2130505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374.90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374.90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2130599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其他</w:t>
            </w:r>
            <w:r>
              <w:rPr>
                <w:rFonts w:hint="eastAsia" w:ascii="Times New Roman" w:hAnsi="Times New Roman" w:eastAsia="仿宋" w:cs="Times New Roman"/>
                <w:color w:val="auto"/>
                <w:sz w:val="21"/>
                <w:szCs w:val="21"/>
                <w:highlight w:val="none"/>
                <w:lang w:eastAsia="zh-CN"/>
              </w:rPr>
              <w:t>巩固拓展脱贫攻坚成果</w:t>
            </w:r>
            <w:r>
              <w:rPr>
                <w:rFonts w:hint="default" w:ascii="Times New Roman" w:hAnsi="Times New Roman" w:eastAsia="仿宋" w:cs="Times New Roman"/>
                <w:color w:val="auto"/>
                <w:sz w:val="21"/>
                <w:szCs w:val="21"/>
                <w:highlight w:val="none"/>
              </w:rPr>
              <w:t>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161.00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161.00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21307</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237.11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237.11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2130701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对村级公益事业建设的补助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2130705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219.11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219.11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48.19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48.19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22101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保障性安居工程支出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2210105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农村危房改造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30.19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30.19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30.19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30.19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224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42.74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42.74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22401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应急管理事务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23.90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23.90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2240199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其他应急管理支出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23.90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23.90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22407</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18.84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18.84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2240704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自然灾害灾后重建补助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18.84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18.84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bl>
    <w:p>
      <w:pPr>
        <w:keepNext w:val="0"/>
        <w:keepLines w:val="0"/>
        <w:pageBreakBefore w:val="0"/>
        <w:numPr>
          <w:ilvl w:val="0"/>
          <w:numId w:val="0"/>
        </w:numPr>
        <w:kinsoku/>
        <w:overflowPunct/>
        <w:topLinePunct w:val="0"/>
        <w:autoSpaceDN/>
        <w:bidi w:val="0"/>
        <w:adjustRightInd/>
        <w:spacing w:beforeAutospacing="0" w:afterAutospacing="0" w:line="594" w:lineRule="exact"/>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lang w:eastAsia="zh-CN"/>
              </w:rPr>
              <w:t>单位</w:t>
            </w:r>
            <w:r>
              <w:rPr>
                <w:rFonts w:hint="default" w:ascii="Times New Roman" w:hAnsi="Times New Roman" w:eastAsia="仿宋" w:cs="Times New Roman"/>
                <w:color w:val="auto"/>
                <w:sz w:val="21"/>
                <w:szCs w:val="21"/>
                <w:highlight w:val="none"/>
              </w:rPr>
              <w:t>：</w:t>
            </w:r>
            <w:r>
              <w:rPr>
                <w:rFonts w:hint="default" w:ascii="Times New Roman" w:hAnsi="Times New Roman" w:eastAsia="仿宋" w:cs="Times New Roman"/>
                <w:color w:val="auto"/>
                <w:sz w:val="21"/>
                <w:szCs w:val="21"/>
                <w:highlight w:val="none"/>
                <w:u w:color="auto"/>
              </w:rPr>
              <w:t xml:space="preserve">巫溪县胜利乡人民政府（本级） </w:t>
            </w:r>
          </w:p>
        </w:tc>
        <w:tc>
          <w:tcPr>
            <w:tcW w:w="2741"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p>
        </w:tc>
        <w:tc>
          <w:tcPr>
            <w:tcW w:w="2741"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1,651.80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514.48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1,137.31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336.60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323.90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12.70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20101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5.60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5.60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2010108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代表工作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5.60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5.60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20103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323.90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323.90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2010301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323.90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323.90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20129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群众团体事务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6.40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6.40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2012999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其他群众团体事务支出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6.40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6.40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20132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2013299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其他组织事务支出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85.45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74.61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10.84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74.61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74.61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2080501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21.58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21.58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35.35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35.35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17.68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17.68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20820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临时救助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8.04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8.04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2082001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临时救助支出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8.04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8.04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20825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其他生活救助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2082502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其他农村生活救助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22.10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22.10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22.10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22.10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2101101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22.10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22.10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60.19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60.19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环境保护管理事务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4.99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4.99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2110199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其他环境保护管理事务支出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4.99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4.99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21104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51.00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51.00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2110401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51.00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51.00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21105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森林保护修复</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4.20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4.20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2110501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森林管护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4.20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4.20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1,056.54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63.69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992.85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21301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195.86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20.28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175.58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2130108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10.86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10.86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2130122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农业生产发展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52.13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52.13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2130152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20.28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20.28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2130153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耕地建设与利用</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112.59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112.59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21302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林业和草原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39.92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39.92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2130238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退耕还林还草</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39.92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39.92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21303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2130335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农村供水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21305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eastAsia" w:ascii="Times New Roman" w:hAnsi="Times New Roman" w:eastAsia="仿宋" w:cs="Times New Roman"/>
                <w:b/>
                <w:color w:val="auto"/>
                <w:sz w:val="21"/>
                <w:szCs w:val="21"/>
                <w:highlight w:val="none"/>
                <w:lang w:eastAsia="zh-CN"/>
              </w:rPr>
              <w:t>巩固拓展脱贫攻坚成果</w:t>
            </w:r>
            <w:r>
              <w:rPr>
                <w:rFonts w:hint="default" w:ascii="Times New Roman" w:hAnsi="Times New Roman" w:eastAsia="仿宋" w:cs="Times New Roman"/>
                <w:b/>
                <w:color w:val="auto"/>
                <w:sz w:val="21"/>
                <w:szCs w:val="21"/>
                <w:highlight w:val="none"/>
              </w:rPr>
              <w:t>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571.65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43.42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528.24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2130504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35.76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35.76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2130505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374.90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374.90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2130599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其他</w:t>
            </w:r>
            <w:r>
              <w:rPr>
                <w:rFonts w:hint="eastAsia" w:ascii="Times New Roman" w:hAnsi="Times New Roman" w:eastAsia="仿宋" w:cs="Times New Roman"/>
                <w:color w:val="auto"/>
                <w:sz w:val="21"/>
                <w:szCs w:val="21"/>
                <w:highlight w:val="none"/>
                <w:lang w:eastAsia="zh-CN"/>
              </w:rPr>
              <w:t>巩固拓展脱贫攻坚成果</w:t>
            </w:r>
            <w:r>
              <w:rPr>
                <w:rFonts w:hint="default" w:ascii="Times New Roman" w:hAnsi="Times New Roman" w:eastAsia="仿宋" w:cs="Times New Roman"/>
                <w:color w:val="auto"/>
                <w:sz w:val="21"/>
                <w:szCs w:val="21"/>
                <w:highlight w:val="none"/>
              </w:rPr>
              <w:t>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161.00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43.42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117.58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21307</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237.11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237.11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2130701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对村级公益事业建设的补助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2130705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219.11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219.11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48.19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30.19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22101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保障性安居工程支出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2210105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农村危房改造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30.19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30.19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30.19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30.19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224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42.74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42.74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22401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应急管理事务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23.90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23.90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2240199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其他应急管理支出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23.90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23.90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22407</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18.84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18.84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2240704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自然灾害灾后重建补助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18.84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18.84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bl>
    <w:p>
      <w:pPr>
        <w:keepNext w:val="0"/>
        <w:keepLines w:val="0"/>
        <w:pageBreakBefore w:val="0"/>
        <w:numPr>
          <w:ilvl w:val="0"/>
          <w:numId w:val="0"/>
        </w:numPr>
        <w:kinsoku/>
        <w:overflowPunct/>
        <w:topLinePunct w:val="0"/>
        <w:autoSpaceDN/>
        <w:bidi w:val="0"/>
        <w:adjustRightInd/>
        <w:spacing w:beforeAutospacing="0" w:afterAutospacing="0" w:line="594" w:lineRule="exact"/>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lang w:eastAsia="zh-CN"/>
              </w:rPr>
              <w:t>单位</w:t>
            </w:r>
            <w:r>
              <w:rPr>
                <w:rFonts w:hint="default" w:ascii="Times New Roman" w:hAnsi="Times New Roman" w:eastAsia="仿宋" w:cs="Times New Roman"/>
                <w:color w:val="auto"/>
                <w:sz w:val="21"/>
                <w:szCs w:val="21"/>
                <w:highlight w:val="none"/>
              </w:rPr>
              <w:t>：</w:t>
            </w:r>
            <w:r>
              <w:rPr>
                <w:rFonts w:hint="default" w:ascii="Times New Roman" w:hAnsi="Times New Roman" w:eastAsia="仿宋" w:cs="Times New Roman"/>
                <w:color w:val="auto"/>
                <w:sz w:val="21"/>
                <w:szCs w:val="21"/>
                <w:highlight w:val="none"/>
                <w:u w:color="auto"/>
              </w:rPr>
              <w:t>巫溪县胜利乡人民政府（本级）</w:t>
            </w:r>
          </w:p>
        </w:tc>
        <w:tc>
          <w:tcPr>
            <w:tcW w:w="2874"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p>
        </w:tc>
        <w:tc>
          <w:tcPr>
            <w:tcW w:w="2874"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1,651.80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336.60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336.60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85.45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85.45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22.10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22.10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60.19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60.19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1,056.54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1,056.54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48.19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48.19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42.74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42.74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1,651.80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1,651.80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1,651.80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b/>
                <w:bCs/>
                <w:i w:val="0"/>
                <w:iCs w:val="0"/>
                <w:color w:val="auto"/>
                <w:sz w:val="21"/>
                <w:szCs w:val="21"/>
                <w:highlight w:val="none"/>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1,651.80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1,651.80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1,651.80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bl>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lang w:eastAsia="zh-CN"/>
              </w:rPr>
              <w:t>单位</w:t>
            </w:r>
            <w:r>
              <w:rPr>
                <w:rFonts w:hint="default" w:ascii="Times New Roman" w:hAnsi="Times New Roman" w:eastAsia="仿宋" w:cs="Times New Roman"/>
                <w:color w:val="auto"/>
                <w:sz w:val="21"/>
                <w:szCs w:val="21"/>
                <w:highlight w:val="none"/>
              </w:rPr>
              <w:t>：</w:t>
            </w:r>
            <w:r>
              <w:rPr>
                <w:rFonts w:hint="default" w:ascii="Times New Roman" w:hAnsi="Times New Roman" w:eastAsia="仿宋" w:cs="Times New Roman"/>
                <w:color w:val="auto"/>
                <w:sz w:val="21"/>
                <w:szCs w:val="21"/>
                <w:highlight w:val="none"/>
                <w:u w:color="auto"/>
              </w:rPr>
              <w:t>巫溪县胜利乡人民政府（本级）</w:t>
            </w:r>
          </w:p>
        </w:tc>
        <w:tc>
          <w:tcPr>
            <w:tcW w:w="1156"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p>
        </w:tc>
        <w:tc>
          <w:tcPr>
            <w:tcW w:w="1156"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1,651.80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514.48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1,137.31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1,651.80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514.48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1,137.31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336.60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323.90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12.70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336.60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323.90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12.70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20101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人大事务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5.60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5.60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5.60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5.60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2010108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代表工作</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5.60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5.60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5.60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5.60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20103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323.90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323.90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323.90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323.90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2010301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323.90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323.90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323.90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323.90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20129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群众团体事务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6.40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6.40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6.40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6.40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2012999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其他群众团体事务支出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6.40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6.40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6.40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6.40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20132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组织事务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0.70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0.70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0.70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0.70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2013299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其他组织事务支出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0.70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0.70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0.70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0.70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85.45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74.61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10.84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85.45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74.61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10.84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74.61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74.61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74.61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74.61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21.58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21.58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21.58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21.58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35.35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35.35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35.35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35.35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17.68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17.68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17.68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17.68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20820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临时救助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8.04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8.04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8.04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8.04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2082001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临时救助支出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8.04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8.04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8.04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8.04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20825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其他生活救助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2.80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2.80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2.80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2.80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2082502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其他农村生活救助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2.80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2.80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2.80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2.80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22.10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22.10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22.10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22.10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22.10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22.10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22.10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22.10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22.10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22.10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22.10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22.10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节能环保支出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60.19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60.19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60.19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60.19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环境保护管理事务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4.99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4.99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4.99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4.99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2110199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其他环境保护管理事务支出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4.99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4.99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4.99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4.99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自然生态保护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51.00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51.00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51.00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51.00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2110401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生态保护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51.00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51.00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51.00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51.00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21105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森林保护修复</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4.20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4.20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4.20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4.20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2110501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森林管护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4.20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4.20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4.20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4.20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农林水支出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1,056.54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63.69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992.85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1,056.54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63.69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992.85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农业农村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195.86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20.28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175.58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195.86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20.28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175.58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2130108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病虫害控制</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10.86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10.86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10.86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10.86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2130122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农业生产发展</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52.13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52.13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52.13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52.13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2130152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20.28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20.28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20.28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20.28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2130153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耕地建设与利用</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112.59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112.59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112.59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112.59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21302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林业和草原</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39.92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39.92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39.92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39.92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2130238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退耕还林还草</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39.92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39.92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39.92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39.92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21303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水利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12.00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12.00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12.00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12.00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2130335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农村供水</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12.00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12.00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12.00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12.00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21305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eastAsia" w:ascii="Times New Roman" w:hAnsi="Times New Roman" w:eastAsia="仿宋" w:cs="Times New Roman"/>
                <w:b/>
                <w:color w:val="auto"/>
                <w:sz w:val="21"/>
                <w:szCs w:val="21"/>
                <w:highlight w:val="none"/>
                <w:lang w:eastAsia="zh-CN"/>
              </w:rPr>
              <w:t>巩固拓展脱贫攻坚成果</w:t>
            </w:r>
            <w:r>
              <w:rPr>
                <w:rFonts w:hint="default" w:ascii="Times New Roman" w:hAnsi="Times New Roman" w:eastAsia="仿宋" w:cs="Times New Roman"/>
                <w:b/>
                <w:color w:val="auto"/>
                <w:sz w:val="21"/>
                <w:szCs w:val="21"/>
                <w:highlight w:val="none"/>
              </w:rPr>
              <w:t>衔接乡村振兴</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571.65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43.42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528.24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571.65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43.42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528.24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2130504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农村基础设施建设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35.76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35.76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35.76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35.76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2130505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生产发展</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374.90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374.90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374.90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374.90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2130599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其他</w:t>
            </w:r>
            <w:r>
              <w:rPr>
                <w:rFonts w:hint="eastAsia" w:ascii="Times New Roman" w:hAnsi="Times New Roman" w:eastAsia="仿宋" w:cs="Times New Roman"/>
                <w:color w:val="auto"/>
                <w:sz w:val="21"/>
                <w:szCs w:val="21"/>
                <w:highlight w:val="none"/>
                <w:lang w:eastAsia="zh-CN"/>
              </w:rPr>
              <w:t>巩固拓展脱贫攻坚成果</w:t>
            </w:r>
            <w:r>
              <w:rPr>
                <w:rFonts w:hint="default" w:ascii="Times New Roman" w:hAnsi="Times New Roman" w:eastAsia="仿宋" w:cs="Times New Roman"/>
                <w:color w:val="auto"/>
                <w:sz w:val="21"/>
                <w:szCs w:val="21"/>
                <w:highlight w:val="none"/>
              </w:rPr>
              <w:t>衔接乡村振兴支出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161.00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43.42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117.58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161.00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43.42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117.58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21307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农村综合改革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237.11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237.11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237.11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237.11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2130701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对村级公益事业建设的补助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18.00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18.00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18.00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18.00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2130705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219.11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219.11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219.11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219.11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48.19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30.19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18.00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48.19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30.19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18.00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22101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保障性安居工程支出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18.00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18.00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18.00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18.00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2210105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农村危房改造</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18.00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18.00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18.00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18.00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30.19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30.19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30.19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30.19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30.19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30.19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30.19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30.19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224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42.74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42.74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42.74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42.74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22401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应急管理事务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23.90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23.90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23.90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23.90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2240199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其他应急管理支出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23.90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23.90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23.90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23.90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22407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color w:val="auto"/>
                <w:sz w:val="21"/>
                <w:szCs w:val="21"/>
                <w:highlight w:val="none"/>
              </w:rPr>
              <w:t>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18.84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18.84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18.84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18.84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bCs w:val="0"/>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2240704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自然灾害灾后重建补助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18.84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18.84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18.84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18.84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bl>
    <w:p>
      <w:pPr>
        <w:keepNext w:val="0"/>
        <w:keepLines w:val="0"/>
        <w:pageBreakBefore w:val="0"/>
        <w:numPr>
          <w:ilvl w:val="0"/>
          <w:numId w:val="0"/>
        </w:numPr>
        <w:kinsoku/>
        <w:overflowPunct/>
        <w:topLinePunct w:val="0"/>
        <w:autoSpaceDN/>
        <w:bidi w:val="0"/>
        <w:adjustRightInd/>
        <w:spacing w:beforeAutospacing="0" w:afterAutospacing="0" w:line="594" w:lineRule="exact"/>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lang w:eastAsia="zh-CN"/>
              </w:rPr>
              <w:t>单位</w:t>
            </w:r>
            <w:r>
              <w:rPr>
                <w:rFonts w:hint="default" w:ascii="Times New Roman" w:hAnsi="Times New Roman" w:eastAsia="仿宋" w:cs="Times New Roman"/>
                <w:color w:val="auto"/>
                <w:sz w:val="21"/>
                <w:szCs w:val="21"/>
                <w:highlight w:val="none"/>
              </w:rPr>
              <w:t>：</w:t>
            </w:r>
            <w:r>
              <w:rPr>
                <w:rFonts w:hint="default" w:ascii="Times New Roman" w:hAnsi="Times New Roman" w:eastAsia="仿宋" w:cs="Times New Roman"/>
                <w:color w:val="auto"/>
                <w:sz w:val="21"/>
                <w:szCs w:val="21"/>
                <w:highlight w:val="none"/>
                <w:u w:color="auto"/>
              </w:rPr>
              <w:t>巫溪县胜利乡人民政府（本级）</w:t>
            </w:r>
          </w:p>
        </w:tc>
        <w:tc>
          <w:tcPr>
            <w:tcW w:w="2682"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19684" w:type="dxa"/>
            <w:gridSpan w:val="8"/>
            <w:vMerge w:val="continue"/>
            <w:tcBorders>
              <w:left w:val="nil"/>
              <w:bottom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p>
        </w:tc>
        <w:tc>
          <w:tcPr>
            <w:tcW w:w="2682"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369.61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71.60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kern w:val="0"/>
                <w:sz w:val="21"/>
                <w:szCs w:val="21"/>
                <w:highlight w:val="none"/>
                <w:u w:val="none"/>
                <w:lang w:val="en-US" w:eastAsia="zh-CN" w:bidi="ar"/>
              </w:rPr>
            </w:pPr>
            <w:r>
              <w:rPr>
                <w:rFonts w:hint="default" w:ascii="Times New Roman" w:hAnsi="Times New Roman" w:eastAsia="仿宋" w:cs="Times New Roman"/>
                <w:b/>
                <w:bCs/>
                <w:i w:val="0"/>
                <w:iCs w:val="0"/>
                <w:color w:val="auto"/>
                <w:kern w:val="0"/>
                <w:sz w:val="21"/>
                <w:szCs w:val="21"/>
                <w:highlight w:val="none"/>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kern w:val="0"/>
                <w:sz w:val="21"/>
                <w:szCs w:val="21"/>
                <w:highlight w:val="none"/>
                <w:u w:val="none"/>
                <w:lang w:val="en-US" w:eastAsia="zh-CN" w:bidi="ar"/>
              </w:rPr>
            </w:pPr>
            <w:r>
              <w:rPr>
                <w:rFonts w:hint="default" w:ascii="Times New Roman" w:hAnsi="Times New Roman" w:eastAsia="仿宋" w:cs="Times New Roman"/>
                <w:b/>
                <w:bCs/>
                <w:i w:val="0"/>
                <w:iCs w:val="0"/>
                <w:color w:val="auto"/>
                <w:kern w:val="0"/>
                <w:sz w:val="21"/>
                <w:szCs w:val="21"/>
                <w:highlight w:val="none"/>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77.44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18.50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77.87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2.00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107.89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0.30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35.35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3.00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17.68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0.30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22.10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1.10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3.20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30.19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73.27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1.00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1.00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3.00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kern w:val="0"/>
                <w:sz w:val="21"/>
                <w:szCs w:val="21"/>
                <w:highlight w:val="none"/>
                <w:u w:val="none"/>
                <w:lang w:val="en-US" w:eastAsia="zh-CN" w:bidi="ar"/>
              </w:rPr>
            </w:pPr>
            <w:r>
              <w:rPr>
                <w:rFonts w:hint="default" w:ascii="Times New Roman" w:hAnsi="Times New Roman" w:eastAsia="仿宋" w:cs="Times New Roman"/>
                <w:b/>
                <w:bCs/>
                <w:i w:val="0"/>
                <w:iCs w:val="0"/>
                <w:color w:val="auto"/>
                <w:kern w:val="0"/>
                <w:sz w:val="21"/>
                <w:szCs w:val="21"/>
                <w:highlight w:val="none"/>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kern w:val="0"/>
                <w:sz w:val="21"/>
                <w:szCs w:val="21"/>
                <w:highlight w:val="none"/>
                <w:u w:val="none"/>
                <w:lang w:val="en-US" w:eastAsia="zh-CN" w:bidi="ar"/>
              </w:rPr>
            </w:pPr>
            <w:r>
              <w:rPr>
                <w:rFonts w:hint="default" w:ascii="Times New Roman" w:hAnsi="Times New Roman" w:eastAsia="仿宋" w:cs="Times New Roman"/>
                <w:b/>
                <w:bCs/>
                <w:i w:val="0"/>
                <w:iCs w:val="0"/>
                <w:color w:val="auto"/>
                <w:kern w:val="0"/>
                <w:sz w:val="21"/>
                <w:szCs w:val="21"/>
                <w:highlight w:val="none"/>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54.87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18.40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0.92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1.92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7.00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kern w:val="0"/>
                <w:sz w:val="21"/>
                <w:szCs w:val="21"/>
                <w:highlight w:val="none"/>
                <w:u w:val="none"/>
                <w:lang w:val="en-US" w:eastAsia="zh-CN" w:bidi="ar"/>
              </w:rPr>
            </w:pPr>
            <w:r>
              <w:rPr>
                <w:rFonts w:hint="default" w:ascii="Times New Roman" w:hAnsi="Times New Roman" w:eastAsia="仿宋" w:cs="Times New Roman"/>
                <w:b/>
                <w:bCs/>
                <w:i w:val="0"/>
                <w:iCs w:val="0"/>
                <w:color w:val="auto"/>
                <w:kern w:val="0"/>
                <w:sz w:val="21"/>
                <w:szCs w:val="21"/>
                <w:highlight w:val="none"/>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kern w:val="0"/>
                <w:sz w:val="21"/>
                <w:szCs w:val="21"/>
                <w:highlight w:val="none"/>
                <w:u w:val="none"/>
                <w:lang w:val="en-US" w:eastAsia="zh-CN" w:bidi="ar"/>
              </w:rPr>
            </w:pPr>
            <w:r>
              <w:rPr>
                <w:rFonts w:hint="default" w:ascii="Times New Roman" w:hAnsi="Times New Roman" w:eastAsia="仿宋" w:cs="Times New Roman"/>
                <w:b/>
                <w:bCs/>
                <w:i w:val="0"/>
                <w:iCs w:val="0"/>
                <w:color w:val="auto"/>
                <w:kern w:val="0"/>
                <w:sz w:val="21"/>
                <w:szCs w:val="21"/>
                <w:highlight w:val="none"/>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16.98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i w:val="0"/>
                <w:iCs w:val="0"/>
                <w:color w:val="auto"/>
                <w:sz w:val="21"/>
                <w:szCs w:val="21"/>
                <w:highlight w:val="none"/>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i w:val="0"/>
                <w:iCs w:val="0"/>
                <w:color w:val="auto"/>
                <w:sz w:val="21"/>
                <w:szCs w:val="21"/>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12.48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i w:val="0"/>
                <w:iCs w:val="0"/>
                <w:color w:val="auto"/>
                <w:sz w:val="21"/>
                <w:szCs w:val="21"/>
                <w:highlight w:val="none"/>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i w:val="0"/>
                <w:iCs w:val="0"/>
                <w:color w:val="auto"/>
                <w:sz w:val="21"/>
                <w:szCs w:val="21"/>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kern w:val="0"/>
                <w:sz w:val="21"/>
                <w:szCs w:val="21"/>
                <w:highlight w:val="none"/>
                <w:u w:val="none"/>
                <w:lang w:val="en-US" w:eastAsia="zh-CN" w:bidi="ar"/>
              </w:rPr>
            </w:pPr>
            <w:r>
              <w:rPr>
                <w:rFonts w:hint="default" w:ascii="Times New Roman" w:hAnsi="Times New Roman" w:eastAsia="仿宋" w:cs="Times New Roman"/>
                <w:b/>
                <w:bCs/>
                <w:i w:val="0"/>
                <w:iCs w:val="0"/>
                <w:color w:val="auto"/>
                <w:kern w:val="0"/>
                <w:sz w:val="21"/>
                <w:szCs w:val="21"/>
                <w:highlight w:val="none"/>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kern w:val="0"/>
                <w:sz w:val="21"/>
                <w:szCs w:val="21"/>
                <w:highlight w:val="none"/>
                <w:u w:val="none"/>
                <w:lang w:val="en-US" w:eastAsia="zh-CN" w:bidi="ar"/>
              </w:rPr>
            </w:pPr>
            <w:r>
              <w:rPr>
                <w:rFonts w:hint="default" w:ascii="Times New Roman" w:hAnsi="Times New Roman" w:eastAsia="仿宋" w:cs="Times New Roman"/>
                <w:b/>
                <w:bCs/>
                <w:i w:val="0"/>
                <w:iCs w:val="0"/>
                <w:color w:val="auto"/>
                <w:kern w:val="0"/>
                <w:sz w:val="21"/>
                <w:szCs w:val="21"/>
                <w:highlight w:val="none"/>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i w:val="0"/>
                <w:iCs w:val="0"/>
                <w:color w:val="auto"/>
                <w:sz w:val="21"/>
                <w:szCs w:val="21"/>
                <w:highlight w:val="none"/>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i w:val="0"/>
                <w:iCs w:val="0"/>
                <w:color w:val="auto"/>
                <w:sz w:val="21"/>
                <w:szCs w:val="21"/>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i w:val="0"/>
                <w:iCs w:val="0"/>
                <w:color w:val="auto"/>
                <w:sz w:val="21"/>
                <w:szCs w:val="21"/>
                <w:highlight w:val="none"/>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i w:val="0"/>
                <w:iCs w:val="0"/>
                <w:color w:val="auto"/>
                <w:sz w:val="21"/>
                <w:szCs w:val="21"/>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i w:val="0"/>
                <w:iCs w:val="0"/>
                <w:color w:val="auto"/>
                <w:sz w:val="21"/>
                <w:szCs w:val="21"/>
                <w:highlight w:val="none"/>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i w:val="0"/>
                <w:iCs w:val="0"/>
                <w:color w:val="auto"/>
                <w:sz w:val="21"/>
                <w:szCs w:val="21"/>
                <w:highlight w:val="none"/>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i w:val="0"/>
                <w:iCs w:val="0"/>
                <w:color w:val="auto"/>
                <w:sz w:val="21"/>
                <w:szCs w:val="21"/>
                <w:highlight w:val="none"/>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i w:val="0"/>
                <w:iCs w:val="0"/>
                <w:color w:val="auto"/>
                <w:sz w:val="21"/>
                <w:szCs w:val="21"/>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i w:val="0"/>
                <w:iCs w:val="0"/>
                <w:color w:val="auto"/>
                <w:sz w:val="21"/>
                <w:szCs w:val="21"/>
                <w:highlight w:val="none"/>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i w:val="0"/>
                <w:iCs w:val="0"/>
                <w:color w:val="auto"/>
                <w:sz w:val="21"/>
                <w:szCs w:val="21"/>
                <w:highlight w:val="none"/>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i w:val="0"/>
                <w:iCs w:val="0"/>
                <w:color w:val="auto"/>
                <w:sz w:val="21"/>
                <w:szCs w:val="21"/>
                <w:highlight w:val="none"/>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i w:val="0"/>
                <w:iCs w:val="0"/>
                <w:color w:val="auto"/>
                <w:sz w:val="21"/>
                <w:szCs w:val="21"/>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color w:val="auto"/>
                <w:sz w:val="21"/>
                <w:szCs w:val="21"/>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i w:val="0"/>
                <w:iCs w:val="0"/>
                <w:color w:val="auto"/>
                <w:sz w:val="21"/>
                <w:szCs w:val="21"/>
                <w:highlight w:val="none"/>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i w:val="0"/>
                <w:iCs w:val="0"/>
                <w:color w:val="auto"/>
                <w:sz w:val="21"/>
                <w:szCs w:val="21"/>
                <w:highlight w:val="none"/>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right"/>
              <w:rPr>
                <w:rFonts w:hint="default" w:ascii="Times New Roman" w:hAnsi="Times New Roman" w:eastAsia="仿宋"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442.89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71.60 </w:t>
            </w:r>
          </w:p>
        </w:tc>
      </w:tr>
    </w:tbl>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lang w:eastAsia="zh-CN"/>
              </w:rPr>
              <w:t>单位</w:t>
            </w:r>
            <w:r>
              <w:rPr>
                <w:rFonts w:hint="default" w:ascii="Times New Roman" w:hAnsi="Times New Roman" w:eastAsia="仿宋" w:cs="Times New Roman"/>
                <w:color w:val="auto"/>
                <w:sz w:val="21"/>
                <w:szCs w:val="21"/>
                <w:highlight w:val="none"/>
              </w:rPr>
              <w:t>：</w:t>
            </w:r>
            <w:r>
              <w:rPr>
                <w:rFonts w:hint="default" w:ascii="Times New Roman" w:hAnsi="Times New Roman" w:eastAsia="仿宋" w:cs="Times New Roman"/>
                <w:color w:val="auto"/>
                <w:sz w:val="21"/>
                <w:szCs w:val="21"/>
                <w:highlight w:val="none"/>
                <w:u w:color="auto"/>
              </w:rPr>
              <w:t>巫溪县胜利乡人民政府（本级）</w:t>
            </w:r>
          </w:p>
        </w:tc>
        <w:tc>
          <w:tcPr>
            <w:tcW w:w="1156"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p>
        </w:tc>
        <w:tc>
          <w:tcPr>
            <w:tcW w:w="1156"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bl>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lang w:eastAsia="zh-CN"/>
              </w:rPr>
              <w:t>单位</w:t>
            </w:r>
            <w:r>
              <w:rPr>
                <w:rFonts w:hint="default" w:ascii="Times New Roman" w:hAnsi="Times New Roman" w:eastAsia="仿宋" w:cs="Times New Roman"/>
                <w:color w:val="auto"/>
                <w:sz w:val="21"/>
                <w:szCs w:val="21"/>
                <w:highlight w:val="none"/>
              </w:rPr>
              <w:t>：</w:t>
            </w:r>
            <w:r>
              <w:rPr>
                <w:rFonts w:hint="default" w:ascii="Times New Roman" w:hAnsi="Times New Roman" w:eastAsia="仿宋" w:cs="Times New Roman"/>
                <w:color w:val="auto"/>
                <w:sz w:val="21"/>
                <w:szCs w:val="21"/>
                <w:highlight w:val="none"/>
                <w:u w:color="auto"/>
              </w:rPr>
              <w:t>巫溪县胜利乡人民政府（本级）</w:t>
            </w:r>
          </w:p>
        </w:tc>
        <w:tc>
          <w:tcPr>
            <w:tcW w:w="2116"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p>
        </w:tc>
        <w:tc>
          <w:tcPr>
            <w:tcW w:w="2116"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jc w:val="center"/>
              <w:rPr>
                <w:rFonts w:hint="default" w:ascii="Times New Roman" w:hAnsi="Times New Roman" w:eastAsia="仿宋" w:cs="Times New Roman"/>
                <w:b/>
                <w:bCs/>
                <w:i w:val="0"/>
                <w:iCs w:val="0"/>
                <w:color w:val="auto"/>
                <w:sz w:val="21"/>
                <w:szCs w:val="21"/>
                <w:highlight w:val="none"/>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color w:val="auto"/>
                <w:sz w:val="21"/>
                <w:szCs w:val="21"/>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N/>
              <w:bidi w:val="0"/>
              <w:adjustRightInd/>
              <w:spacing w:beforeAutospacing="0" w:afterAutospacing="0" w:line="594" w:lineRule="exact"/>
              <w:textAlignment w:val="center"/>
              <w:rPr>
                <w:rFonts w:hint="default" w:ascii="Times New Roman" w:hAnsi="Times New Roman" w:eastAsia="仿宋" w:cs="Times New Roman"/>
                <w:i w:val="0"/>
                <w:iCs w:val="0"/>
                <w:color w:val="auto"/>
                <w:sz w:val="21"/>
                <w:szCs w:val="21"/>
                <w:highlight w:val="none"/>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仿宋" w:cs="Times New Roman"/>
                <w:b w:val="0"/>
                <w:bCs w:val="0"/>
                <w:i w:val="0"/>
                <w:iCs w:val="0"/>
                <w:color w:val="auto"/>
                <w:sz w:val="21"/>
                <w:szCs w:val="21"/>
                <w:highlight w:val="none"/>
                <w:u w:val="none"/>
              </w:rPr>
            </w:pPr>
            <w:r>
              <w:rPr>
                <w:rFonts w:hint="default" w:ascii="Times New Roman" w:hAnsi="Times New Roman" w:eastAsia="仿宋" w:cs="Times New Roman"/>
                <w:b w:val="0"/>
                <w:bCs w:val="0"/>
                <w:color w:val="auto"/>
                <w:sz w:val="21"/>
                <w:szCs w:val="21"/>
                <w:highlight w:val="none"/>
              </w:rPr>
              <w:t xml:space="preserve">0.00 </w:t>
            </w:r>
          </w:p>
        </w:tc>
      </w:tr>
    </w:tbl>
    <w:p>
      <w:pPr>
        <w:keepNext w:val="0"/>
        <w:keepLines w:val="0"/>
        <w:pageBreakBefore w:val="0"/>
        <w:numPr>
          <w:ilvl w:val="0"/>
          <w:numId w:val="0"/>
        </w:numPr>
        <w:kinsoku/>
        <w:overflowPunct/>
        <w:topLinePunct w:val="0"/>
        <w:autoSpaceDN/>
        <w:bidi w:val="0"/>
        <w:adjustRightInd/>
        <w:spacing w:beforeAutospacing="0" w:afterAutospacing="0" w:line="594" w:lineRule="exact"/>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16017" w:type="dxa"/>
            <w:gridSpan w:val="5"/>
            <w:vMerge w:val="restart"/>
            <w:tcBorders>
              <w:top w:val="nil"/>
              <w:left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lang w:eastAsia="zh-CN"/>
              </w:rPr>
              <w:t>单位</w:t>
            </w:r>
            <w:r>
              <w:rPr>
                <w:rFonts w:hint="default" w:ascii="Times New Roman" w:hAnsi="Times New Roman" w:eastAsia="仿宋" w:cs="Times New Roman"/>
                <w:color w:val="auto"/>
                <w:sz w:val="21"/>
                <w:szCs w:val="21"/>
                <w:highlight w:val="none"/>
              </w:rPr>
              <w:t>：</w:t>
            </w:r>
            <w:r>
              <w:rPr>
                <w:rFonts w:hint="default" w:ascii="Times New Roman" w:hAnsi="Times New Roman" w:eastAsia="仿宋" w:cs="Times New Roman"/>
                <w:color w:val="auto"/>
                <w:sz w:val="21"/>
                <w:szCs w:val="21"/>
                <w:highlight w:val="none"/>
                <w:u w:color="auto"/>
              </w:rPr>
              <w:t>巫溪县胜利乡人民政府（本级）</w:t>
            </w:r>
          </w:p>
        </w:tc>
        <w:tc>
          <w:tcPr>
            <w:tcW w:w="4284"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p>
        </w:tc>
        <w:tc>
          <w:tcPr>
            <w:tcW w:w="4284"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71.60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10.00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71.60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7.00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7.00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3.00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3.00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26</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197.76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197.76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158</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197.76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 xml:space="preserve">197.76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6.60</w:t>
            </w: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i w:val="0"/>
                <w:iCs w:val="0"/>
                <w:color w:val="auto"/>
                <w:sz w:val="21"/>
                <w:szCs w:val="21"/>
                <w:highlight w:val="none"/>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i w:val="0"/>
                <w:iCs w:val="0"/>
                <w:color w:val="auto"/>
                <w:sz w:val="21"/>
                <w:szCs w:val="21"/>
                <w:highlight w:val="none"/>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 w:cs="Times New Roman"/>
                <w:b/>
                <w:bCs/>
                <w:i w:val="0"/>
                <w:iCs w:val="0"/>
                <w:color w:val="auto"/>
                <w:kern w:val="0"/>
                <w:sz w:val="21"/>
                <w:szCs w:val="21"/>
                <w:highlight w:val="none"/>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color w:val="auto"/>
                <w:sz w:val="21"/>
                <w:szCs w:val="21"/>
                <w:highlight w:val="none"/>
              </w:rPr>
              <w:t>1.00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i w:val="0"/>
                <w:iCs w:val="0"/>
                <w:color w:val="auto"/>
                <w:sz w:val="21"/>
                <w:szCs w:val="21"/>
                <w:highlight w:val="none"/>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i w:val="0"/>
                <w:iCs w:val="0"/>
                <w:color w:val="auto"/>
                <w:sz w:val="21"/>
                <w:szCs w:val="21"/>
                <w:highlight w:val="none"/>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仿宋" w:cs="Times New Roman"/>
                <w:b/>
                <w:bCs/>
                <w:i w:val="0"/>
                <w:color w:val="auto"/>
                <w:kern w:val="2"/>
                <w:sz w:val="21"/>
                <w:szCs w:val="21"/>
                <w:highlight w:val="none"/>
                <w:u w:val="none"/>
                <w:lang w:val="en-US" w:eastAsia="zh-CN" w:bidi="ar-SA"/>
              </w:rPr>
            </w:pPr>
            <w:r>
              <w:rPr>
                <w:rFonts w:hint="default" w:ascii="Times New Roman" w:hAnsi="Times New Roman" w:eastAsia="仿宋" w:cs="Times New Roman"/>
                <w:b/>
                <w:bCs/>
                <w:i w:val="0"/>
                <w:color w:val="auto"/>
                <w:kern w:val="0"/>
                <w:sz w:val="21"/>
                <w:szCs w:val="21"/>
                <w:highlight w:val="none"/>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b/>
                <w:bCs/>
                <w:i w:val="0"/>
                <w:color w:val="auto"/>
                <w:kern w:val="2"/>
                <w:sz w:val="21"/>
                <w:szCs w:val="21"/>
                <w:highlight w:val="none"/>
                <w:u w:val="none"/>
                <w:lang w:val="en-US" w:eastAsia="zh-CN" w:bidi="ar-SA"/>
              </w:rPr>
            </w:pPr>
            <w:r>
              <w:rPr>
                <w:rFonts w:hint="default" w:ascii="Times New Roman" w:hAnsi="Times New Roman" w:eastAsia="仿宋" w:cs="Times New Roman"/>
                <w:b/>
                <w:bCs/>
                <w:i w:val="0"/>
                <w:color w:val="auto"/>
                <w:kern w:val="0"/>
                <w:sz w:val="21"/>
                <w:szCs w:val="21"/>
                <w:highlight w:val="none"/>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仿宋" w:cs="Times New Roman"/>
                <w:i w:val="0"/>
                <w:color w:val="auto"/>
                <w:kern w:val="2"/>
                <w:sz w:val="21"/>
                <w:szCs w:val="21"/>
                <w:highlight w:val="none"/>
                <w:u w:val="none"/>
                <w:lang w:val="en-US" w:eastAsia="zh-CN" w:bidi="ar-SA"/>
              </w:rPr>
            </w:pPr>
            <w:r>
              <w:rPr>
                <w:rFonts w:hint="default" w:ascii="Times New Roman" w:hAnsi="Times New Roman" w:eastAsia="仿宋" w:cs="Times New Roman"/>
                <w:color w:val="auto"/>
                <w:sz w:val="21"/>
                <w:szCs w:val="21"/>
                <w:highlight w:val="none"/>
              </w:rPr>
              <w:t>3.20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仿宋" w:cs="Times New Roman"/>
                <w:i w:val="0"/>
                <w:iCs w:val="0"/>
                <w:color w:val="auto"/>
                <w:sz w:val="21"/>
                <w:szCs w:val="21"/>
                <w:highlight w:val="none"/>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eastAsia="仿宋" w:cs="Times New Roman"/>
                <w:i w:val="0"/>
                <w:iCs w:val="0"/>
                <w:color w:val="auto"/>
                <w:sz w:val="21"/>
                <w:szCs w:val="21"/>
                <w:highlight w:val="none"/>
                <w:u w:val="none"/>
              </w:rPr>
            </w:pPr>
          </w:p>
        </w:tc>
      </w:tr>
    </w:tbl>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仿宋" w:cs="Times New Roman"/>
          <w:color w:val="auto"/>
          <w:sz w:val="21"/>
          <w:szCs w:val="21"/>
          <w:highlight w:val="none"/>
          <w:lang w:bidi="ar"/>
        </w:rPr>
      </w:pPr>
    </w:p>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仿宋" w:cs="Times New Roman"/>
          <w:color w:val="auto"/>
          <w:sz w:val="21"/>
          <w:szCs w:val="21"/>
          <w:highlight w:val="none"/>
          <w:lang w:bidi="ar"/>
        </w:rPr>
      </w:pPr>
    </w:p>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仿宋" w:cs="Times New Roman"/>
          <w:color w:val="auto"/>
          <w:sz w:val="21"/>
          <w:szCs w:val="21"/>
          <w:highlight w:val="none"/>
          <w:lang w:bidi="ar"/>
        </w:rPr>
      </w:pPr>
    </w:p>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仿宋" w:cs="Times New Roman"/>
          <w:color w:val="auto"/>
          <w:sz w:val="21"/>
          <w:szCs w:val="21"/>
          <w:highlight w:val="none"/>
          <w:lang w:bidi="ar"/>
        </w:rPr>
      </w:pPr>
    </w:p>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仿宋" w:cs="Times New Roman"/>
          <w:color w:val="auto"/>
          <w:sz w:val="21"/>
          <w:szCs w:val="21"/>
          <w:highlight w:val="none"/>
          <w:lang w:bidi="ar"/>
        </w:rPr>
      </w:pPr>
    </w:p>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仿宋" w:cs="Times New Roman"/>
          <w:color w:val="auto"/>
          <w:sz w:val="21"/>
          <w:szCs w:val="21"/>
          <w:highlight w:val="none"/>
          <w:lang w:bidi="ar"/>
        </w:rPr>
      </w:pPr>
    </w:p>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仿宋" w:cs="Times New Roman"/>
          <w:color w:val="auto"/>
          <w:sz w:val="21"/>
          <w:szCs w:val="21"/>
          <w:highlight w:val="none"/>
          <w:lang w:bidi="ar"/>
        </w:rPr>
      </w:pPr>
    </w:p>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仿宋" w:cs="Times New Roman"/>
          <w:color w:val="auto"/>
          <w:sz w:val="21"/>
          <w:szCs w:val="21"/>
          <w:highlight w:val="none"/>
          <w:lang w:bidi="ar"/>
        </w:rPr>
      </w:pPr>
    </w:p>
    <w:p>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仿宋" w:cs="Times New Roman"/>
          <w:color w:val="auto"/>
          <w:sz w:val="21"/>
          <w:szCs w:val="21"/>
          <w:highlight w:val="none"/>
          <w:lang w:bidi="ar"/>
        </w:rPr>
      </w:pPr>
    </w:p>
    <w:p>
      <w:pPr>
        <w:pStyle w:val="9"/>
        <w:keepNext w:val="0"/>
        <w:keepLines w:val="0"/>
        <w:pageBreakBefore w:val="0"/>
        <w:kinsoku/>
        <w:overflowPunct/>
        <w:topLinePunct w:val="0"/>
        <w:autoSpaceDE w:val="0"/>
        <w:autoSpaceDN/>
        <w:bidi w:val="0"/>
        <w:adjustRightInd/>
        <w:spacing w:beforeAutospacing="0" w:afterAutospacing="0" w:line="594" w:lineRule="exact"/>
        <w:ind w:firstLine="0" w:firstLineChars="0"/>
        <w:rPr>
          <w:rFonts w:hint="default" w:ascii="Times New Roman" w:hAnsi="Times New Roman" w:eastAsia="仿宋" w:cs="Times New Roman"/>
          <w:color w:val="auto"/>
          <w:sz w:val="21"/>
          <w:szCs w:val="21"/>
          <w:highlight w:val="none"/>
        </w:rPr>
      </w:pPr>
    </w:p>
    <w:sectPr>
      <w:headerReference r:id="rId8" w:type="default"/>
      <w:footerReference r:id="rId9"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Gvk47wyAgAAYwQAAA4AAAAAAAAAAQAgAAAA&#10;NQEAAGRycy9lMm9Eb2MueG1sUEsFBgAAAAAGAAYAWQEAANk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eA1UVNgAAAAKAQAADwAAAAAA&#10;AAABACAAAAA4AAAAZHJzL2Rvd25yZXYueG1sUEsBAhQAFAAAAAgAh07iQBaXEUs2AgAAYgQAAA4A&#10;AAAAAAAAAQAgAAAAPQEAAGRycy9lMm9Eb2MueG1sUEsFBgAAAAAGAAYAWQEAAOU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8Zm0MQIAAGM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ITJsyxs9c7yCB3l8XZ1DJAzqRxF6ZRAd+IBs5f61O9JHO4/zynq8b9h&#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hvGZtDECAABjBAAADgAAAAAAAAABACAAAAA1&#10;AQAAZHJzL2Uyb0RvYy54bWxQSwUGAAAAAAYABgBZAQAA2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eA1UVNgAAAAKAQAADwAAAAAA&#10;AAABACAAAAA4AAAAZHJzL2Rvd25yZXYueG1sUEsBAhQAFAAAAAgAh07iQFtXOVw2AgAAYgQAAA4A&#10;AAAAAAAAAQAgAAAAPQEAAGRycy9lMm9Eb2MueG1sUEsFBgAAAAAGAAYAWQEAAOU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4MzZhY2Q5NDMzNzI0OTBiNmYxNGY1MWMzMDA0Njc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0642A6"/>
    <w:rsid w:val="27167136"/>
    <w:rsid w:val="27B23302"/>
    <w:rsid w:val="29310A5F"/>
    <w:rsid w:val="299947CC"/>
    <w:rsid w:val="29A81C6D"/>
    <w:rsid w:val="29C37A35"/>
    <w:rsid w:val="29C95E09"/>
    <w:rsid w:val="2A076083"/>
    <w:rsid w:val="2A73162E"/>
    <w:rsid w:val="2B167953"/>
    <w:rsid w:val="2B200583"/>
    <w:rsid w:val="2B8209DE"/>
    <w:rsid w:val="2C161D32"/>
    <w:rsid w:val="2C2D3EC7"/>
    <w:rsid w:val="2C6762A3"/>
    <w:rsid w:val="2D8D2A49"/>
    <w:rsid w:val="2F171D5B"/>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8B530A"/>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A7C20A4"/>
    <w:rsid w:val="7B260559"/>
    <w:rsid w:val="7B420052"/>
    <w:rsid w:val="7BD06A28"/>
    <w:rsid w:val="7C1E4CD7"/>
    <w:rsid w:val="7C3A7C0B"/>
    <w:rsid w:val="7C5248E4"/>
    <w:rsid w:val="7C566698"/>
    <w:rsid w:val="7FA960B8"/>
    <w:rsid w:val="FDFDE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12856</Words>
  <Characters>20607</Characters>
  <Lines>161</Lines>
  <Paragraphs>45</Paragraphs>
  <TotalTime>3</TotalTime>
  <ScaleCrop>false</ScaleCrop>
  <LinksUpToDate>false</LinksUpToDate>
  <CharactersWithSpaces>22789</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 </cp:lastModifiedBy>
  <dcterms:modified xsi:type="dcterms:W3CDTF">2026-05-18T11:52:42Z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CEDA2B7CFD33B22B0A8D0A6A1FAB1CC9</vt:lpwstr>
  </property>
</Properties>
</file>